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06B" w:rsidRDefault="000D384F">
      <w:pPr>
        <w:pStyle w:val="Bodytext30"/>
        <w:shd w:val="clear" w:color="auto" w:fill="auto"/>
      </w:pPr>
      <w:r>
        <w:t>Na jedné straně:</w:t>
      </w:r>
    </w:p>
    <w:p w:rsidR="00CA706B" w:rsidRDefault="000D384F">
      <w:pPr>
        <w:pStyle w:val="Bodytext40"/>
        <w:shd w:val="clear" w:color="auto" w:fill="auto"/>
      </w:pPr>
      <w:r>
        <w:t>Nemocnice Třinec, příspěvková organizace</w:t>
      </w:r>
    </w:p>
    <w:p w:rsidR="00CA706B" w:rsidRDefault="000D384F">
      <w:pPr>
        <w:pStyle w:val="Bodytext20"/>
        <w:shd w:val="clear" w:color="auto" w:fill="auto"/>
        <w:ind w:firstLine="0"/>
      </w:pPr>
      <w:r>
        <w:t xml:space="preserve">se sídlem Kaštanová 268, Dolní </w:t>
      </w:r>
      <w:proofErr w:type="spellStart"/>
      <w:r>
        <w:t>Líštná</w:t>
      </w:r>
      <w:proofErr w:type="spellEnd"/>
      <w:r>
        <w:t xml:space="preserve">, 739 61 Třinec IČ: 005 34 242 DIČ: CZ00534242 zapsána v obchodním rejstříku vedeném u Krajského soudu v Ostravě, oddíl </w:t>
      </w:r>
      <w:proofErr w:type="spellStart"/>
      <w:r>
        <w:t>Rr</w:t>
      </w:r>
      <w:proofErr w:type="spellEnd"/>
      <w:r>
        <w:t xml:space="preserve">, vložka c. 908 zastoupena: Bc. Jaroslav </w:t>
      </w:r>
      <w:proofErr w:type="spellStart"/>
      <w:r>
        <w:t>Brzyszkowski</w:t>
      </w:r>
      <w:proofErr w:type="spellEnd"/>
      <w:r>
        <w:t xml:space="preserve">, ředitel (dále jen jako </w:t>
      </w:r>
      <w:r>
        <w:rPr>
          <w:rStyle w:val="Bodytext2Italic"/>
        </w:rPr>
        <w:t xml:space="preserve">„účastník 1“) a na </w:t>
      </w:r>
      <w:r>
        <w:rPr>
          <w:rStyle w:val="Bodytext2Italic"/>
        </w:rPr>
        <w:t>straně druhé:</w:t>
      </w:r>
    </w:p>
    <w:p w:rsidR="00CA706B" w:rsidRDefault="000D384F">
      <w:pPr>
        <w:pStyle w:val="Bodytext40"/>
        <w:shd w:val="clear" w:color="auto" w:fill="auto"/>
        <w:spacing w:line="264" w:lineRule="exact"/>
      </w:pPr>
      <w:r>
        <w:t>VR LIFE s.r.o.</w:t>
      </w:r>
    </w:p>
    <w:p w:rsidR="00CA706B" w:rsidRDefault="000D384F">
      <w:pPr>
        <w:pStyle w:val="Bodytext20"/>
        <w:shd w:val="clear" w:color="auto" w:fill="auto"/>
        <w:spacing w:line="264" w:lineRule="exact"/>
        <w:ind w:firstLine="0"/>
      </w:pPr>
      <w:r>
        <w:t>se sídlem Novinářská 1254/7, Mariánské Hory, 709 00 Ostrava IČ: 074 60 481 DIČ: CZ07460481</w:t>
      </w:r>
    </w:p>
    <w:p w:rsidR="00CA706B" w:rsidRDefault="000D384F">
      <w:pPr>
        <w:pStyle w:val="Bodytext20"/>
        <w:shd w:val="clear" w:color="auto" w:fill="auto"/>
        <w:spacing w:after="495" w:line="264" w:lineRule="exact"/>
        <w:ind w:firstLine="0"/>
      </w:pPr>
      <w:r>
        <w:t xml:space="preserve">zapsána v obchodním rejstříku vedeném u Krajského soudu v Ostravě, oddíl C, vložka č. 75882 zastoupena: </w:t>
      </w:r>
      <w:proofErr w:type="spellStart"/>
      <w:r w:rsidR="00596FE1">
        <w:t>xxxxxxxxxxxxx</w:t>
      </w:r>
      <w:proofErr w:type="spellEnd"/>
      <w:r>
        <w:t xml:space="preserve">, </w:t>
      </w:r>
      <w:proofErr w:type="spellStart"/>
      <w:r>
        <w:t>xxxxxx</w:t>
      </w:r>
      <w:proofErr w:type="spellEnd"/>
      <w:r>
        <w:t xml:space="preserve">., jednatel </w:t>
      </w:r>
      <w:r>
        <w:t xml:space="preserve">(dále jen jako </w:t>
      </w:r>
      <w:r>
        <w:rPr>
          <w:rStyle w:val="Bodytext2Italic"/>
        </w:rPr>
        <w:t>„účastník 2")</w:t>
      </w:r>
    </w:p>
    <w:p w:rsidR="00CA706B" w:rsidRDefault="000D384F">
      <w:pPr>
        <w:pStyle w:val="Bodytext50"/>
        <w:shd w:val="clear" w:color="auto" w:fill="auto"/>
        <w:spacing w:before="0" w:after="508"/>
        <w:ind w:right="40"/>
      </w:pPr>
      <w:r>
        <w:t>uzavřeli v souladu s ustanoveními § 1903 a násl. zák. č. 89/2012 Sb., občanský zákoník, ve znění pozdějších</w:t>
      </w:r>
      <w:r>
        <w:br/>
        <w:t xml:space="preserve">předpisů (dále jen </w:t>
      </w:r>
      <w:r>
        <w:rPr>
          <w:rStyle w:val="Bodytext5Italic"/>
        </w:rPr>
        <w:t>„</w:t>
      </w:r>
      <w:proofErr w:type="spellStart"/>
      <w:r>
        <w:rPr>
          <w:rStyle w:val="Bodytext5Italic"/>
        </w:rPr>
        <w:t>občanskýzákoník</w:t>
      </w:r>
      <w:proofErr w:type="spellEnd"/>
      <w:r>
        <w:rPr>
          <w:rStyle w:val="Bodytext5Italic"/>
        </w:rPr>
        <w:t>"),</w:t>
      </w:r>
      <w:r>
        <w:t xml:space="preserve"> níže uvedeného dne, měsíce a roku tuto</w:t>
      </w:r>
    </w:p>
    <w:p w:rsidR="00CA706B" w:rsidRDefault="000D384F">
      <w:pPr>
        <w:pStyle w:val="Heading20"/>
        <w:keepNext/>
        <w:keepLines/>
        <w:shd w:val="clear" w:color="auto" w:fill="auto"/>
        <w:spacing w:before="0" w:after="499" w:line="360" w:lineRule="exact"/>
        <w:ind w:right="40"/>
      </w:pPr>
      <w:bookmarkStart w:id="0" w:name="bookmark0"/>
      <w:r>
        <w:t>dohodu o narovnání</w:t>
      </w:r>
      <w:bookmarkEnd w:id="0"/>
    </w:p>
    <w:p w:rsidR="00CA706B" w:rsidRDefault="000D384F">
      <w:pPr>
        <w:pStyle w:val="Heading30"/>
        <w:keepNext/>
        <w:keepLines/>
        <w:shd w:val="clear" w:color="auto" w:fill="auto"/>
        <w:spacing w:before="0"/>
        <w:ind w:right="40"/>
      </w:pPr>
      <w:bookmarkStart w:id="1" w:name="bookmark1"/>
      <w:r>
        <w:t>Článek I.</w:t>
      </w:r>
      <w:bookmarkEnd w:id="1"/>
    </w:p>
    <w:p w:rsidR="00CA706B" w:rsidRDefault="000D384F">
      <w:pPr>
        <w:pStyle w:val="Heading30"/>
        <w:keepNext/>
        <w:keepLines/>
        <w:shd w:val="clear" w:color="auto" w:fill="auto"/>
        <w:spacing w:before="0"/>
        <w:ind w:right="40"/>
      </w:pPr>
      <w:bookmarkStart w:id="2" w:name="bookmark2"/>
      <w:r>
        <w:t>Preambule</w:t>
      </w:r>
      <w:bookmarkEnd w:id="2"/>
    </w:p>
    <w:p w:rsidR="00CA706B" w:rsidRDefault="000D384F">
      <w:pPr>
        <w:pStyle w:val="Bodytext20"/>
        <w:numPr>
          <w:ilvl w:val="0"/>
          <w:numId w:val="1"/>
        </w:numPr>
        <w:shd w:val="clear" w:color="auto" w:fill="auto"/>
        <w:tabs>
          <w:tab w:val="left" w:pos="571"/>
        </w:tabs>
        <w:spacing w:line="264" w:lineRule="exact"/>
        <w:ind w:left="620" w:hanging="620"/>
        <w:jc w:val="both"/>
      </w:pPr>
      <w:r>
        <w:t xml:space="preserve">Účastníci 1 a 2 shodně prohlašují, že spolu na základě objednávky účastníka 1 č. OBJ2024VRV033 ze dne </w:t>
      </w:r>
      <w:proofErr w:type="gramStart"/>
      <w:r>
        <w:t>21.6.2024</w:t>
      </w:r>
      <w:proofErr w:type="gramEnd"/>
      <w:r>
        <w:t>, akceptované účastníkem 2 dne 22.6.2024, uzavřeli Kupní smlouvu v režimu zákona č. 89/2012 Sb., občanský zákoník, jejímž předmětem je dodávka ha</w:t>
      </w:r>
      <w:r>
        <w:t xml:space="preserve">rdware účastníkem 2 jako prodávajícím účastníku 1 jako kupujícímu, a to 1 ks brýlí pro zobrazování virtuální reality VR </w:t>
      </w:r>
      <w:proofErr w:type="spellStart"/>
      <w:r>
        <w:t>Vitalis</w:t>
      </w:r>
      <w:proofErr w:type="spellEnd"/>
      <w:r>
        <w:t xml:space="preserve"> box </w:t>
      </w:r>
      <w:proofErr w:type="spellStart"/>
      <w:r>
        <w:t>Quest</w:t>
      </w:r>
      <w:proofErr w:type="spellEnd"/>
      <w:r>
        <w:t xml:space="preserve"> PRO (spolu s ovladači, silikony na ovladače, </w:t>
      </w:r>
      <w:proofErr w:type="spellStart"/>
      <w:r>
        <w:t>tabletem</w:t>
      </w:r>
      <w:proofErr w:type="spellEnd"/>
      <w:r>
        <w:t>, modemem na SIM a držákem na nohy), jakož i příprava a instalace</w:t>
      </w:r>
      <w:r>
        <w:t xml:space="preserve"> tohoto hardware v areálu nemocnice účastníka 1, včetně provedení zaškolení jeho uživatelů, a to za celkovou sjednanou cenu 60.000,- Kč bez DPH (tato kupní smlouva dále jen „Smlouva 1").</w:t>
      </w:r>
    </w:p>
    <w:p w:rsidR="00CA706B" w:rsidRDefault="000D384F">
      <w:pPr>
        <w:pStyle w:val="Bodytext20"/>
        <w:numPr>
          <w:ilvl w:val="0"/>
          <w:numId w:val="1"/>
        </w:numPr>
        <w:shd w:val="clear" w:color="auto" w:fill="auto"/>
        <w:tabs>
          <w:tab w:val="left" w:pos="571"/>
        </w:tabs>
        <w:spacing w:line="264" w:lineRule="exact"/>
        <w:ind w:left="620" w:hanging="620"/>
        <w:jc w:val="both"/>
      </w:pPr>
      <w:r>
        <w:t>Účastníci 1 a 2 dále shodně prohlašují, že spolu účastník 1 jako naby</w:t>
      </w:r>
      <w:r>
        <w:t xml:space="preserve">vatel a účastník 2 jako poskytovatel na základě objednávky účastníka 1 č. OBJ2024VRV031 ze dne </w:t>
      </w:r>
      <w:proofErr w:type="gramStart"/>
      <w:r>
        <w:t>21.6.2024</w:t>
      </w:r>
      <w:proofErr w:type="gramEnd"/>
      <w:r>
        <w:t>, akceptované účastníkem 2 dne 22.6.2024, uzavřeli Licenční smlouvu, jejímž předmětem je úplatné poskytnutí oprávnění účastníkem 2 účastníku 1 užívat au</w:t>
      </w:r>
      <w:r>
        <w:t xml:space="preserve">torské dílo účastníka 2 - aplikaci s názvem „VR </w:t>
      </w:r>
      <w:proofErr w:type="spellStart"/>
      <w:r>
        <w:t>Vitalis</w:t>
      </w:r>
      <w:proofErr w:type="spellEnd"/>
      <w:r>
        <w:t xml:space="preserve"> Pro", jako nevýhradní úplat</w:t>
      </w:r>
      <w:bookmarkStart w:id="3" w:name="_GoBack"/>
      <w:bookmarkEnd w:id="3"/>
      <w:r>
        <w:t xml:space="preserve">nou licenci (typ licence </w:t>
      </w:r>
      <w:proofErr w:type="spellStart"/>
      <w:r>
        <w:t>All</w:t>
      </w:r>
      <w:proofErr w:type="spellEnd"/>
      <w:r>
        <w:t xml:space="preserve"> in </w:t>
      </w:r>
      <w:proofErr w:type="spellStart"/>
      <w:r>
        <w:t>One</w:t>
      </w:r>
      <w:proofErr w:type="spellEnd"/>
      <w:r>
        <w:t>), v množstevním rozsahu 1 ks, omezenou na území České republiky a časově omezenou na období 3 let (dále jen „Licence"), umožňující provád</w:t>
      </w:r>
      <w:r>
        <w:t>ění cvičení ve virtuální realitě za použití kompatibilního hardwarového zařízení určeného k zobrazování virtuální reality (tj. předmětu koupě dle shora specifikované Smlouvy 1), a to za celkovou sjednanou cenu 50.700,- Kč bez DPH ročně (tato Licenční smlou</w:t>
      </w:r>
      <w:r>
        <w:t>va dále jen „Smlouva 2"). Součástí Smlouvy 2 je rovněž zpřístupnění a nainstalování shora uvedené aplikace na předmětný hardware, jakož i poučení a provedení zaškolení uživatelů aplikace.</w:t>
      </w:r>
    </w:p>
    <w:p w:rsidR="00CA706B" w:rsidRDefault="000D384F">
      <w:pPr>
        <w:pStyle w:val="Bodytext20"/>
        <w:numPr>
          <w:ilvl w:val="0"/>
          <w:numId w:val="1"/>
        </w:numPr>
        <w:shd w:val="clear" w:color="auto" w:fill="auto"/>
        <w:tabs>
          <w:tab w:val="left" w:pos="571"/>
        </w:tabs>
        <w:spacing w:line="264" w:lineRule="exact"/>
        <w:ind w:left="620" w:hanging="620"/>
        <w:jc w:val="both"/>
      </w:pPr>
      <w:r>
        <w:t>Účastníci 1 a 2 rovněž shodně prohlašují, že ačkoli obě shora uveden</w:t>
      </w:r>
      <w:r>
        <w:t>é smlouvy (tj. Smlouva 1 a Smlouva 2 - společně dále v této dohodě jen „Smlouvy") podléhají povinnému uveřejnění prostřednictvím registru smluv dle zákona č. 340/2015 Sb., o zvláštních podmínkách účinnosti některých smluv, uveřejňování těchto smluv a o reg</w:t>
      </w:r>
      <w:r>
        <w:t xml:space="preserve">istru smluv (zákon o registru smluv), u předmětných Smluv tato povinnost splněna nebyla. Smlouva, na niž se vztahuje povinnost uveřejnění prostřednictvím registru smluv, pak dle </w:t>
      </w:r>
      <w:proofErr w:type="spellStart"/>
      <w:r>
        <w:t>ust</w:t>
      </w:r>
      <w:proofErr w:type="spellEnd"/>
      <w:r>
        <w:t>. § 6 odst. 1 zákona o registru smluv nabývá</w:t>
      </w:r>
      <w:r>
        <w:br w:type="page"/>
      </w:r>
      <w:r>
        <w:lastRenderedPageBreak/>
        <w:t>účinnosti nejdříve dnem uveřej</w:t>
      </w:r>
      <w:r>
        <w:t xml:space="preserve">nění, přičemž dle </w:t>
      </w:r>
      <w:proofErr w:type="spellStart"/>
      <w:r>
        <w:t>ust</w:t>
      </w:r>
      <w:proofErr w:type="spellEnd"/>
      <w:r>
        <w:t>. § 7 odst. 1 zákona o registru smluv platí, že nebyla-li smlouva, na niž se vztahuje povinnost uveřejnění prostřednictvím registru smluv, uveřejněna prostřednictvím registru smluv ani do tří měsíců ode dne, kdy byla uzavřena, platí, ž</w:t>
      </w:r>
      <w:r>
        <w:t>e je zrušena od počátku. Následky takového zrušení smlouvy od počátku jsou pak srovnatelné s absolutní neplatností takové smlouvy.</w:t>
      </w:r>
    </w:p>
    <w:p w:rsidR="00CA706B" w:rsidRDefault="000D384F">
      <w:pPr>
        <w:pStyle w:val="Bodytext20"/>
        <w:numPr>
          <w:ilvl w:val="0"/>
          <w:numId w:val="1"/>
        </w:numPr>
        <w:shd w:val="clear" w:color="auto" w:fill="auto"/>
        <w:tabs>
          <w:tab w:val="left" w:pos="568"/>
        </w:tabs>
        <w:ind w:left="620" w:hanging="620"/>
        <w:jc w:val="both"/>
      </w:pPr>
      <w:r>
        <w:t>S ohledem na to, že tedy předmětné Smlouvy ve stanovené tříměsíční lhůtě nebyly uveřejněny prostřednictvím registru smluv, na</w:t>
      </w:r>
      <w:r>
        <w:t>staly účinky popisované v předchozím odstavci a Smlouvy se tak k dnešnímu dni považují již za zrušené (s účinky od počátku), což je mezi účastníky 1 a 2 rovněž nesporné.</w:t>
      </w:r>
    </w:p>
    <w:p w:rsidR="00CA706B" w:rsidRDefault="000D384F">
      <w:pPr>
        <w:pStyle w:val="Bodytext20"/>
        <w:numPr>
          <w:ilvl w:val="0"/>
          <w:numId w:val="1"/>
        </w:numPr>
        <w:shd w:val="clear" w:color="auto" w:fill="auto"/>
        <w:tabs>
          <w:tab w:val="left" w:pos="568"/>
        </w:tabs>
        <w:spacing w:line="264" w:lineRule="exact"/>
        <w:ind w:left="620" w:hanging="620"/>
        <w:jc w:val="both"/>
      </w:pPr>
      <w:r>
        <w:t>Současně účastníci 1 a 2 společně prohlašují a vzájemně si potvrzují, že v souvislosti</w:t>
      </w:r>
      <w:r>
        <w:t xml:space="preserve"> a za účelem realizace shora uvedených Smluv si již účastníci 1 a 2 poskytli vzájemně určitá plnění, když zejména ze strany účastníka 2 byl účastníkovi 1 předmět koupě dle shora uvedené Smlouvy 1 dodán (spolu s příslušenstvím) a byla provedena jeho instala</w:t>
      </w:r>
      <w:r>
        <w:t xml:space="preserve">ce, jakož i zaškolení jeho uživatelů, a účastníkem 1 byla účastníku 2 v plné výši uhrazena sjednaná cena dle Smlouvy 1 (ve výši 72.600,- Kč vč. DPH, vyúčtovaná fakturou č. 2401114 ze dne </w:t>
      </w:r>
      <w:proofErr w:type="gramStart"/>
      <w:r>
        <w:t>24.6.2024</w:t>
      </w:r>
      <w:proofErr w:type="gramEnd"/>
      <w:r>
        <w:t xml:space="preserve">), jakož i ze strany účastníka 2 byla účastníkovi 1 Licence </w:t>
      </w:r>
      <w:r>
        <w:t>dle Smlouvy 2 poskytnuta, resp. bylo účastníku 1 umožněno danou aplikaci účastníka 2 využívat, jakož i byla účastníkem 2 zpřístupněna a nainstalována daná aplikace na příslušný hardware (předmět koupě dle Smlouvy 1), jakož i provedeno zaškolení uživatelů a</w:t>
      </w:r>
      <w:r>
        <w:t xml:space="preserve">plikace, a účastníkem 1 byla Licence, resp. aplikace účastníka 2 (VR </w:t>
      </w:r>
      <w:proofErr w:type="spellStart"/>
      <w:r>
        <w:t>Vitalis</w:t>
      </w:r>
      <w:proofErr w:type="spellEnd"/>
      <w:r>
        <w:t xml:space="preserve"> Pro) využívána, když sjednaná cena tohoto plnění dle Smlouvy 2, odpovídající prvním dvěma ročním platbám dle Smlouvy 2 (tj. v celkové výši 122.694,- Kč vč. DPH, vyúčtováno faktura</w:t>
      </w:r>
      <w:r>
        <w:t>mi č. 2401113 ze dne 24.6.2024 a č. 2501104 ze dne 18.8.2025), byla účastníkem 1 účastníku 2 v plné výši uhrazena.</w:t>
      </w:r>
    </w:p>
    <w:p w:rsidR="00CA706B" w:rsidRDefault="000D384F">
      <w:pPr>
        <w:pStyle w:val="Bodytext20"/>
        <w:numPr>
          <w:ilvl w:val="0"/>
          <w:numId w:val="1"/>
        </w:numPr>
        <w:shd w:val="clear" w:color="auto" w:fill="auto"/>
        <w:tabs>
          <w:tab w:val="left" w:pos="568"/>
        </w:tabs>
        <w:spacing w:line="264" w:lineRule="exact"/>
        <w:ind w:left="620" w:hanging="620"/>
        <w:jc w:val="both"/>
      </w:pPr>
      <w:r>
        <w:t>Účastníci 1 a 2 pak shodně prohlašují, že právní důvod shora specifikovaných právních jednání a v odst. 5 tohoto článku specifikovaných posky</w:t>
      </w:r>
      <w:r>
        <w:t>tnutých plnění v souvislosti se Smlouvou 1 i Smlouvou 2 je s ohledem na skutečnosti uvedené v odst. 3 a 4 tohoto článku celkově právně pochybný, a mezi účastníky této dohody tak panují spory ohledně právního důvodu, platnosti a účinnosti těchto právních je</w:t>
      </w:r>
      <w:r>
        <w:t xml:space="preserve">dnání a poskytnutých plnění, a tak i ohledně existence, rozsahu a výše vzájemných práv a povinností, pohledávek, nároků, závazků a dluhů vyplývajících či jakkoli souvisejících s těmito Smlouvami (veškeré spory popisované v tomto odstavci souhrnně dále jen </w:t>
      </w:r>
      <w:r>
        <w:t>„Spory").</w:t>
      </w:r>
    </w:p>
    <w:p w:rsidR="00CA706B" w:rsidRDefault="000D384F">
      <w:pPr>
        <w:pStyle w:val="Bodytext20"/>
        <w:numPr>
          <w:ilvl w:val="0"/>
          <w:numId w:val="1"/>
        </w:numPr>
        <w:shd w:val="clear" w:color="auto" w:fill="auto"/>
        <w:tabs>
          <w:tab w:val="left" w:pos="568"/>
        </w:tabs>
        <w:spacing w:after="575" w:line="264" w:lineRule="exact"/>
        <w:ind w:left="620" w:hanging="620"/>
        <w:jc w:val="both"/>
      </w:pPr>
      <w:r>
        <w:t>Záměrem účastníků této dohody je tedy odstranění shora popisovaných Sporů, kdy účastníci ukončí (narovnají) veškeré tyto Spory smírnou cestou prostřednictvím této dohody, tj. veškerá tam specifikovaná (skutečná či domnělá) vzájemná práva a povinn</w:t>
      </w:r>
      <w:r>
        <w:t>osti, pohledávky a nároky, či dluhy a závazky, jakkoli vyplývající či související s předmětnými Smlouvami, jak je shora popsáno.</w:t>
      </w:r>
    </w:p>
    <w:p w:rsidR="00CA706B" w:rsidRDefault="000D384F">
      <w:pPr>
        <w:pStyle w:val="Heading30"/>
        <w:keepNext/>
        <w:keepLines/>
        <w:shd w:val="clear" w:color="auto" w:fill="auto"/>
        <w:spacing w:before="0" w:line="220" w:lineRule="exact"/>
      </w:pPr>
      <w:bookmarkStart w:id="4" w:name="bookmark3"/>
      <w:r>
        <w:t>Článek II.</w:t>
      </w:r>
      <w:bookmarkEnd w:id="4"/>
    </w:p>
    <w:p w:rsidR="00CA706B" w:rsidRDefault="000D384F">
      <w:pPr>
        <w:pStyle w:val="Heading30"/>
        <w:keepNext/>
        <w:keepLines/>
        <w:shd w:val="clear" w:color="auto" w:fill="auto"/>
        <w:spacing w:before="0" w:line="220" w:lineRule="exact"/>
      </w:pPr>
      <w:bookmarkStart w:id="5" w:name="bookmark4"/>
      <w:r>
        <w:t>Předmět narovnání</w:t>
      </w:r>
      <w:bookmarkEnd w:id="5"/>
    </w:p>
    <w:p w:rsidR="00CA706B" w:rsidRDefault="000D384F">
      <w:pPr>
        <w:pStyle w:val="Bodytext20"/>
        <w:numPr>
          <w:ilvl w:val="0"/>
          <w:numId w:val="2"/>
        </w:numPr>
        <w:shd w:val="clear" w:color="auto" w:fill="auto"/>
        <w:tabs>
          <w:tab w:val="left" w:pos="568"/>
        </w:tabs>
        <w:spacing w:line="264" w:lineRule="exact"/>
        <w:ind w:left="620" w:hanging="620"/>
        <w:jc w:val="both"/>
      </w:pPr>
      <w:r>
        <w:t xml:space="preserve">Účastníci této dohody se dohodli na smírném řešení věci a uzavírají tuto dohodu za účelem úplného </w:t>
      </w:r>
      <w:r>
        <w:t>a konečného mimosoudního narovnání jejich sporných vztahů uvedených v čl. I. této dohody, tj. Sporů.</w:t>
      </w:r>
    </w:p>
    <w:p w:rsidR="00CA706B" w:rsidRDefault="000D384F">
      <w:pPr>
        <w:pStyle w:val="Bodytext20"/>
        <w:numPr>
          <w:ilvl w:val="0"/>
          <w:numId w:val="2"/>
        </w:numPr>
        <w:shd w:val="clear" w:color="auto" w:fill="auto"/>
        <w:tabs>
          <w:tab w:val="left" w:pos="568"/>
        </w:tabs>
        <w:spacing w:line="264" w:lineRule="exact"/>
        <w:ind w:left="620" w:hanging="620"/>
        <w:jc w:val="both"/>
      </w:pPr>
      <w:r>
        <w:t xml:space="preserve">Předmětem narovnání dle této dohody ve smyslu </w:t>
      </w:r>
      <w:proofErr w:type="spellStart"/>
      <w:r>
        <w:t>ust</w:t>
      </w:r>
      <w:proofErr w:type="spellEnd"/>
      <w:r>
        <w:t>. § 1903 a násl. občanského zákoníku jsou tedy veškeré (skutečné či jen domnělé) nároky, pohledávky, dluhy</w:t>
      </w:r>
      <w:r>
        <w:t>, závazky, práva a povinnosti účastníků specifikované v čl. I. této dohody, tj. Spory.</w:t>
      </w:r>
    </w:p>
    <w:p w:rsidR="00CA706B" w:rsidRDefault="000D384F">
      <w:pPr>
        <w:pStyle w:val="Bodytext20"/>
        <w:numPr>
          <w:ilvl w:val="0"/>
          <w:numId w:val="2"/>
        </w:numPr>
        <w:shd w:val="clear" w:color="auto" w:fill="auto"/>
        <w:tabs>
          <w:tab w:val="left" w:pos="568"/>
        </w:tabs>
        <w:spacing w:line="264" w:lineRule="exact"/>
        <w:ind w:left="620" w:hanging="620"/>
        <w:jc w:val="both"/>
      </w:pPr>
      <w:r>
        <w:t>Účastníci se proto dohodli, že veškeré mezi těmito sporné (skutečné či jen domnělé) nároky, pohledávky, dluhy, závazky, práva a povinnosti účastníků specifikované v před</w:t>
      </w:r>
      <w:r>
        <w:t xml:space="preserve">chozím odstavci, tj. Spory, </w:t>
      </w:r>
      <w:proofErr w:type="gramStart"/>
      <w:r>
        <w:t>se</w:t>
      </w:r>
      <w:proofErr w:type="gramEnd"/>
      <w:r>
        <w:t xml:space="preserve"> ve smyslu </w:t>
      </w:r>
      <w:proofErr w:type="spellStart"/>
      <w:r>
        <w:t>ust</w:t>
      </w:r>
      <w:proofErr w:type="spellEnd"/>
      <w:r>
        <w:t>. § 1903 odst. 1 občanského zákoníku v plném rozsahu a bez jakékoli náhrady zrušují, kdy účastníci si ponechají již vzájemně si poskytnutá plnění a nejsou si pak ani povinni ničeho vracet, plnit či hradit čehokol</w:t>
      </w:r>
      <w:r>
        <w:t>i dalšího (není-li dále uvedeno jinak), a tak vlastníkem veškerého dosud na základě či v souvislosti se shora specifikovanými Smlouvami jedním z účastníků této dohody poskytnutého plnění (tj. zejména ze strany účastníka 2 dodaných brýlí pro zobrazování vir</w:t>
      </w:r>
      <w:r>
        <w:t xml:space="preserve">tuální reality VR </w:t>
      </w:r>
      <w:proofErr w:type="spellStart"/>
      <w:r>
        <w:t>Vitalis</w:t>
      </w:r>
      <w:proofErr w:type="spellEnd"/>
      <w:r>
        <w:t xml:space="preserve"> box </w:t>
      </w:r>
      <w:proofErr w:type="spellStart"/>
      <w:r>
        <w:t>Quest</w:t>
      </w:r>
      <w:proofErr w:type="spellEnd"/>
      <w:r>
        <w:t xml:space="preserve"> PRO s nainstalovanou aplikací VR </w:t>
      </w:r>
      <w:proofErr w:type="spellStart"/>
      <w:r>
        <w:t>Vitalis</w:t>
      </w:r>
      <w:proofErr w:type="spellEnd"/>
      <w:r>
        <w:t xml:space="preserve"> Pro, vč. veškerého příslušenství, jakož i ze strany účastníka 1 uhrazené částky 72.600,- Kč vč. DPH za dodané brýle pro zobrazování virtuální reality a částky 122.694,- Kč vč. DPH</w:t>
      </w:r>
      <w:r>
        <w:t xml:space="preserve"> za oprávnění účastníka 1 užívat aplikaci VR </w:t>
      </w:r>
      <w:proofErr w:type="spellStart"/>
      <w:r>
        <w:t>Vitalis</w:t>
      </w:r>
      <w:proofErr w:type="spellEnd"/>
      <w:r>
        <w:t xml:space="preserve"> Pro) se stává druhý z účastníků této dohody, jemuž bylo takto plněno. Účastník 2 však tímto zároveň prohlašuje vůči účastníkovi 1, že přebírá záruku za jakost plnění - předmětu koupě </w:t>
      </w:r>
      <w:r>
        <w:lastRenderedPageBreak/>
        <w:t>dle Smlouvy 1, jehož</w:t>
      </w:r>
      <w:r>
        <w:t xml:space="preserve"> vlastníkem se dle shora v tomto odstavci uvedeného stává účastník 1, v délce 24 měsíců od dodání tohoto předmětu koupě účastníkovi 1 (tedy do </w:t>
      </w:r>
      <w:proofErr w:type="gramStart"/>
      <w:r>
        <w:t>4.9.2026</w:t>
      </w:r>
      <w:proofErr w:type="gramEnd"/>
      <w:r>
        <w:t>); práva a povinnosti stran z této záruky se budou řídit zákonnou úpravou záruky za jakost zboží dle usta</w:t>
      </w:r>
      <w:r>
        <w:t xml:space="preserve">novení § 2113 a následujících občanského zákoníku. Současně pak účastníci ujednali, že vzhledem </w:t>
      </w:r>
      <w:proofErr w:type="spellStart"/>
      <w:r>
        <w:t>ktomu</w:t>
      </w:r>
      <w:proofErr w:type="spellEnd"/>
      <w:r>
        <w:t xml:space="preserve">, že doba poskytnutí (využívání) Licence dle Smlouvy 2 byla ujednána na dobu 3 let (tj. až do </w:t>
      </w:r>
      <w:proofErr w:type="gramStart"/>
      <w:r>
        <w:t>4.9.2027</w:t>
      </w:r>
      <w:proofErr w:type="gramEnd"/>
      <w:r>
        <w:t>), přičemž i za takto poskytnutou Licenci (resp. umož</w:t>
      </w:r>
      <w:r>
        <w:t>nění účastníkovi 1 využívat danou aplikaci účastníka 2) již účastník 1 uhradil účastníkovi 2 sjednanou cenu (odměnu) dle Smlouvy 2 ve výši prvních dvou ročních plateb (tj. 2x 61.347,- Kč vč. DPH), ujednaly smluvní strany, že účastníku 1 až do uvedeného dat</w:t>
      </w:r>
      <w:r>
        <w:t>a 4.9.2027 svědčí, a je tak oprávněn využívat Licenci (resp. je oprávněn a bude mu účastníkem 2 umožněno využívat danou aplikaci účastníka 2) ve stejném rozsahu a za shodných podmínek, jak bylo ujednáno ve Smlouvě 2, oproti čemuž se účastník 1 zavazuje uhr</w:t>
      </w:r>
      <w:r>
        <w:t>adit účastníkovi 2 částku 50.700,- Kč bez DPH (tj. 61.347,- Kč vč. DPH) na základě faktury vystavené účastníkem 2 nejdříve v srpnu 2026, jejíž splatnost bude 14 dnů ode dne jejího doručení účastníku 1, a to bezhotovostním převodem na účet účastníka 2 a pod</w:t>
      </w:r>
      <w:r>
        <w:t xml:space="preserve"> variabilním symbolem, jak tyto budou uvedeny v takové faktuře.</w:t>
      </w:r>
    </w:p>
    <w:p w:rsidR="00CA706B" w:rsidRDefault="000D384F">
      <w:pPr>
        <w:pStyle w:val="Bodytext20"/>
        <w:numPr>
          <w:ilvl w:val="0"/>
          <w:numId w:val="2"/>
        </w:numPr>
        <w:shd w:val="clear" w:color="auto" w:fill="auto"/>
        <w:tabs>
          <w:tab w:val="left" w:pos="562"/>
        </w:tabs>
        <w:spacing w:line="264" w:lineRule="exact"/>
        <w:ind w:left="640" w:hanging="640"/>
        <w:jc w:val="both"/>
      </w:pPr>
      <w:r>
        <w:t>Zrušení sporných nároků, pohledávek, dluhů, závazků, práv a povinností, se pak dle výslovného ujednání účastníků vztahuje v plném rozsahu též na veškeré zákonné či smluvní příslušenství a vedl</w:t>
      </w:r>
      <w:r>
        <w:t>ejší nároky zrušovaných sporných nároků, pohledávek, dluhů, závazků, práv a povinností, tedy zejména, nikoli však výlučně, též na případné úroky z prodlení, náhrady škod či jiných nákladů, smluvní pokuty, nároky z vadného plnění či náklady vynaložené na vy</w:t>
      </w:r>
      <w:r>
        <w:t>máhání či uplatňování pohledávek, práv a povinností, výslovně pak včetně veškerých nákladů na právní zastoupení.</w:t>
      </w:r>
    </w:p>
    <w:p w:rsidR="00CA706B" w:rsidRDefault="000D384F">
      <w:pPr>
        <w:pStyle w:val="Bodytext20"/>
        <w:numPr>
          <w:ilvl w:val="0"/>
          <w:numId w:val="2"/>
        </w:numPr>
        <w:shd w:val="clear" w:color="auto" w:fill="auto"/>
        <w:tabs>
          <w:tab w:val="left" w:pos="562"/>
        </w:tabs>
        <w:spacing w:after="480" w:line="264" w:lineRule="exact"/>
        <w:ind w:left="640" w:hanging="640"/>
        <w:jc w:val="both"/>
      </w:pPr>
      <w:r>
        <w:t>Účastníci 1 a 2 pak shodně prohlašují, výslovně potvrzují a činí nesporným, že po splnění závazků dle odst. 3 tohoto článku dohody jsou vzájemn</w:t>
      </w:r>
      <w:r>
        <w:t xml:space="preserve">ě vyrovnáni a jejich veškerá vzájemná práva a povinnosti jakkoli vyplývající či související se shora specifikovanými Smlouvami vypořádány a navzájem si ničeho nebudou dlužit ani nárokovat, ani činit jakákoli další jednání v souvislosti s těmito Smlouvami, </w:t>
      </w:r>
      <w:r>
        <w:t>a to ani do budoucna; tímto nejsou nijak dotčena práva účastníka 1 z poskytnuté záruky za jakost dle odst. 3 a s ní související práva a nároky účastníka 1.</w:t>
      </w:r>
    </w:p>
    <w:p w:rsidR="00CA706B" w:rsidRDefault="000D384F">
      <w:pPr>
        <w:pStyle w:val="Bodytext40"/>
        <w:shd w:val="clear" w:color="auto" w:fill="auto"/>
        <w:spacing w:line="264" w:lineRule="exact"/>
        <w:ind w:left="60"/>
        <w:jc w:val="center"/>
      </w:pPr>
      <w:r>
        <w:t>Článek III.</w:t>
      </w:r>
    </w:p>
    <w:p w:rsidR="00CA706B" w:rsidRDefault="000D384F">
      <w:pPr>
        <w:pStyle w:val="Bodytext40"/>
        <w:shd w:val="clear" w:color="auto" w:fill="auto"/>
        <w:spacing w:line="264" w:lineRule="exact"/>
        <w:ind w:left="60"/>
        <w:jc w:val="center"/>
      </w:pPr>
      <w:r>
        <w:t>Závěrečná ustanovení</w:t>
      </w:r>
    </w:p>
    <w:p w:rsidR="00CA706B" w:rsidRDefault="000D384F">
      <w:pPr>
        <w:pStyle w:val="Bodytext20"/>
        <w:numPr>
          <w:ilvl w:val="0"/>
          <w:numId w:val="3"/>
        </w:numPr>
        <w:shd w:val="clear" w:color="auto" w:fill="auto"/>
        <w:tabs>
          <w:tab w:val="left" w:pos="562"/>
        </w:tabs>
        <w:spacing w:line="264" w:lineRule="exact"/>
        <w:ind w:left="640" w:hanging="640"/>
        <w:jc w:val="both"/>
      </w:pPr>
      <w:r>
        <w:t>Tato dohoda je projevem svobodné a pravé vůle všech účastníků, přič</w:t>
      </w:r>
      <w:r>
        <w:t>emž účastníci tímto prohlašují, že se s obsahem této dohody seznámili, souhlasí s ním a uvádějí, že obsah této dohody je totožný s jejich vůlí, která je prosta jakéhokoliv nátlaku a omylu. Toto prohlášení stvrzují svými vlastnoručními podpisy. Smluvní stra</w:t>
      </w:r>
      <w:r>
        <w:t>ny zároveň shodně konstatují, že základní podmínky této dohody jsou výsledkem jednání stran a každá z nich tak měla možnost ovlivnit jejich obsah.</w:t>
      </w:r>
    </w:p>
    <w:p w:rsidR="00CA706B" w:rsidRDefault="000D384F">
      <w:pPr>
        <w:pStyle w:val="Bodytext20"/>
        <w:numPr>
          <w:ilvl w:val="0"/>
          <w:numId w:val="3"/>
        </w:numPr>
        <w:shd w:val="clear" w:color="auto" w:fill="auto"/>
        <w:tabs>
          <w:tab w:val="left" w:pos="562"/>
        </w:tabs>
        <w:spacing w:line="264" w:lineRule="exact"/>
        <w:ind w:left="640" w:hanging="640"/>
        <w:jc w:val="both"/>
      </w:pPr>
      <w:r>
        <w:t>Tato dohoda, jakož i práva a povinnosti v této výslovně neupravená, se řídí právním řádem České republiky, ze</w:t>
      </w:r>
      <w:r>
        <w:t xml:space="preserve">jména ustanoveními zákona č. 89/2012 Sb., občanského zákoníku, v platném znění, s výslovným vyloučením aplikace </w:t>
      </w:r>
      <w:proofErr w:type="spellStart"/>
      <w:r>
        <w:t>ust</w:t>
      </w:r>
      <w:proofErr w:type="spellEnd"/>
      <w:r>
        <w:t>. § 557 občanského zákoníku.</w:t>
      </w:r>
    </w:p>
    <w:p w:rsidR="00CA706B" w:rsidRDefault="000D384F">
      <w:pPr>
        <w:pStyle w:val="Bodytext20"/>
        <w:numPr>
          <w:ilvl w:val="0"/>
          <w:numId w:val="3"/>
        </w:numPr>
        <w:shd w:val="clear" w:color="auto" w:fill="auto"/>
        <w:tabs>
          <w:tab w:val="left" w:pos="562"/>
        </w:tabs>
        <w:spacing w:line="264" w:lineRule="exact"/>
        <w:ind w:left="640" w:hanging="640"/>
        <w:jc w:val="both"/>
      </w:pPr>
      <w:r>
        <w:t>Tuto dohodu je možno měnit pouze písemnými, číslovanými dodatky, podepsanými všemi stranami s tím, že za písemno</w:t>
      </w:r>
      <w:r>
        <w:t>u formu není pro tento účel považována výměna e-mailových nebo jiných elektronických zpráv (s výjimkou formy sjednané pro uzavření této dohody dle odst. 7 tohoto článku). Strany výslovně vylučují provádět jakékoli změny této dohody ve formě jiné než dle vě</w:t>
      </w:r>
      <w:r>
        <w:t>ty první tohoto odstavce (příp. ve formě přísnější od této).</w:t>
      </w:r>
    </w:p>
    <w:p w:rsidR="00CA706B" w:rsidRDefault="000D384F">
      <w:pPr>
        <w:pStyle w:val="Bodytext20"/>
        <w:numPr>
          <w:ilvl w:val="0"/>
          <w:numId w:val="3"/>
        </w:numPr>
        <w:shd w:val="clear" w:color="auto" w:fill="auto"/>
        <w:tabs>
          <w:tab w:val="left" w:pos="562"/>
        </w:tabs>
        <w:spacing w:line="264" w:lineRule="exact"/>
        <w:ind w:left="640" w:hanging="640"/>
        <w:jc w:val="both"/>
      </w:pPr>
      <w:r>
        <w:t>Tato dohoda obsahuje úplné ujednání o předmětu dohody a všech náležitostech, které strany měly a chtěly v dohodě ujednat, a které považují za důležité pro závaznost této dohody. Žádný projev stra</w:t>
      </w:r>
      <w:r>
        <w:t>n učiněný při jednání o této dohodě ani projev učiněný po uzavření této dohody nesmí být vykládán v rozporu s výslovnými ustanoveními této dohody a nezakládá žádný závazek žádné ze stran.</w:t>
      </w:r>
    </w:p>
    <w:p w:rsidR="00CA706B" w:rsidRDefault="000D384F">
      <w:pPr>
        <w:pStyle w:val="Bodytext20"/>
        <w:numPr>
          <w:ilvl w:val="0"/>
          <w:numId w:val="3"/>
        </w:numPr>
        <w:shd w:val="clear" w:color="auto" w:fill="auto"/>
        <w:tabs>
          <w:tab w:val="left" w:pos="562"/>
        </w:tabs>
        <w:ind w:left="640" w:hanging="640"/>
        <w:jc w:val="both"/>
      </w:pPr>
      <w:r>
        <w:t>Smluvní strany výslovně vylučují možnost přijetí nabídky na uzavření</w:t>
      </w:r>
      <w:r>
        <w:t xml:space="preserve"> této dohody s dodatkem nebo odchylkou ve smyslu ustanovení § 1740 odst. 3 občanského zákoníku.</w:t>
      </w:r>
    </w:p>
    <w:p w:rsidR="00CA706B" w:rsidRDefault="000D384F">
      <w:pPr>
        <w:pStyle w:val="Bodytext20"/>
        <w:numPr>
          <w:ilvl w:val="0"/>
          <w:numId w:val="3"/>
        </w:numPr>
        <w:shd w:val="clear" w:color="auto" w:fill="auto"/>
        <w:tabs>
          <w:tab w:val="left" w:pos="565"/>
        </w:tabs>
        <w:ind w:left="660"/>
        <w:jc w:val="both"/>
      </w:pPr>
      <w:r>
        <w:t>Strany této dohody sjednávají, že pokud v důsledku změny či odlišného výkladu právních předpisů anebo judikatury soudů anebo jiné skutečnosti bude u některého u</w:t>
      </w:r>
      <w:r>
        <w:t xml:space="preserve">stanovení této dohody shledán důvod jeho neplatnosti či nevynutitelnosti, tato dohoda jako celek bude nadále platit, přičemž za neplatnou bude možné považovat pouze tu část, které se důvod neplatnosti či nevynutitelnosti </w:t>
      </w:r>
      <w:r>
        <w:lastRenderedPageBreak/>
        <w:t xml:space="preserve">bude přímo týkat. Strany dohody se </w:t>
      </w:r>
      <w:r>
        <w:t>pak zavazují toto ustanovení doplnit či nahradit novým ujednáním, které bude odpovídat aktuálnímu výkladu právních předpisů, aby smyslu a účelu dohody bylo dosaženo.</w:t>
      </w:r>
    </w:p>
    <w:p w:rsidR="00CA706B" w:rsidRDefault="000D384F">
      <w:pPr>
        <w:pStyle w:val="Bodytext20"/>
        <w:numPr>
          <w:ilvl w:val="0"/>
          <w:numId w:val="3"/>
        </w:numPr>
        <w:shd w:val="clear" w:color="auto" w:fill="auto"/>
        <w:tabs>
          <w:tab w:val="left" w:pos="565"/>
        </w:tabs>
        <w:spacing w:line="264" w:lineRule="exact"/>
        <w:ind w:left="660"/>
        <w:jc w:val="both"/>
      </w:pPr>
      <w:r>
        <w:t>Tato dohoda je vyhotovena ve dvou vyhotoveních, každý z účastníků obdrží po jednom z nich.</w:t>
      </w:r>
      <w:r>
        <w:t xml:space="preserve"> Tato dohoda může být uzavřena rovněž elektronicky, uznávanými elektronickými podpisy; v takovém případě každý z účastníků obdrží takto elektronicky podepsané vyhotovení této dohody.</w:t>
      </w:r>
    </w:p>
    <w:p w:rsidR="00CA706B" w:rsidRDefault="000D384F">
      <w:pPr>
        <w:pStyle w:val="Bodytext20"/>
        <w:numPr>
          <w:ilvl w:val="0"/>
          <w:numId w:val="3"/>
        </w:numPr>
        <w:shd w:val="clear" w:color="auto" w:fill="auto"/>
        <w:tabs>
          <w:tab w:val="left" w:pos="565"/>
        </w:tabs>
        <w:spacing w:line="264" w:lineRule="exact"/>
        <w:ind w:left="660"/>
        <w:jc w:val="both"/>
      </w:pPr>
      <w:r>
        <w:t>Tato dohoda vzniká dnem jejího uzavření; dnem uzavření této dohody je den</w:t>
      </w:r>
      <w:r>
        <w:t xml:space="preserve"> označený datem u podpisů smluvních stran. Je-li takto označeno více dní, je dnem uzavření této dohody den z označených dnů nejpozdější. V souladu s </w:t>
      </w:r>
      <w:proofErr w:type="spellStart"/>
      <w:r>
        <w:t>ust</w:t>
      </w:r>
      <w:proofErr w:type="spellEnd"/>
      <w:r>
        <w:t>. § 6 odst. 1 zákona č. 340/2015 Sb., o registru smluv, v platném znění, tato dohoda nabývá účinnosti dn</w:t>
      </w:r>
      <w:r>
        <w:t>em jejího uveřejnění v registru smluv.</w:t>
      </w:r>
    </w:p>
    <w:p w:rsidR="00CA706B" w:rsidRDefault="000D384F">
      <w:pPr>
        <w:pStyle w:val="Tablecaption20"/>
        <w:framePr w:w="230" w:h="268" w:hSpace="8371" w:wrap="notBeside" w:vAnchor="text" w:hAnchor="text" w:x="4964" w:y="219"/>
        <w:shd w:val="clear" w:color="auto" w:fill="auto"/>
        <w:spacing w:line="220" w:lineRule="exact"/>
      </w:pPr>
      <w:r>
        <w:t>V</w:t>
      </w:r>
    </w:p>
    <w:p w:rsidR="00CA706B" w:rsidRDefault="000D384F">
      <w:pPr>
        <w:pStyle w:val="Tablecaption40"/>
        <w:framePr w:w="3187" w:h="722" w:wrap="notBeside" w:vAnchor="text" w:hAnchor="text" w:x="5233" w:y="1"/>
        <w:shd w:val="clear" w:color="auto" w:fill="auto"/>
        <w:spacing w:line="200" w:lineRule="exact"/>
        <w:ind w:left="400"/>
      </w:pPr>
      <w:r>
        <w:rPr>
          <w:vertAlign w:val="superscript"/>
        </w:rPr>
        <w:t>dne</w:t>
      </w:r>
    </w:p>
    <w:p w:rsidR="00CA706B" w:rsidRDefault="00CA706B">
      <w:pPr>
        <w:rPr>
          <w:sz w:val="2"/>
          <w:szCs w:val="2"/>
        </w:rPr>
      </w:pPr>
    </w:p>
    <w:sectPr w:rsidR="00CA706B">
      <w:footerReference w:type="default" r:id="rId7"/>
      <w:pgSz w:w="11900" w:h="16840"/>
      <w:pgMar w:top="917" w:right="1390" w:bottom="1171" w:left="9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D384F">
      <w:r>
        <w:separator/>
      </w:r>
    </w:p>
  </w:endnote>
  <w:endnote w:type="continuationSeparator" w:id="0">
    <w:p w:rsidR="00000000" w:rsidRDefault="000D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06B" w:rsidRDefault="000D384F">
    <w:pPr>
      <w:rPr>
        <w:sz w:val="2"/>
        <w:szCs w:val="2"/>
      </w:rPr>
    </w:pPr>
    <w:r>
      <w:pict>
        <v:shapetype id="_x0000_t202" coordsize="21600,21600" o:spt="202" path="m,l,21600r21600,l21600,xe">
          <v:stroke joinstyle="miter"/>
          <v:path gradientshapeok="t" o:connecttype="rect"/>
        </v:shapetype>
        <v:shape id="_x0000_s2049" type="#_x0000_t202" style="position:absolute;margin-left:53pt;margin-top:795.2pt;width:65.5pt;height:6.25pt;z-index:-251658752;mso-wrap-style:none;mso-wrap-distance-left:5pt;mso-wrap-distance-right:5pt;mso-position-horizontal-relative:page;mso-position-vertical-relative:page" wrapcoords="0 0" filled="f" stroked="f">
          <v:textbox style="mso-fit-shape-to-text:t" inset="0,0,0,0">
            <w:txbxContent>
              <w:p w:rsidR="00CA706B" w:rsidRDefault="000D384F">
                <w:pPr>
                  <w:pStyle w:val="Headerorfooter0"/>
                  <w:shd w:val="clear" w:color="auto" w:fill="auto"/>
                  <w:spacing w:line="240" w:lineRule="auto"/>
                </w:pPr>
                <w:r>
                  <w:rPr>
                    <w:rStyle w:val="Headerorfooter1"/>
                  </w:rPr>
                  <w:t>Dohoda o narovnání</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06B" w:rsidRDefault="00CA706B"/>
  </w:footnote>
  <w:footnote w:type="continuationSeparator" w:id="0">
    <w:p w:rsidR="00CA706B" w:rsidRDefault="00CA70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56F49"/>
    <w:multiLevelType w:val="multilevel"/>
    <w:tmpl w:val="2E98DF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ED1A79"/>
    <w:multiLevelType w:val="multilevel"/>
    <w:tmpl w:val="8BB882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FA63B7"/>
    <w:multiLevelType w:val="multilevel"/>
    <w:tmpl w:val="729E78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CA706B"/>
    <w:rsid w:val="000D384F"/>
    <w:rsid w:val="00596FE1"/>
    <w:rsid w:val="00CA70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FDC61B7-058F-4716-AC70-AEA4891C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3">
    <w:name w:val="Body text (3)_"/>
    <w:basedOn w:val="Standardnpsmoodstavce"/>
    <w:link w:val="Bodytext30"/>
    <w:rPr>
      <w:rFonts w:ascii="Calibri" w:eastAsia="Calibri" w:hAnsi="Calibri" w:cs="Calibri"/>
      <w:b w:val="0"/>
      <w:bCs w:val="0"/>
      <w:i/>
      <w:iCs/>
      <w:smallCaps w:val="0"/>
      <w:strike w:val="0"/>
      <w:sz w:val="22"/>
      <w:szCs w:val="22"/>
      <w:u w:val="none"/>
    </w:rPr>
  </w:style>
  <w:style w:type="character" w:customStyle="1" w:styleId="Headerorfooter">
    <w:name w:val="Header or footer_"/>
    <w:basedOn w:val="Standardnpsmoodstavce"/>
    <w:link w:val="Headerorfooter0"/>
    <w:rPr>
      <w:rFonts w:ascii="Tahoma" w:eastAsia="Tahoma" w:hAnsi="Tahoma" w:cs="Tahoma"/>
      <w:b w:val="0"/>
      <w:bCs w:val="0"/>
      <w:i w:val="0"/>
      <w:iCs w:val="0"/>
      <w:smallCaps w:val="0"/>
      <w:strike w:val="0"/>
      <w:sz w:val="15"/>
      <w:szCs w:val="15"/>
      <w:u w:val="none"/>
    </w:rPr>
  </w:style>
  <w:style w:type="character" w:customStyle="1" w:styleId="Headerorfooter1">
    <w:name w:val="Header or footer"/>
    <w:basedOn w:val="Headerorfooter"/>
    <w:rPr>
      <w:rFonts w:ascii="Tahoma" w:eastAsia="Tahoma" w:hAnsi="Tahoma" w:cs="Tahoma"/>
      <w:b w:val="0"/>
      <w:bCs w:val="0"/>
      <w:i w:val="0"/>
      <w:iCs w:val="0"/>
      <w:smallCaps w:val="0"/>
      <w:strike w:val="0"/>
      <w:color w:val="000000"/>
      <w:spacing w:val="0"/>
      <w:w w:val="100"/>
      <w:position w:val="0"/>
      <w:sz w:val="15"/>
      <w:szCs w:val="15"/>
      <w:u w:val="none"/>
      <w:lang w:val="cs-CZ" w:eastAsia="cs-CZ" w:bidi="cs-CZ"/>
    </w:rPr>
  </w:style>
  <w:style w:type="character" w:customStyle="1" w:styleId="Bodytext4">
    <w:name w:val="Body text (4)_"/>
    <w:basedOn w:val="Standardnpsmoodstavce"/>
    <w:link w:val="Bodytext40"/>
    <w:rPr>
      <w:rFonts w:ascii="Calibri" w:eastAsia="Calibri" w:hAnsi="Calibri" w:cs="Calibri"/>
      <w:b/>
      <w:bCs/>
      <w:i w:val="0"/>
      <w:iCs w:val="0"/>
      <w:smallCaps w:val="0"/>
      <w:strike w:val="0"/>
      <w:sz w:val="22"/>
      <w:szCs w:val="22"/>
      <w:u w:val="none"/>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2"/>
      <w:szCs w:val="22"/>
      <w:u w:val="none"/>
    </w:rPr>
  </w:style>
  <w:style w:type="character" w:customStyle="1" w:styleId="Bodytext2Italic">
    <w:name w:val="Body text (2) + Italic"/>
    <w:basedOn w:val="Bodytext2"/>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Bodytext5">
    <w:name w:val="Body text (5)_"/>
    <w:basedOn w:val="Standardnpsmoodstavce"/>
    <w:link w:val="Bodytext50"/>
    <w:rPr>
      <w:rFonts w:ascii="Calibri" w:eastAsia="Calibri" w:hAnsi="Calibri" w:cs="Calibri"/>
      <w:b w:val="0"/>
      <w:bCs w:val="0"/>
      <w:i w:val="0"/>
      <w:iCs w:val="0"/>
      <w:smallCaps w:val="0"/>
      <w:strike w:val="0"/>
      <w:sz w:val="20"/>
      <w:szCs w:val="20"/>
      <w:u w:val="none"/>
    </w:rPr>
  </w:style>
  <w:style w:type="character" w:customStyle="1" w:styleId="Bodytext5Italic">
    <w:name w:val="Body text (5) + Italic"/>
    <w:basedOn w:val="Bodytext5"/>
    <w:rPr>
      <w:rFonts w:ascii="Calibri" w:eastAsia="Calibri" w:hAnsi="Calibri" w:cs="Calibri"/>
      <w:b w:val="0"/>
      <w:bCs w:val="0"/>
      <w:i/>
      <w:iCs/>
      <w:smallCaps w:val="0"/>
      <w:strike w:val="0"/>
      <w:color w:val="000000"/>
      <w:spacing w:val="0"/>
      <w:w w:val="100"/>
      <w:position w:val="0"/>
      <w:sz w:val="20"/>
      <w:szCs w:val="20"/>
      <w:u w:val="none"/>
      <w:lang w:val="cs-CZ" w:eastAsia="cs-CZ" w:bidi="cs-CZ"/>
    </w:rPr>
  </w:style>
  <w:style w:type="character" w:customStyle="1" w:styleId="Heading2">
    <w:name w:val="Heading #2_"/>
    <w:basedOn w:val="Standardnpsmoodstavce"/>
    <w:link w:val="Heading20"/>
    <w:rPr>
      <w:rFonts w:ascii="Calibri" w:eastAsia="Calibri" w:hAnsi="Calibri" w:cs="Calibri"/>
      <w:b/>
      <w:bCs/>
      <w:i w:val="0"/>
      <w:iCs w:val="0"/>
      <w:smallCaps w:val="0"/>
      <w:strike w:val="0"/>
      <w:spacing w:val="30"/>
      <w:sz w:val="36"/>
      <w:szCs w:val="36"/>
      <w:u w:val="none"/>
    </w:rPr>
  </w:style>
  <w:style w:type="character" w:customStyle="1" w:styleId="Heading3">
    <w:name w:val="Heading #3_"/>
    <w:basedOn w:val="Standardnpsmoodstavce"/>
    <w:link w:val="Heading30"/>
    <w:rPr>
      <w:rFonts w:ascii="Calibri" w:eastAsia="Calibri" w:hAnsi="Calibri" w:cs="Calibri"/>
      <w:b/>
      <w:bCs/>
      <w:i w:val="0"/>
      <w:iCs w:val="0"/>
      <w:smallCaps w:val="0"/>
      <w:strike w:val="0"/>
      <w:sz w:val="22"/>
      <w:szCs w:val="22"/>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Bodytext2Italic0">
    <w:name w:val="Body text (2) + Italic"/>
    <w:basedOn w:val="Bodytext2"/>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Bodytext23">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Bodytext275pt">
    <w:name w:val="Body text (2) + 7;5 pt"/>
    <w:basedOn w:val="Bodytext2"/>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Bodytext275pt0">
    <w:name w:val="Body text (2) + 7;5 pt"/>
    <w:basedOn w:val="Bodytext2"/>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Bodytext2Italic1">
    <w:name w:val="Body text (2) + Italic"/>
    <w:basedOn w:val="Bodytext2"/>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Bodytext24">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Bodytext2Tahoma97ptItalic">
    <w:name w:val="Body text (2) + Tahoma;97 pt;Italic"/>
    <w:basedOn w:val="Bodytext2"/>
    <w:rPr>
      <w:rFonts w:ascii="Tahoma" w:eastAsia="Tahoma" w:hAnsi="Tahoma" w:cs="Tahoma"/>
      <w:b w:val="0"/>
      <w:bCs w:val="0"/>
      <w:i/>
      <w:iCs/>
      <w:smallCaps w:val="0"/>
      <w:strike w:val="0"/>
      <w:color w:val="000000"/>
      <w:spacing w:val="0"/>
      <w:w w:val="100"/>
      <w:position w:val="0"/>
      <w:sz w:val="194"/>
      <w:szCs w:val="194"/>
      <w:u w:val="none"/>
      <w:lang w:val="cs-CZ" w:eastAsia="cs-CZ" w:bidi="cs-CZ"/>
    </w:rPr>
  </w:style>
  <w:style w:type="character" w:customStyle="1" w:styleId="Bodytext2ArialNarrow22ptItalic">
    <w:name w:val="Body text (2) + Arial Narrow;22 pt;Italic"/>
    <w:basedOn w:val="Bodytext2"/>
    <w:rPr>
      <w:rFonts w:ascii="Arial Narrow" w:eastAsia="Arial Narrow" w:hAnsi="Arial Narrow" w:cs="Arial Narrow"/>
      <w:b w:val="0"/>
      <w:bCs w:val="0"/>
      <w:i/>
      <w:iCs/>
      <w:smallCaps w:val="0"/>
      <w:strike w:val="0"/>
      <w:color w:val="000000"/>
      <w:spacing w:val="0"/>
      <w:w w:val="100"/>
      <w:position w:val="0"/>
      <w:sz w:val="44"/>
      <w:szCs w:val="44"/>
      <w:u w:val="none"/>
      <w:lang w:val="cs-CZ" w:eastAsia="cs-CZ" w:bidi="cs-CZ"/>
    </w:rPr>
  </w:style>
  <w:style w:type="character" w:customStyle="1" w:styleId="Tablecaption2">
    <w:name w:val="Table caption (2)_"/>
    <w:basedOn w:val="Standardnpsmoodstavce"/>
    <w:link w:val="Tablecaption20"/>
    <w:rPr>
      <w:rFonts w:ascii="Calibri" w:eastAsia="Calibri" w:hAnsi="Calibri" w:cs="Calibri"/>
      <w:b w:val="0"/>
      <w:bCs w:val="0"/>
      <w:i w:val="0"/>
      <w:iCs w:val="0"/>
      <w:smallCaps w:val="0"/>
      <w:strike w:val="0"/>
      <w:sz w:val="22"/>
      <w:szCs w:val="22"/>
      <w:u w:val="none"/>
    </w:rPr>
  </w:style>
  <w:style w:type="character" w:customStyle="1" w:styleId="Tablecaption29ptBold">
    <w:name w:val="Table caption (2) + 9 pt;Bold"/>
    <w:basedOn w:val="Tablecaption2"/>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Tablecaption3">
    <w:name w:val="Table caption (3)_"/>
    <w:basedOn w:val="Standardnpsmoodstavce"/>
    <w:link w:val="Tablecaption30"/>
    <w:rPr>
      <w:rFonts w:ascii="Calibri" w:eastAsia="Calibri" w:hAnsi="Calibri" w:cs="Calibri"/>
      <w:b/>
      <w:bCs/>
      <w:i w:val="0"/>
      <w:iCs w:val="0"/>
      <w:smallCaps w:val="0"/>
      <w:strike w:val="0"/>
      <w:sz w:val="18"/>
      <w:szCs w:val="18"/>
      <w:u w:val="none"/>
    </w:rPr>
  </w:style>
  <w:style w:type="character" w:customStyle="1" w:styleId="Tablecaption">
    <w:name w:val="Table caption_"/>
    <w:basedOn w:val="Standardnpsmoodstavce"/>
    <w:link w:val="Tablecaption0"/>
    <w:rPr>
      <w:rFonts w:ascii="Tahoma" w:eastAsia="Tahoma" w:hAnsi="Tahoma" w:cs="Tahoma"/>
      <w:b w:val="0"/>
      <w:bCs w:val="0"/>
      <w:i w:val="0"/>
      <w:iCs w:val="0"/>
      <w:smallCaps w:val="0"/>
      <w:strike w:val="0"/>
      <w:w w:val="100"/>
      <w:sz w:val="13"/>
      <w:szCs w:val="13"/>
      <w:u w:val="none"/>
    </w:rPr>
  </w:style>
  <w:style w:type="character" w:customStyle="1" w:styleId="TablecaptionArialNarrow85ptBold">
    <w:name w:val="Table caption + Arial Narrow;8;5 pt;Bold"/>
    <w:basedOn w:val="Tablecaption"/>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Tablecaption4">
    <w:name w:val="Table caption (4)_"/>
    <w:basedOn w:val="Standardnpsmoodstavce"/>
    <w:link w:val="Tablecaption40"/>
    <w:rPr>
      <w:rFonts w:ascii="Calibri" w:eastAsia="Calibri" w:hAnsi="Calibri" w:cs="Calibri"/>
      <w:b w:val="0"/>
      <w:bCs w:val="0"/>
      <w:i w:val="0"/>
      <w:iCs w:val="0"/>
      <w:smallCaps w:val="0"/>
      <w:strike w:val="0"/>
      <w:sz w:val="20"/>
      <w:szCs w:val="20"/>
      <w:u w:val="none"/>
    </w:rPr>
  </w:style>
  <w:style w:type="character" w:customStyle="1" w:styleId="Heading1">
    <w:name w:val="Heading #1_"/>
    <w:basedOn w:val="Standardnpsmoodstavce"/>
    <w:link w:val="Heading10"/>
    <w:rPr>
      <w:rFonts w:ascii="Calibri" w:eastAsia="Calibri" w:hAnsi="Calibri" w:cs="Calibri"/>
      <w:b/>
      <w:bCs/>
      <w:i w:val="0"/>
      <w:iCs w:val="0"/>
      <w:smallCaps w:val="0"/>
      <w:strike w:val="0"/>
      <w:spacing w:val="-20"/>
      <w:sz w:val="42"/>
      <w:szCs w:val="42"/>
      <w:u w:val="none"/>
    </w:rPr>
  </w:style>
  <w:style w:type="character" w:customStyle="1" w:styleId="Heading120ptItalicSpacing2pt">
    <w:name w:val="Heading #1 + 20 pt;Italic;Spacing 2 pt"/>
    <w:basedOn w:val="Heading1"/>
    <w:rPr>
      <w:rFonts w:ascii="Calibri" w:eastAsia="Calibri" w:hAnsi="Calibri" w:cs="Calibri"/>
      <w:b/>
      <w:bCs/>
      <w:i/>
      <w:iCs/>
      <w:smallCaps w:val="0"/>
      <w:strike w:val="0"/>
      <w:color w:val="000000"/>
      <w:spacing w:val="40"/>
      <w:w w:val="100"/>
      <w:position w:val="0"/>
      <w:sz w:val="40"/>
      <w:szCs w:val="40"/>
      <w:u w:val="none"/>
      <w:lang w:val="cs-CZ" w:eastAsia="cs-CZ" w:bidi="cs-CZ"/>
    </w:rPr>
  </w:style>
  <w:style w:type="character" w:customStyle="1" w:styleId="Heading1Arial18ptSpacing0pt">
    <w:name w:val="Heading #1 + Arial;18 pt;Spacing 0 pt"/>
    <w:basedOn w:val="Heading1"/>
    <w:rPr>
      <w:rFonts w:ascii="Arial" w:eastAsia="Arial" w:hAnsi="Arial" w:cs="Arial"/>
      <w:b/>
      <w:bCs/>
      <w:i w:val="0"/>
      <w:iCs w:val="0"/>
      <w:smallCaps w:val="0"/>
      <w:strike w:val="0"/>
      <w:color w:val="000000"/>
      <w:spacing w:val="0"/>
      <w:w w:val="100"/>
      <w:position w:val="0"/>
      <w:sz w:val="36"/>
      <w:szCs w:val="36"/>
      <w:u w:val="none"/>
      <w:lang w:val="cs-CZ" w:eastAsia="cs-CZ" w:bidi="cs-CZ"/>
    </w:rPr>
  </w:style>
  <w:style w:type="character" w:customStyle="1" w:styleId="Bodytext6">
    <w:name w:val="Body text (6)_"/>
    <w:basedOn w:val="Standardnpsmoodstavce"/>
    <w:link w:val="Bodytext60"/>
    <w:rPr>
      <w:rFonts w:ascii="Arial" w:eastAsia="Arial" w:hAnsi="Arial" w:cs="Arial"/>
      <w:b w:val="0"/>
      <w:bCs w:val="0"/>
      <w:i w:val="0"/>
      <w:iCs w:val="0"/>
      <w:smallCaps w:val="0"/>
      <w:strike w:val="0"/>
      <w:sz w:val="21"/>
      <w:szCs w:val="21"/>
      <w:u w:val="none"/>
    </w:rPr>
  </w:style>
  <w:style w:type="paragraph" w:customStyle="1" w:styleId="Bodytext30">
    <w:name w:val="Body text (3)"/>
    <w:basedOn w:val="Normln"/>
    <w:link w:val="Bodytext3"/>
    <w:pPr>
      <w:shd w:val="clear" w:color="auto" w:fill="FFFFFF"/>
      <w:spacing w:line="269" w:lineRule="exact"/>
    </w:pPr>
    <w:rPr>
      <w:rFonts w:ascii="Calibri" w:eastAsia="Calibri" w:hAnsi="Calibri" w:cs="Calibri"/>
      <w:i/>
      <w:iCs/>
      <w:sz w:val="22"/>
      <w:szCs w:val="22"/>
    </w:rPr>
  </w:style>
  <w:style w:type="paragraph" w:customStyle="1" w:styleId="Headerorfooter0">
    <w:name w:val="Header or footer"/>
    <w:basedOn w:val="Normln"/>
    <w:link w:val="Headerorfooter"/>
    <w:pPr>
      <w:shd w:val="clear" w:color="auto" w:fill="FFFFFF"/>
      <w:spacing w:line="0" w:lineRule="atLeast"/>
    </w:pPr>
    <w:rPr>
      <w:rFonts w:ascii="Tahoma" w:eastAsia="Tahoma" w:hAnsi="Tahoma" w:cs="Tahoma"/>
      <w:sz w:val="15"/>
      <w:szCs w:val="15"/>
    </w:rPr>
  </w:style>
  <w:style w:type="paragraph" w:customStyle="1" w:styleId="Bodytext40">
    <w:name w:val="Body text (4)"/>
    <w:basedOn w:val="Normln"/>
    <w:link w:val="Bodytext4"/>
    <w:pPr>
      <w:shd w:val="clear" w:color="auto" w:fill="FFFFFF"/>
      <w:spacing w:line="269" w:lineRule="exact"/>
    </w:pPr>
    <w:rPr>
      <w:rFonts w:ascii="Calibri" w:eastAsia="Calibri" w:hAnsi="Calibri" w:cs="Calibri"/>
      <w:b/>
      <w:bCs/>
      <w:sz w:val="22"/>
      <w:szCs w:val="22"/>
    </w:rPr>
  </w:style>
  <w:style w:type="paragraph" w:customStyle="1" w:styleId="Bodytext20">
    <w:name w:val="Body text (2)"/>
    <w:basedOn w:val="Normln"/>
    <w:link w:val="Bodytext2"/>
    <w:pPr>
      <w:shd w:val="clear" w:color="auto" w:fill="FFFFFF"/>
      <w:spacing w:line="269" w:lineRule="exact"/>
      <w:ind w:hanging="660"/>
    </w:pPr>
    <w:rPr>
      <w:rFonts w:ascii="Calibri" w:eastAsia="Calibri" w:hAnsi="Calibri" w:cs="Calibri"/>
      <w:sz w:val="22"/>
      <w:szCs w:val="22"/>
    </w:rPr>
  </w:style>
  <w:style w:type="paragraph" w:customStyle="1" w:styleId="Bodytext50">
    <w:name w:val="Body text (5)"/>
    <w:basedOn w:val="Normln"/>
    <w:link w:val="Bodytext5"/>
    <w:pPr>
      <w:shd w:val="clear" w:color="auto" w:fill="FFFFFF"/>
      <w:spacing w:before="480" w:after="600" w:line="245" w:lineRule="exact"/>
      <w:jc w:val="center"/>
    </w:pPr>
    <w:rPr>
      <w:rFonts w:ascii="Calibri" w:eastAsia="Calibri" w:hAnsi="Calibri" w:cs="Calibri"/>
      <w:sz w:val="20"/>
      <w:szCs w:val="20"/>
    </w:rPr>
  </w:style>
  <w:style w:type="paragraph" w:customStyle="1" w:styleId="Heading20">
    <w:name w:val="Heading #2"/>
    <w:basedOn w:val="Normln"/>
    <w:link w:val="Heading2"/>
    <w:pPr>
      <w:shd w:val="clear" w:color="auto" w:fill="FFFFFF"/>
      <w:spacing w:before="600" w:after="600" w:line="0" w:lineRule="atLeast"/>
      <w:jc w:val="center"/>
      <w:outlineLvl w:val="1"/>
    </w:pPr>
    <w:rPr>
      <w:rFonts w:ascii="Calibri" w:eastAsia="Calibri" w:hAnsi="Calibri" w:cs="Calibri"/>
      <w:b/>
      <w:bCs/>
      <w:spacing w:val="30"/>
      <w:sz w:val="36"/>
      <w:szCs w:val="36"/>
    </w:rPr>
  </w:style>
  <w:style w:type="paragraph" w:customStyle="1" w:styleId="Heading30">
    <w:name w:val="Heading #3"/>
    <w:basedOn w:val="Normln"/>
    <w:link w:val="Heading3"/>
    <w:pPr>
      <w:shd w:val="clear" w:color="auto" w:fill="FFFFFF"/>
      <w:spacing w:before="600" w:line="264" w:lineRule="exact"/>
      <w:jc w:val="center"/>
      <w:outlineLvl w:val="2"/>
    </w:pPr>
    <w:rPr>
      <w:rFonts w:ascii="Calibri" w:eastAsia="Calibri" w:hAnsi="Calibri" w:cs="Calibri"/>
      <w:b/>
      <w:bCs/>
      <w:sz w:val="22"/>
      <w:szCs w:val="22"/>
    </w:rPr>
  </w:style>
  <w:style w:type="paragraph" w:customStyle="1" w:styleId="Tablecaption20">
    <w:name w:val="Table caption (2)"/>
    <w:basedOn w:val="Normln"/>
    <w:link w:val="Tablecaption2"/>
    <w:pPr>
      <w:shd w:val="clear" w:color="auto" w:fill="FFFFFF"/>
      <w:spacing w:line="0" w:lineRule="atLeast"/>
    </w:pPr>
    <w:rPr>
      <w:rFonts w:ascii="Calibri" w:eastAsia="Calibri" w:hAnsi="Calibri" w:cs="Calibri"/>
      <w:sz w:val="22"/>
      <w:szCs w:val="22"/>
    </w:rPr>
  </w:style>
  <w:style w:type="paragraph" w:customStyle="1" w:styleId="Tablecaption30">
    <w:name w:val="Table caption (3)"/>
    <w:basedOn w:val="Normln"/>
    <w:link w:val="Tablecaption3"/>
    <w:pPr>
      <w:shd w:val="clear" w:color="auto" w:fill="FFFFFF"/>
      <w:spacing w:line="0" w:lineRule="atLeast"/>
    </w:pPr>
    <w:rPr>
      <w:rFonts w:ascii="Calibri" w:eastAsia="Calibri" w:hAnsi="Calibri" w:cs="Calibri"/>
      <w:b/>
      <w:bCs/>
      <w:sz w:val="18"/>
      <w:szCs w:val="18"/>
    </w:rPr>
  </w:style>
  <w:style w:type="paragraph" w:customStyle="1" w:styleId="Tablecaption0">
    <w:name w:val="Table caption"/>
    <w:basedOn w:val="Normln"/>
    <w:link w:val="Tablecaption"/>
    <w:pPr>
      <w:shd w:val="clear" w:color="auto" w:fill="FFFFFF"/>
      <w:spacing w:line="0" w:lineRule="atLeast"/>
      <w:jc w:val="right"/>
    </w:pPr>
    <w:rPr>
      <w:rFonts w:ascii="Tahoma" w:eastAsia="Tahoma" w:hAnsi="Tahoma" w:cs="Tahoma"/>
      <w:sz w:val="13"/>
      <w:szCs w:val="13"/>
    </w:rPr>
  </w:style>
  <w:style w:type="paragraph" w:customStyle="1" w:styleId="Tablecaption40">
    <w:name w:val="Table caption (4)"/>
    <w:basedOn w:val="Normln"/>
    <w:link w:val="Tablecaption4"/>
    <w:pPr>
      <w:shd w:val="clear" w:color="auto" w:fill="FFFFFF"/>
      <w:spacing w:line="0" w:lineRule="atLeast"/>
      <w:jc w:val="center"/>
    </w:pPr>
    <w:rPr>
      <w:rFonts w:ascii="Calibri" w:eastAsia="Calibri" w:hAnsi="Calibri" w:cs="Calibri"/>
      <w:sz w:val="20"/>
      <w:szCs w:val="20"/>
    </w:rPr>
  </w:style>
  <w:style w:type="paragraph" w:customStyle="1" w:styleId="Heading10">
    <w:name w:val="Heading #1"/>
    <w:basedOn w:val="Normln"/>
    <w:link w:val="Heading1"/>
    <w:pPr>
      <w:shd w:val="clear" w:color="auto" w:fill="FFFFFF"/>
      <w:spacing w:before="540" w:line="0" w:lineRule="atLeast"/>
      <w:outlineLvl w:val="0"/>
    </w:pPr>
    <w:rPr>
      <w:rFonts w:ascii="Calibri" w:eastAsia="Calibri" w:hAnsi="Calibri" w:cs="Calibri"/>
      <w:b/>
      <w:bCs/>
      <w:spacing w:val="-20"/>
      <w:sz w:val="42"/>
      <w:szCs w:val="42"/>
    </w:rPr>
  </w:style>
  <w:style w:type="paragraph" w:customStyle="1" w:styleId="Bodytext60">
    <w:name w:val="Body text (6)"/>
    <w:basedOn w:val="Normln"/>
    <w:link w:val="Bodytext6"/>
    <w:pPr>
      <w:shd w:val="clear" w:color="auto" w:fill="FFFFFF"/>
      <w:spacing w:line="211" w:lineRule="exact"/>
      <w:jc w:val="center"/>
    </w:pPr>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1907</Words>
  <Characters>11252</Characters>
  <Application>Microsoft Office Word</Application>
  <DocSecurity>0</DocSecurity>
  <Lines>93</Lines>
  <Paragraphs>26</Paragraphs>
  <ScaleCrop>false</ScaleCrop>
  <Company/>
  <LinksUpToDate>false</LinksUpToDate>
  <CharactersWithSpaces>13133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104616</cp:lastModifiedBy>
  <cp:revision>3</cp:revision>
  <dcterms:created xsi:type="dcterms:W3CDTF">2025-12-02T10:55:00Z</dcterms:created>
  <dcterms:modified xsi:type="dcterms:W3CDTF">2025-12-02T10:56:00Z</dcterms:modified>
</cp:coreProperties>
</file>