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F157B0" w:rsidRPr="009F5CD8" w:rsidRDefault="00F157B0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926E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Vývoj technologického příslušenství obráběcích strojů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926E6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596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F157B0" w:rsidRPr="009F5CD8" w:rsidRDefault="00F157B0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632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135"/>
        <w:gridCol w:w="6804"/>
        <w:gridCol w:w="1417"/>
        <w:gridCol w:w="1276"/>
      </w:tblGrid>
      <w:tr w:rsidR="006D4B5B" w:rsidRPr="000B1AAB" w:rsidTr="00F157B0">
        <w:trPr>
          <w:trHeight w:val="624"/>
        </w:trPr>
        <w:tc>
          <w:tcPr>
            <w:tcW w:w="1135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804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41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27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F157B0">
        <w:tc>
          <w:tcPr>
            <w:tcW w:w="10632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F157B0">
        <w:tc>
          <w:tcPr>
            <w:tcW w:w="1135" w:type="dxa"/>
          </w:tcPr>
          <w:p w:rsidR="00926E66" w:rsidRDefault="00926E66" w:rsidP="00FD10D9">
            <w:pPr>
              <w:jc w:val="center"/>
            </w:pPr>
          </w:p>
          <w:p w:rsidR="00926E66" w:rsidRDefault="00926E66" w:rsidP="00FD10D9">
            <w:pPr>
              <w:jc w:val="center"/>
            </w:pPr>
          </w:p>
          <w:p w:rsidR="00926E66" w:rsidRDefault="00926E66" w:rsidP="00FD10D9">
            <w:pPr>
              <w:jc w:val="center"/>
            </w:pPr>
          </w:p>
          <w:p w:rsidR="000B1AAB" w:rsidRPr="008C3671" w:rsidRDefault="00926E66" w:rsidP="00FD10D9">
            <w:pPr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6C352D" w:rsidRPr="00926E66" w:rsidRDefault="00926E66" w:rsidP="000B1AAB">
            <w:pPr>
              <w:rPr>
                <w:b/>
              </w:rPr>
            </w:pPr>
            <w:r w:rsidRPr="00926E66">
              <w:rPr>
                <w:b/>
              </w:rPr>
              <w:t>Návrh a výpočty</w:t>
            </w:r>
          </w:p>
          <w:p w:rsidR="00926E66" w:rsidRDefault="00926E66" w:rsidP="000B1AAB">
            <w:r>
              <w:t>- definice podílů zdrojů tepla, možnosti způsobů chlazení a mazání</w:t>
            </w:r>
          </w:p>
          <w:p w:rsidR="00926E66" w:rsidRDefault="00926E66" w:rsidP="000B1AAB">
            <w:r>
              <w:t>- návrh a zpracování konstrukční dokumentace jednoosé, souvisle řízené, frézovací hlavy „S“</w:t>
            </w:r>
          </w:p>
          <w:p w:rsidR="00926E66" w:rsidRDefault="00926E66" w:rsidP="000B1AAB">
            <w:r>
              <w:t>- návrh a zpracování konstrukční dokumentace dvouosé frézovací hlavy s přesností polohování po 0,001° „L“</w:t>
            </w:r>
          </w:p>
          <w:p w:rsidR="00926E66" w:rsidRPr="008C3671" w:rsidRDefault="00926E66" w:rsidP="000B1AAB">
            <w:r>
              <w:t>- návrh a zpracování konstrukční dokumentace univerzální dvouosé frézovací hlavy a přesností polohování po 1° „S“</w:t>
            </w:r>
          </w:p>
        </w:tc>
        <w:tc>
          <w:tcPr>
            <w:tcW w:w="1417" w:type="dxa"/>
          </w:tcPr>
          <w:p w:rsidR="00926E66" w:rsidRDefault="00926E66" w:rsidP="00926E66"/>
          <w:p w:rsidR="00926E66" w:rsidRDefault="00926E66" w:rsidP="00926E66">
            <w:pPr>
              <w:jc w:val="center"/>
            </w:pPr>
          </w:p>
          <w:p w:rsidR="006E7F35" w:rsidRDefault="00926E66" w:rsidP="00926E66">
            <w:pPr>
              <w:jc w:val="center"/>
            </w:pPr>
            <w:r>
              <w:t>TOS VARNSDORF,</w:t>
            </w:r>
          </w:p>
          <w:p w:rsidR="00926E66" w:rsidRDefault="00926E66" w:rsidP="0067228B">
            <w:pPr>
              <w:jc w:val="center"/>
            </w:pPr>
            <w:r>
              <w:t>VÚTS,</w:t>
            </w:r>
          </w:p>
          <w:p w:rsidR="00926E66" w:rsidRPr="008C3671" w:rsidRDefault="00926E66" w:rsidP="0067228B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926E66" w:rsidRDefault="00926E66" w:rsidP="0067228B">
            <w:pPr>
              <w:ind w:left="-110" w:firstLine="110"/>
              <w:jc w:val="center"/>
            </w:pPr>
          </w:p>
          <w:p w:rsidR="00926E66" w:rsidRDefault="00926E66" w:rsidP="0067228B">
            <w:pPr>
              <w:ind w:left="-110" w:firstLine="110"/>
              <w:jc w:val="center"/>
            </w:pPr>
          </w:p>
          <w:p w:rsidR="00926E66" w:rsidRPr="008C3671" w:rsidRDefault="00926E66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F157B0">
        <w:tc>
          <w:tcPr>
            <w:tcW w:w="1135" w:type="dxa"/>
          </w:tcPr>
          <w:p w:rsidR="00F157B0" w:rsidRDefault="00F157B0" w:rsidP="00FD10D9">
            <w:pPr>
              <w:jc w:val="center"/>
            </w:pPr>
          </w:p>
          <w:p w:rsidR="007759A5" w:rsidRPr="008C3671" w:rsidRDefault="00F157B0" w:rsidP="00FD10D9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6C352D" w:rsidRDefault="00F157B0" w:rsidP="006C352D">
            <w:pPr>
              <w:rPr>
                <w:b/>
              </w:rPr>
            </w:pPr>
            <w:r w:rsidRPr="00F157B0">
              <w:rPr>
                <w:b/>
              </w:rPr>
              <w:t>Výroba, montáž a oživení</w:t>
            </w:r>
          </w:p>
          <w:p w:rsidR="00F157B0" w:rsidRDefault="00F157B0" w:rsidP="006C352D">
            <w:r w:rsidRPr="00F157B0">
              <w:t>- zahájení výroby prototypu</w:t>
            </w:r>
            <w:r>
              <w:t xml:space="preserve"> jednoosé, souvisle řízené, frézovací hlavy „S“</w:t>
            </w:r>
          </w:p>
          <w:p w:rsidR="00F157B0" w:rsidRPr="00F157B0" w:rsidRDefault="00F157B0" w:rsidP="006C352D">
            <w:r>
              <w:t xml:space="preserve">- zahájení výroby prototypu dvouosé frézovací hlavy s přesností polohování po </w:t>
            </w:r>
            <w:r>
              <w:t>0,001° „L“</w:t>
            </w:r>
          </w:p>
        </w:tc>
        <w:tc>
          <w:tcPr>
            <w:tcW w:w="1417" w:type="dxa"/>
          </w:tcPr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6C352D" w:rsidRPr="00BE36B5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F157B0" w:rsidRPr="00BE36B5" w:rsidRDefault="00F157B0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F157B0">
        <w:tc>
          <w:tcPr>
            <w:tcW w:w="10632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926E66" w:rsidRPr="000B1AAB" w:rsidTr="00F157B0">
        <w:tc>
          <w:tcPr>
            <w:tcW w:w="1135" w:type="dxa"/>
          </w:tcPr>
          <w:p w:rsidR="00926E66" w:rsidRDefault="00926E66" w:rsidP="00926E66">
            <w:pPr>
              <w:jc w:val="center"/>
            </w:pPr>
          </w:p>
          <w:p w:rsidR="00926E66" w:rsidRDefault="00926E66" w:rsidP="00926E66">
            <w:pPr>
              <w:jc w:val="center"/>
            </w:pPr>
          </w:p>
          <w:p w:rsidR="00926E66" w:rsidRDefault="00926E66" w:rsidP="00926E66">
            <w:pPr>
              <w:jc w:val="center"/>
            </w:pPr>
          </w:p>
          <w:p w:rsidR="00926E66" w:rsidRPr="008C3671" w:rsidRDefault="00926E66" w:rsidP="00926E66">
            <w:pPr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926E66" w:rsidRPr="00926E66" w:rsidRDefault="00926E66" w:rsidP="00926E66">
            <w:pPr>
              <w:rPr>
                <w:b/>
              </w:rPr>
            </w:pPr>
            <w:r w:rsidRPr="00926E66">
              <w:rPr>
                <w:b/>
              </w:rPr>
              <w:t>Návrh a výpočty</w:t>
            </w:r>
          </w:p>
          <w:p w:rsidR="00926E66" w:rsidRDefault="00926E66" w:rsidP="00926E66">
            <w:r>
              <w:t>- definice podílů zdrojů tepla, možnosti způsobů chlazení a mazání</w:t>
            </w:r>
          </w:p>
          <w:p w:rsidR="00926E66" w:rsidRDefault="00926E66" w:rsidP="00926E66">
            <w:r>
              <w:t>- návrh a zpracování konstrukční dokumentace jednoosé, souvisle řízené, frézovací hlavy „S“</w:t>
            </w:r>
          </w:p>
          <w:p w:rsidR="00926E66" w:rsidRDefault="00926E66" w:rsidP="00926E66">
            <w:r>
              <w:t>- návrh a zpracování konstrukční dokumentace dvouosé frézovací hlavy s přesností polohování po 0,001° „L“</w:t>
            </w:r>
          </w:p>
          <w:p w:rsidR="00926E66" w:rsidRPr="008C3671" w:rsidRDefault="00926E66" w:rsidP="00926E66">
            <w:r>
              <w:t>- návrh a zpracování konstrukční dokumentace univerzální dvouosé frézovací hlavy a přesností polohování po 1° „S“</w:t>
            </w:r>
          </w:p>
        </w:tc>
        <w:tc>
          <w:tcPr>
            <w:tcW w:w="1417" w:type="dxa"/>
          </w:tcPr>
          <w:p w:rsidR="00926E66" w:rsidRDefault="00926E66" w:rsidP="00926E66"/>
          <w:p w:rsidR="00926E66" w:rsidRDefault="00926E66" w:rsidP="00926E66">
            <w:pPr>
              <w:jc w:val="center"/>
            </w:pPr>
          </w:p>
          <w:p w:rsidR="00926E66" w:rsidRDefault="00926E66" w:rsidP="00926E66">
            <w:pPr>
              <w:jc w:val="center"/>
            </w:pPr>
            <w:r>
              <w:t>TOS VARNSDORF,</w:t>
            </w:r>
          </w:p>
          <w:p w:rsidR="00926E66" w:rsidRDefault="00926E66" w:rsidP="00926E66">
            <w:pPr>
              <w:jc w:val="center"/>
            </w:pPr>
            <w:r>
              <w:t>VÚTS,</w:t>
            </w:r>
          </w:p>
          <w:p w:rsidR="00926E66" w:rsidRPr="008C3671" w:rsidRDefault="00926E66" w:rsidP="00926E66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926E66" w:rsidRDefault="00926E66" w:rsidP="00926E66">
            <w:pPr>
              <w:ind w:left="-110" w:firstLine="110"/>
              <w:jc w:val="center"/>
            </w:pPr>
          </w:p>
          <w:p w:rsidR="00926E66" w:rsidRDefault="00926E66" w:rsidP="00926E66">
            <w:pPr>
              <w:ind w:left="-110" w:firstLine="110"/>
              <w:jc w:val="center"/>
            </w:pPr>
          </w:p>
          <w:p w:rsidR="00926E66" w:rsidRDefault="00926E66" w:rsidP="00926E66">
            <w:pPr>
              <w:ind w:left="-110" w:firstLine="110"/>
              <w:jc w:val="center"/>
            </w:pPr>
          </w:p>
          <w:p w:rsidR="00926E66" w:rsidRPr="008C3671" w:rsidRDefault="00F157B0" w:rsidP="00926E66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F157B0" w:rsidRPr="000B1AAB" w:rsidTr="00F157B0">
        <w:tc>
          <w:tcPr>
            <w:tcW w:w="1135" w:type="dxa"/>
          </w:tcPr>
          <w:p w:rsidR="00F157B0" w:rsidRDefault="00F157B0" w:rsidP="00F157B0">
            <w:pPr>
              <w:jc w:val="center"/>
            </w:pPr>
          </w:p>
          <w:p w:rsidR="00F157B0" w:rsidRPr="008C3671" w:rsidRDefault="00F157B0" w:rsidP="00F157B0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F157B0" w:rsidRDefault="00F157B0" w:rsidP="00F157B0">
            <w:pPr>
              <w:rPr>
                <w:b/>
              </w:rPr>
            </w:pPr>
            <w:r w:rsidRPr="00F157B0">
              <w:rPr>
                <w:b/>
              </w:rPr>
              <w:t>Výroba, montáž a oživení</w:t>
            </w:r>
          </w:p>
          <w:p w:rsidR="00F157B0" w:rsidRDefault="00F157B0" w:rsidP="00F157B0">
            <w:r w:rsidRPr="00F157B0">
              <w:t>- zahájení výroby prototypu</w:t>
            </w:r>
            <w:r>
              <w:t xml:space="preserve"> jednoosé, souvisle řízené, frézovací hlavy „S“</w:t>
            </w:r>
          </w:p>
          <w:p w:rsidR="00F157B0" w:rsidRPr="00F157B0" w:rsidRDefault="00F157B0" w:rsidP="00F157B0">
            <w:r>
              <w:t xml:space="preserve">- zahájení výroby prototypu dvouosé frézovací hlavy s přesností polohování po </w:t>
            </w:r>
            <w:r>
              <w:t>0,001° „L“</w:t>
            </w:r>
          </w:p>
        </w:tc>
        <w:tc>
          <w:tcPr>
            <w:tcW w:w="1417" w:type="dxa"/>
          </w:tcPr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F157B0" w:rsidRPr="00BE36B5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F157B0" w:rsidRDefault="00F157B0" w:rsidP="00F157B0">
            <w:pPr>
              <w:ind w:left="-110" w:firstLine="110"/>
              <w:jc w:val="center"/>
            </w:pPr>
          </w:p>
          <w:p w:rsidR="00F157B0" w:rsidRPr="00BE36B5" w:rsidRDefault="00F157B0" w:rsidP="00F157B0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F157B0" w:rsidRPr="000B1AAB" w:rsidTr="00F157B0">
        <w:tc>
          <w:tcPr>
            <w:tcW w:w="1135" w:type="dxa"/>
          </w:tcPr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Pr="008C3671" w:rsidRDefault="00F157B0" w:rsidP="00F157B0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F157B0" w:rsidRDefault="00F157B0" w:rsidP="00F157B0">
            <w:r>
              <w:rPr>
                <w:b/>
              </w:rPr>
              <w:t>Zkoušky, měření a verifikace</w:t>
            </w:r>
          </w:p>
          <w:p w:rsidR="00F157B0" w:rsidRDefault="00F157B0" w:rsidP="00F157B0">
            <w:r>
              <w:t>- zkoušky prototypu jednoosé, souvisle řízení, frézovací hlavy „S“</w:t>
            </w:r>
          </w:p>
          <w:p w:rsidR="00F157B0" w:rsidRDefault="00F157B0" w:rsidP="00F157B0">
            <w:r>
              <w:t xml:space="preserve">- zkoušky prototypu </w:t>
            </w:r>
            <w:r>
              <w:t>dvouosé frézovací hlavy s přesností polohování po 0,001° „L“</w:t>
            </w:r>
          </w:p>
          <w:p w:rsidR="00F157B0" w:rsidRPr="00F157B0" w:rsidRDefault="00F157B0" w:rsidP="00F157B0">
            <w:r>
              <w:t xml:space="preserve">- zahájení zkoušek prototypu dvouosé </w:t>
            </w:r>
            <w:r>
              <w:t>frézovací hlavy a přesností polohování po 1° „S“</w:t>
            </w:r>
          </w:p>
        </w:tc>
        <w:tc>
          <w:tcPr>
            <w:tcW w:w="1417" w:type="dxa"/>
          </w:tcPr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F157B0" w:rsidRPr="00BE36B5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F157B0" w:rsidRDefault="00F157B0" w:rsidP="00F157B0">
            <w:pPr>
              <w:ind w:left="-110" w:firstLine="110"/>
              <w:jc w:val="center"/>
            </w:pPr>
          </w:p>
          <w:p w:rsidR="00F157B0" w:rsidRDefault="00F157B0" w:rsidP="00F157B0">
            <w:pPr>
              <w:ind w:left="-110" w:firstLine="110"/>
              <w:jc w:val="center"/>
            </w:pPr>
          </w:p>
          <w:p w:rsidR="00F157B0" w:rsidRPr="00BE36B5" w:rsidRDefault="00F157B0" w:rsidP="00F157B0">
            <w:pPr>
              <w:ind w:left="-110" w:firstLine="110"/>
              <w:jc w:val="center"/>
            </w:pPr>
            <w:r>
              <w:t>Přechází do r. 2019</w:t>
            </w:r>
          </w:p>
        </w:tc>
      </w:tr>
      <w:tr w:rsidR="00F157B0" w:rsidRPr="000B1AAB" w:rsidTr="00F157B0">
        <w:tc>
          <w:tcPr>
            <w:tcW w:w="1135" w:type="dxa"/>
          </w:tcPr>
          <w:p w:rsidR="00F157B0" w:rsidRPr="008C3671" w:rsidRDefault="00F157B0" w:rsidP="00F157B0">
            <w:pPr>
              <w:jc w:val="center"/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57B0" w:rsidRPr="008C3671" w:rsidRDefault="00F157B0" w:rsidP="00F157B0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417" w:type="dxa"/>
          </w:tcPr>
          <w:p w:rsidR="00F157B0" w:rsidRPr="008C3671" w:rsidRDefault="00F157B0" w:rsidP="00F157B0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F157B0" w:rsidRPr="008C3671" w:rsidRDefault="00F157B0" w:rsidP="00F157B0">
            <w:pPr>
              <w:ind w:left="506" w:hanging="506"/>
              <w:jc w:val="center"/>
            </w:pPr>
          </w:p>
        </w:tc>
      </w:tr>
      <w:tr w:rsidR="00F157B0" w:rsidRPr="000B1AAB" w:rsidTr="00F157B0">
        <w:tc>
          <w:tcPr>
            <w:tcW w:w="1135" w:type="dxa"/>
          </w:tcPr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Pr="008C3671" w:rsidRDefault="00F157B0" w:rsidP="00F157B0">
            <w:pPr>
              <w:jc w:val="center"/>
            </w:pPr>
            <w:r>
              <w:t>1</w:t>
            </w:r>
          </w:p>
        </w:tc>
        <w:tc>
          <w:tcPr>
            <w:tcW w:w="6804" w:type="dxa"/>
          </w:tcPr>
          <w:p w:rsidR="00F157B0" w:rsidRPr="00926E66" w:rsidRDefault="00F157B0" w:rsidP="00F157B0">
            <w:pPr>
              <w:rPr>
                <w:b/>
              </w:rPr>
            </w:pPr>
            <w:r w:rsidRPr="00926E66">
              <w:rPr>
                <w:b/>
              </w:rPr>
              <w:t>Návrh a výpočty</w:t>
            </w:r>
          </w:p>
          <w:p w:rsidR="00F157B0" w:rsidRDefault="00F157B0" w:rsidP="00F157B0">
            <w:r>
              <w:t>- definice podílů zdrojů tepla, možnosti způsobů chlazení a mazání</w:t>
            </w:r>
          </w:p>
          <w:p w:rsidR="00F157B0" w:rsidRDefault="00F157B0" w:rsidP="00F157B0">
            <w:r>
              <w:t>- návrh a zpracování konstrukční dokumentace jednoosé, souvisle řízené, frézovací hlavy „S“</w:t>
            </w:r>
          </w:p>
          <w:p w:rsidR="00F157B0" w:rsidRDefault="00F157B0" w:rsidP="00F157B0">
            <w:r>
              <w:t>- návrh a zpracování konstrukční dokumentace dvouosé frézovací hlavy s přesností polohování po 0,001° „L“</w:t>
            </w:r>
          </w:p>
          <w:p w:rsidR="00F157B0" w:rsidRPr="008C3671" w:rsidRDefault="00F157B0" w:rsidP="00F157B0">
            <w:r>
              <w:t>- návrh a zpracování konstrukční dokumentace univerzální dvouosé frézovací hlavy a přesností polohování po 1° „S“</w:t>
            </w:r>
          </w:p>
        </w:tc>
        <w:tc>
          <w:tcPr>
            <w:tcW w:w="1417" w:type="dxa"/>
          </w:tcPr>
          <w:p w:rsidR="00F157B0" w:rsidRDefault="00F157B0" w:rsidP="00F157B0"/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F157B0" w:rsidRPr="008C3671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F157B0" w:rsidRDefault="00F157B0" w:rsidP="00F157B0">
            <w:pPr>
              <w:ind w:left="-110" w:firstLine="110"/>
              <w:jc w:val="center"/>
            </w:pPr>
          </w:p>
          <w:p w:rsidR="00F157B0" w:rsidRDefault="00F157B0" w:rsidP="00F157B0">
            <w:pPr>
              <w:ind w:left="-110" w:firstLine="110"/>
              <w:jc w:val="center"/>
            </w:pPr>
          </w:p>
          <w:p w:rsidR="00F157B0" w:rsidRDefault="00F157B0" w:rsidP="00F157B0">
            <w:pPr>
              <w:ind w:left="-110" w:firstLine="110"/>
              <w:jc w:val="center"/>
            </w:pPr>
          </w:p>
          <w:p w:rsidR="00F157B0" w:rsidRDefault="00F157B0" w:rsidP="00F157B0">
            <w:pPr>
              <w:ind w:left="-110" w:firstLine="110"/>
              <w:jc w:val="center"/>
            </w:pPr>
          </w:p>
          <w:p w:rsidR="00F157B0" w:rsidRPr="008C3671" w:rsidRDefault="00F157B0" w:rsidP="00F157B0">
            <w:pPr>
              <w:ind w:left="-110" w:firstLine="110"/>
              <w:jc w:val="center"/>
            </w:pPr>
            <w:bookmarkStart w:id="0" w:name="_GoBack"/>
            <w:bookmarkEnd w:id="0"/>
            <w:r>
              <w:t>03/2019</w:t>
            </w:r>
          </w:p>
        </w:tc>
      </w:tr>
      <w:tr w:rsidR="00F157B0" w:rsidRPr="000B1AAB" w:rsidTr="00F157B0">
        <w:tc>
          <w:tcPr>
            <w:tcW w:w="1135" w:type="dxa"/>
          </w:tcPr>
          <w:p w:rsidR="00F157B0" w:rsidRDefault="00F157B0" w:rsidP="00F157B0">
            <w:pPr>
              <w:jc w:val="center"/>
            </w:pPr>
          </w:p>
          <w:p w:rsidR="00F157B0" w:rsidRPr="008C3671" w:rsidRDefault="00F157B0" w:rsidP="00F157B0">
            <w:pPr>
              <w:jc w:val="center"/>
            </w:pPr>
            <w:r>
              <w:t>2</w:t>
            </w:r>
          </w:p>
        </w:tc>
        <w:tc>
          <w:tcPr>
            <w:tcW w:w="6804" w:type="dxa"/>
          </w:tcPr>
          <w:p w:rsidR="00F157B0" w:rsidRDefault="00F157B0" w:rsidP="00F157B0">
            <w:pPr>
              <w:rPr>
                <w:b/>
              </w:rPr>
            </w:pPr>
            <w:r w:rsidRPr="00F157B0">
              <w:rPr>
                <w:b/>
              </w:rPr>
              <w:t>Výroba, montáž a oživení</w:t>
            </w:r>
          </w:p>
          <w:p w:rsidR="00F157B0" w:rsidRDefault="00F157B0" w:rsidP="00F157B0">
            <w:r w:rsidRPr="00F157B0">
              <w:t>- zahájení výroby prototypu</w:t>
            </w:r>
            <w:r>
              <w:t xml:space="preserve"> jednoosé, souvisle řízené, frézovací hlavy „S“</w:t>
            </w:r>
          </w:p>
          <w:p w:rsidR="00F157B0" w:rsidRPr="00F157B0" w:rsidRDefault="00F157B0" w:rsidP="00F157B0">
            <w:r>
              <w:t xml:space="preserve">- zahájení výroby prototypu dvouosé frézovací hlavy s přesností polohování po </w:t>
            </w:r>
            <w:r>
              <w:t>0,001° „L“</w:t>
            </w:r>
          </w:p>
        </w:tc>
        <w:tc>
          <w:tcPr>
            <w:tcW w:w="1417" w:type="dxa"/>
          </w:tcPr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F157B0" w:rsidRPr="00BE36B5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F157B0" w:rsidRDefault="00F157B0" w:rsidP="00F157B0">
            <w:pPr>
              <w:ind w:left="-110" w:firstLine="110"/>
              <w:jc w:val="center"/>
            </w:pPr>
          </w:p>
          <w:p w:rsidR="00F157B0" w:rsidRPr="00BE36B5" w:rsidRDefault="00F157B0" w:rsidP="00F157B0">
            <w:pPr>
              <w:ind w:left="-110" w:firstLine="110"/>
              <w:jc w:val="center"/>
            </w:pPr>
            <w:r>
              <w:t>06/2019</w:t>
            </w:r>
          </w:p>
        </w:tc>
      </w:tr>
      <w:tr w:rsidR="00F157B0" w:rsidRPr="000B1AAB" w:rsidTr="00D326AF">
        <w:tc>
          <w:tcPr>
            <w:tcW w:w="1135" w:type="dxa"/>
          </w:tcPr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</w:p>
          <w:p w:rsidR="00F157B0" w:rsidRPr="008C3671" w:rsidRDefault="00F157B0" w:rsidP="00F157B0">
            <w:pPr>
              <w:jc w:val="center"/>
            </w:pPr>
            <w:r>
              <w:t>3</w:t>
            </w:r>
          </w:p>
        </w:tc>
        <w:tc>
          <w:tcPr>
            <w:tcW w:w="6804" w:type="dxa"/>
          </w:tcPr>
          <w:p w:rsidR="00F157B0" w:rsidRDefault="00F157B0" w:rsidP="00F157B0">
            <w:r>
              <w:rPr>
                <w:b/>
              </w:rPr>
              <w:t>Zkoušky, měření a verifikace</w:t>
            </w:r>
          </w:p>
          <w:p w:rsidR="00F157B0" w:rsidRDefault="00F157B0" w:rsidP="00F157B0">
            <w:r>
              <w:t>- zkoušky prototypu jednoosé, souvisle řízení, frézovací hlavy „S“</w:t>
            </w:r>
          </w:p>
          <w:p w:rsidR="00F157B0" w:rsidRDefault="00F157B0" w:rsidP="00F157B0">
            <w:r>
              <w:t xml:space="preserve">- zkoušky prototypu </w:t>
            </w:r>
            <w:r>
              <w:t>dvouosé frézovací hlavy s přesností polohování po 0,001° „L“</w:t>
            </w:r>
          </w:p>
          <w:p w:rsidR="00F157B0" w:rsidRPr="00F157B0" w:rsidRDefault="00F157B0" w:rsidP="00F157B0">
            <w:r>
              <w:t xml:space="preserve">- zahájení zkoušek prototypu dvouosé </w:t>
            </w:r>
            <w:r>
              <w:t>frézovací hlavy a přesností polohování po 1° „S“</w:t>
            </w:r>
          </w:p>
        </w:tc>
        <w:tc>
          <w:tcPr>
            <w:tcW w:w="1417" w:type="dxa"/>
          </w:tcPr>
          <w:p w:rsidR="00F157B0" w:rsidRDefault="00F157B0" w:rsidP="00F157B0">
            <w:pPr>
              <w:jc w:val="center"/>
            </w:pPr>
          </w:p>
          <w:p w:rsidR="00F157B0" w:rsidRDefault="00F157B0" w:rsidP="00F157B0">
            <w:pPr>
              <w:jc w:val="center"/>
            </w:pPr>
            <w:r>
              <w:t>TOS VARNSDORF,</w:t>
            </w:r>
          </w:p>
          <w:p w:rsidR="00F157B0" w:rsidRDefault="00F157B0" w:rsidP="00F157B0">
            <w:pPr>
              <w:jc w:val="center"/>
            </w:pPr>
            <w:r>
              <w:t>VÚTS,</w:t>
            </w:r>
          </w:p>
          <w:p w:rsidR="00F157B0" w:rsidRPr="00BE36B5" w:rsidRDefault="00F157B0" w:rsidP="00F157B0">
            <w:pPr>
              <w:jc w:val="center"/>
            </w:pPr>
            <w:r>
              <w:t>ČVUT</w:t>
            </w:r>
          </w:p>
        </w:tc>
        <w:tc>
          <w:tcPr>
            <w:tcW w:w="1276" w:type="dxa"/>
          </w:tcPr>
          <w:p w:rsidR="00F157B0" w:rsidRDefault="00F157B0" w:rsidP="00F157B0">
            <w:pPr>
              <w:ind w:left="-110" w:firstLine="110"/>
              <w:jc w:val="center"/>
            </w:pPr>
          </w:p>
          <w:p w:rsidR="00F157B0" w:rsidRDefault="00F157B0" w:rsidP="00F157B0">
            <w:pPr>
              <w:ind w:left="-110" w:firstLine="110"/>
              <w:jc w:val="center"/>
            </w:pPr>
          </w:p>
          <w:p w:rsidR="00F157B0" w:rsidRPr="00BE36B5" w:rsidRDefault="00F157B0" w:rsidP="00F157B0">
            <w:pPr>
              <w:ind w:left="-110" w:firstLine="110"/>
              <w:jc w:val="center"/>
            </w:pPr>
            <w:r>
              <w:t>08/2019</w:t>
            </w:r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26E66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157B0"/>
    <w:rsid w:val="00F22F7B"/>
    <w:rsid w:val="00F251A0"/>
    <w:rsid w:val="00F7684B"/>
    <w:rsid w:val="00FD10D9"/>
    <w:rsid w:val="00FD7177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93F47801.dotm</Template>
  <TotalTime>528</TotalTime>
  <Pages>2</Pages>
  <Words>464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2017-07-26T12:23:00Z</cp:lastPrinted>
  <dcterms:created xsi:type="dcterms:W3CDTF">2016-08-30T13:22:00Z</dcterms:created>
  <dcterms:modified xsi:type="dcterms:W3CDTF">2017-07-26T13:01:00Z</dcterms:modified>
</cp:coreProperties>
</file>