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Smlouva</w:t>
      </w:r>
      <w:r w:rsidR="00DD195C" w:rsidRPr="00457FE0">
        <w:rPr>
          <w:rFonts w:ascii="Book Antiqua" w:eastAsia="Calibri" w:hAnsi="Book Antiqua" w:cs="Times New Roman"/>
          <w:b/>
          <w:caps/>
          <w:sz w:val="20"/>
          <w:szCs w:val="20"/>
        </w:rPr>
        <w:t xml:space="preserve"> č.</w:t>
      </w:r>
      <w:r w:rsidR="002A2A99">
        <w:rPr>
          <w:rFonts w:ascii="Book Antiqua" w:eastAsia="Calibri" w:hAnsi="Book Antiqua" w:cs="Times New Roman"/>
          <w:b/>
          <w:caps/>
          <w:sz w:val="20"/>
          <w:szCs w:val="20"/>
        </w:rPr>
        <w:t xml:space="preserve"> S_0084_00069434_2025</w:t>
      </w:r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uzavřená dle ustanovení § 2079 a násl. zákona č. 89/2012 Sb., občanský zákoník</w:t>
      </w:r>
    </w:p>
    <w:p w:rsidR="008D5EDE" w:rsidRPr="00457FE0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  <w:t>Smluvní strany</w:t>
      </w:r>
    </w:p>
    <w:p w:rsidR="00F70D0E" w:rsidRPr="00457FE0" w:rsidRDefault="00F70D0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</w:p>
    <w:p w:rsidR="008D5EDE" w:rsidRPr="0037213E" w:rsidRDefault="00F70D0E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b/>
          <w:bCs/>
          <w:lang w:eastAsia="cs-CZ"/>
        </w:rPr>
      </w:pPr>
      <w:r w:rsidRPr="0037213E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Název firmy:</w:t>
      </w:r>
      <w:r w:rsidRPr="0037213E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Pr="0037213E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="00FC13E0" w:rsidRPr="0037213E">
        <w:rPr>
          <w:rFonts w:ascii="Book Antiqua" w:eastAsia="Times New Roman" w:hAnsi="Book Antiqua" w:cs="Tahoma"/>
          <w:b/>
          <w:bCs/>
          <w:lang w:eastAsia="cs-CZ"/>
        </w:rPr>
        <w:t xml:space="preserve"> </w:t>
      </w:r>
      <w:r w:rsidR="0037213E" w:rsidRPr="0037213E">
        <w:rPr>
          <w:rFonts w:ascii="Book Antiqua" w:eastAsia="Times New Roman" w:hAnsi="Book Antiqua" w:cs="Tahoma"/>
          <w:b/>
          <w:bCs/>
          <w:lang w:eastAsia="cs-CZ"/>
        </w:rPr>
        <w:t xml:space="preserve">LKQ </w:t>
      </w:r>
      <w:proofErr w:type="spellStart"/>
      <w:r w:rsidR="0037213E" w:rsidRPr="0037213E">
        <w:rPr>
          <w:rFonts w:ascii="Book Antiqua" w:eastAsia="Times New Roman" w:hAnsi="Book Antiqua" w:cs="Tahoma"/>
          <w:b/>
          <w:bCs/>
          <w:lang w:eastAsia="cs-CZ"/>
        </w:rPr>
        <w:t>Cz</w:t>
      </w:r>
      <w:proofErr w:type="spellEnd"/>
      <w:r w:rsidR="0037213E" w:rsidRPr="0037213E">
        <w:rPr>
          <w:rFonts w:ascii="Book Antiqua" w:eastAsia="Times New Roman" w:hAnsi="Book Antiqua" w:cs="Tahoma"/>
          <w:b/>
          <w:bCs/>
          <w:lang w:eastAsia="cs-CZ"/>
        </w:rPr>
        <w:t xml:space="preserve"> s.r.o.</w:t>
      </w:r>
      <w:r w:rsidRPr="0037213E">
        <w:rPr>
          <w:rFonts w:ascii="Book Antiqua" w:eastAsia="Times New Roman" w:hAnsi="Book Antiqua" w:cs="Tahoma"/>
          <w:b/>
          <w:bCs/>
          <w:lang w:eastAsia="cs-CZ"/>
        </w:rPr>
        <w:tab/>
      </w:r>
    </w:p>
    <w:p w:rsidR="008D5EDE" w:rsidRPr="0037213E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se sídlem: 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37213E" w:rsidRPr="0037213E">
        <w:rPr>
          <w:rFonts w:ascii="Book Antiqua" w:eastAsia="Times New Roman" w:hAnsi="Book Antiqua" w:cs="Tahoma"/>
          <w:sz w:val="20"/>
          <w:szCs w:val="20"/>
          <w:lang w:eastAsia="cs-CZ"/>
        </w:rPr>
        <w:t>Kolbenova 1021/9, 190 00 Praha 9</w:t>
      </w:r>
    </w:p>
    <w:p w:rsidR="008D5EDE" w:rsidRPr="0037213E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>zastoupen: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37213E" w:rsidRPr="0037213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Petr </w:t>
      </w:r>
      <w:proofErr w:type="spellStart"/>
      <w:r w:rsidR="0037213E" w:rsidRPr="0037213E">
        <w:rPr>
          <w:rFonts w:ascii="Book Antiqua" w:eastAsia="Times New Roman" w:hAnsi="Book Antiqua" w:cs="Tahoma"/>
          <w:sz w:val="20"/>
          <w:szCs w:val="20"/>
          <w:lang w:eastAsia="cs-CZ"/>
        </w:rPr>
        <w:t>Koleniak</w:t>
      </w:r>
      <w:proofErr w:type="spellEnd"/>
    </w:p>
    <w:p w:rsidR="008D5EDE" w:rsidRPr="0037213E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>IČ: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37213E">
        <w:rPr>
          <w:rFonts w:ascii="Book Antiqua" w:eastAsia="Times New Roman" w:hAnsi="Book Antiqua" w:cs="Tahoma"/>
          <w:sz w:val="20"/>
          <w:szCs w:val="20"/>
          <w:lang w:eastAsia="cs-CZ"/>
        </w:rPr>
        <w:t>24787426</w:t>
      </w:r>
    </w:p>
    <w:p w:rsidR="008D5EDE" w:rsidRPr="0037213E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37213E">
        <w:rPr>
          <w:rFonts w:ascii="Book Antiqua" w:eastAsia="Times New Roman" w:hAnsi="Book Antiqua" w:cs="Tahoma"/>
          <w:sz w:val="20"/>
          <w:szCs w:val="20"/>
          <w:lang w:eastAsia="cs-CZ"/>
        </w:rPr>
        <w:t>CZ24787426</w:t>
      </w:r>
    </w:p>
    <w:p w:rsidR="008D5EDE" w:rsidRPr="0037213E" w:rsidRDefault="008D5EDE" w:rsidP="008D5EDE">
      <w:pPr>
        <w:numPr>
          <w:ilvl w:val="12"/>
          <w:numId w:val="0"/>
        </w:numPr>
        <w:tabs>
          <w:tab w:val="left" w:pos="2160"/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>Bankovní spojení: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proofErr w:type="spellStart"/>
      <w:r w:rsidR="0037213E">
        <w:rPr>
          <w:rFonts w:ascii="Book Antiqua" w:eastAsia="Times New Roman" w:hAnsi="Book Antiqua" w:cs="Tahoma"/>
          <w:sz w:val="20"/>
          <w:szCs w:val="20"/>
          <w:lang w:eastAsia="cs-CZ"/>
        </w:rPr>
        <w:t>Unicredit</w:t>
      </w:r>
      <w:proofErr w:type="spellEnd"/>
    </w:p>
    <w:p w:rsidR="008D5EDE" w:rsidRPr="0037213E" w:rsidRDefault="00DA7FAC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>Číslo účtu:</w:t>
      </w:r>
      <w:r w:rsidRPr="0037213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37213E">
        <w:rPr>
          <w:rFonts w:ascii="Book Antiqua" w:eastAsia="Times New Roman" w:hAnsi="Book Antiqua" w:cs="Tahoma"/>
          <w:sz w:val="20"/>
          <w:szCs w:val="20"/>
          <w:lang w:eastAsia="cs-CZ"/>
        </w:rPr>
        <w:t>2105708047/2700</w:t>
      </w:r>
    </w:p>
    <w:p w:rsidR="008D5EDE" w:rsidRPr="00457FE0" w:rsidRDefault="008D5EDE" w:rsidP="008D5EDE">
      <w:pPr>
        <w:numPr>
          <w:ilvl w:val="12"/>
          <w:numId w:val="0"/>
        </w:numPr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i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iCs/>
          <w:sz w:val="20"/>
          <w:szCs w:val="20"/>
          <w:lang w:eastAsia="cs-CZ"/>
        </w:rPr>
        <w:t>(dále jen „prodávající“)</w:t>
      </w:r>
    </w:p>
    <w:p w:rsidR="008D5EDE" w:rsidRPr="00457FE0" w:rsidRDefault="008D5EDE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a</w:t>
      </w:r>
    </w:p>
    <w:p w:rsidR="00715FF8" w:rsidRPr="00457FE0" w:rsidRDefault="00715FF8" w:rsidP="00715FF8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>Název školy</w:t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 xml:space="preserve">Střední lesnická škola a Střední odborné učiliště, Křivoklát, </w:t>
      </w:r>
    </w:p>
    <w:p w:rsidR="00715FF8" w:rsidRPr="00457FE0" w:rsidRDefault="00715FF8" w:rsidP="00715FF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>Písky 181</w:t>
      </w:r>
    </w:p>
    <w:p w:rsidR="00715FF8" w:rsidRPr="00457FE0" w:rsidRDefault="00715FF8" w:rsidP="00715FF8">
      <w:pPr>
        <w:tabs>
          <w:tab w:val="left" w:pos="426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se sídlem: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 xml:space="preserve">Písky </w:t>
      </w:r>
      <w:bookmarkStart w:id="0" w:name="_GoBack"/>
      <w:r w:rsidRPr="00457FE0">
        <w:rPr>
          <w:rFonts w:ascii="Book Antiqua" w:hAnsi="Book Antiqua" w:cs="Book Antiqua"/>
          <w:sz w:val="20"/>
          <w:szCs w:val="20"/>
          <w:lang w:eastAsia="cs-CZ"/>
        </w:rPr>
        <w:t>181</w:t>
      </w:r>
      <w:bookmarkEnd w:id="0"/>
      <w:r w:rsidRPr="00457FE0">
        <w:rPr>
          <w:rFonts w:ascii="Book Antiqua" w:hAnsi="Book Antiqua" w:cs="Book Antiqua"/>
          <w:sz w:val="20"/>
          <w:szCs w:val="20"/>
          <w:lang w:eastAsia="cs-CZ"/>
        </w:rPr>
        <w:t>, 270 23 Křivoklát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zastoupena: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5A2508">
        <w:rPr>
          <w:rFonts w:ascii="Book Antiqua" w:hAnsi="Book Antiqua" w:cs="Book Antiqua"/>
          <w:sz w:val="20"/>
          <w:szCs w:val="20"/>
          <w:lang w:eastAsia="cs-CZ"/>
        </w:rPr>
        <w:t xml:space="preserve">Mgr. Alexandrou </w:t>
      </w:r>
      <w:proofErr w:type="spellStart"/>
      <w:r w:rsidR="005A2508">
        <w:rPr>
          <w:rFonts w:ascii="Book Antiqua" w:hAnsi="Book Antiqua" w:cs="Book Antiqua"/>
          <w:sz w:val="20"/>
          <w:szCs w:val="20"/>
          <w:lang w:eastAsia="cs-CZ"/>
        </w:rPr>
        <w:t>Lochovou</w:t>
      </w:r>
      <w:proofErr w:type="spellEnd"/>
    </w:p>
    <w:p w:rsidR="00715FF8" w:rsidRPr="00457FE0" w:rsidRDefault="00715FF8" w:rsidP="00715FF8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00069434</w:t>
      </w:r>
    </w:p>
    <w:p w:rsidR="00715FF8" w:rsidRPr="00457FE0" w:rsidRDefault="00715FF8" w:rsidP="00715FF8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DIČ: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CZ00069434</w:t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Bankovní spojení: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Komerční banka a.s.</w:t>
      </w:r>
    </w:p>
    <w:p w:rsidR="00715FF8" w:rsidRPr="00457FE0" w:rsidRDefault="00715FF8" w:rsidP="00715FF8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Číslo účtu: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B8566C">
        <w:rPr>
          <w:rFonts w:ascii="Book Antiqua" w:hAnsi="Book Antiqua" w:cs="Book Antiqua"/>
          <w:sz w:val="20"/>
          <w:szCs w:val="20"/>
          <w:lang w:eastAsia="cs-CZ"/>
        </w:rPr>
        <w:t>8835221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/0100</w:t>
      </w:r>
    </w:p>
    <w:p w:rsidR="00715FF8" w:rsidRPr="00457FE0" w:rsidRDefault="00715FF8" w:rsidP="001A3721">
      <w:pPr>
        <w:pStyle w:val="Zkladntext2"/>
        <w:ind w:left="2832" w:hanging="2475"/>
        <w:rPr>
          <w:rFonts w:ascii="Book Antiqua" w:hAnsi="Book Antiqua"/>
          <w:sz w:val="20"/>
        </w:rPr>
      </w:pPr>
      <w:r w:rsidRPr="00457FE0">
        <w:rPr>
          <w:rFonts w:ascii="Book Antiqua" w:hAnsi="Book Antiqua" w:cs="Book Antiqua"/>
          <w:sz w:val="20"/>
        </w:rPr>
        <w:t>Zřízena:</w:t>
      </w:r>
      <w:r w:rsidRPr="00457FE0">
        <w:rPr>
          <w:rFonts w:ascii="Book Antiqua" w:hAnsi="Book Antiqua" w:cs="Book Antiqua"/>
          <w:sz w:val="20"/>
        </w:rPr>
        <w:tab/>
      </w:r>
      <w:r w:rsidRPr="00457FE0">
        <w:rPr>
          <w:rFonts w:ascii="Book Antiqua" w:hAnsi="Book Antiqua"/>
          <w:sz w:val="20"/>
        </w:rPr>
        <w:t>Středočeský</w:t>
      </w:r>
      <w:r w:rsidR="001A3721" w:rsidRPr="00457FE0">
        <w:rPr>
          <w:rFonts w:ascii="Book Antiqua" w:hAnsi="Book Antiqua"/>
          <w:sz w:val="20"/>
        </w:rPr>
        <w:t>m</w:t>
      </w:r>
      <w:r w:rsidRPr="00457FE0">
        <w:rPr>
          <w:rFonts w:ascii="Book Antiqua" w:hAnsi="Book Antiqua"/>
          <w:sz w:val="20"/>
        </w:rPr>
        <w:t xml:space="preserve"> kraj</w:t>
      </w:r>
      <w:r w:rsidR="001A3721" w:rsidRPr="00457FE0">
        <w:rPr>
          <w:rFonts w:ascii="Book Antiqua" w:hAnsi="Book Antiqua"/>
          <w:sz w:val="20"/>
        </w:rPr>
        <w:t>em</w:t>
      </w:r>
      <w:r w:rsidRPr="00457FE0">
        <w:rPr>
          <w:rFonts w:ascii="Book Antiqua" w:hAnsi="Book Antiqua"/>
          <w:sz w:val="20"/>
        </w:rPr>
        <w:t xml:space="preserve"> se sídlem Zborovská 11, Praha 5 – Smíchov</w:t>
      </w:r>
      <w:r w:rsidR="001A3721" w:rsidRPr="00457FE0">
        <w:rPr>
          <w:rFonts w:ascii="Book Antiqua" w:hAnsi="Book Antiqua"/>
          <w:sz w:val="20"/>
        </w:rPr>
        <w:t xml:space="preserve">, </w:t>
      </w:r>
      <w:r w:rsidRPr="00457FE0">
        <w:rPr>
          <w:rFonts w:ascii="Book Antiqua" w:hAnsi="Book Antiqua"/>
          <w:sz w:val="20"/>
        </w:rPr>
        <w:t>IČO: 70891095, usnesením zastupitelstva ze dne 6. 12. 2001 č. j.: OŠMS/5962/2001</w:t>
      </w:r>
    </w:p>
    <w:p w:rsidR="008D5EDE" w:rsidRPr="00457FE0" w:rsidRDefault="008D5EDE" w:rsidP="00715FF8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(dále jen „kupující“)</w:t>
      </w:r>
    </w:p>
    <w:p w:rsidR="008D5EDE" w:rsidRPr="00457FE0" w:rsidRDefault="008D5EDE" w:rsidP="008D5EDE">
      <w:pPr>
        <w:tabs>
          <w:tab w:val="left" w:pos="1701"/>
        </w:tabs>
        <w:spacing w:after="0" w:line="240" w:lineRule="auto"/>
        <w:ind w:left="1701" w:hanging="1701"/>
        <w:rPr>
          <w:rFonts w:ascii="Book Antiqua" w:eastAsia="Calibri" w:hAnsi="Book Antiqua" w:cs="Times New Roman"/>
          <w:sz w:val="20"/>
          <w:szCs w:val="20"/>
        </w:rPr>
      </w:pPr>
    </w:p>
    <w:p w:rsidR="008D5EDE" w:rsidRPr="00457FE0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uzavírají níže uvedeného dne, měsíce a roku tuto</w:t>
      </w:r>
    </w:p>
    <w:p w:rsidR="008D5EDE" w:rsidRPr="00457FE0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ook Antiqua" w:eastAsia="Calibri" w:hAnsi="Book Antiqua" w:cs="Times New Roman"/>
          <w:sz w:val="20"/>
          <w:szCs w:val="20"/>
        </w:rPr>
      </w:pPr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SmlouvU: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I.</w:t>
      </w:r>
    </w:p>
    <w:p w:rsidR="008D5EDE" w:rsidRPr="00457FE0" w:rsidRDefault="008D5EDE" w:rsidP="008D5EDE">
      <w:pPr>
        <w:spacing w:before="120" w:after="2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Předmět smlouvy a koupě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Předmětem této smlouvy je úprava práv a povinností smluvních stran při dodávce </w:t>
      </w:r>
      <w:r w:rsidR="008A6833">
        <w:rPr>
          <w:rFonts w:ascii="Book Antiqua" w:eastAsia="Calibri" w:hAnsi="Book Antiqua" w:cs="Arial"/>
          <w:sz w:val="20"/>
          <w:szCs w:val="20"/>
        </w:rPr>
        <w:t>„</w:t>
      </w:r>
      <w:r w:rsidR="00CB4E3A" w:rsidRPr="00483684">
        <w:rPr>
          <w:rFonts w:ascii="Book Antiqua" w:eastAsia="Calibri" w:hAnsi="Book Antiqua" w:cs="Arial"/>
          <w:sz w:val="20"/>
          <w:szCs w:val="20"/>
          <w:highlight w:val="yellow"/>
        </w:rPr>
        <w:t>A</w:t>
      </w:r>
      <w:r w:rsidR="009B753B" w:rsidRPr="00483684">
        <w:rPr>
          <w:rFonts w:ascii="Book Antiqua" w:eastAsia="Calibri" w:hAnsi="Book Antiqua" w:cs="Arial"/>
          <w:sz w:val="20"/>
          <w:szCs w:val="20"/>
          <w:highlight w:val="yellow"/>
        </w:rPr>
        <w:t>utomobilového dvousloupového zvedáku</w:t>
      </w:r>
      <w:r w:rsidR="008A6833" w:rsidRPr="00483684">
        <w:rPr>
          <w:rFonts w:ascii="Book Antiqua" w:eastAsia="Calibri" w:hAnsi="Book Antiqua" w:cs="Arial"/>
          <w:sz w:val="20"/>
          <w:szCs w:val="20"/>
          <w:highlight w:val="yellow"/>
        </w:rPr>
        <w:t>“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 do </w:t>
      </w:r>
      <w:r w:rsidR="00095101">
        <w:rPr>
          <w:rFonts w:ascii="Book Antiqua" w:eastAsia="Calibri" w:hAnsi="Book Antiqua" w:cs="Arial"/>
          <w:sz w:val="20"/>
          <w:szCs w:val="20"/>
        </w:rPr>
        <w:t>školy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včetně </w:t>
      </w:r>
      <w:r w:rsidR="008A6833">
        <w:rPr>
          <w:rFonts w:ascii="Book Antiqua" w:eastAsia="Calibri" w:hAnsi="Book Antiqua" w:cs="Arial"/>
          <w:sz w:val="20"/>
          <w:szCs w:val="20"/>
        </w:rPr>
        <w:t>dopravy</w:t>
      </w:r>
      <w:r w:rsidR="003356E6">
        <w:rPr>
          <w:rFonts w:ascii="Book Antiqua" w:eastAsia="Calibri" w:hAnsi="Book Antiqua" w:cs="Arial"/>
          <w:sz w:val="20"/>
          <w:szCs w:val="20"/>
        </w:rPr>
        <w:t>, odborné montáže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</w:t>
      </w:r>
      <w:r w:rsidR="00A826AB">
        <w:rPr>
          <w:rFonts w:ascii="Book Antiqua" w:eastAsia="Calibri" w:hAnsi="Book Antiqua" w:cs="Arial"/>
          <w:sz w:val="20"/>
          <w:szCs w:val="20"/>
        </w:rPr>
        <w:t xml:space="preserve">a proškolení pracovníků </w:t>
      </w:r>
      <w:r w:rsidRPr="00457FE0">
        <w:rPr>
          <w:rFonts w:ascii="Book Antiqua" w:eastAsia="Calibri" w:hAnsi="Book Antiqua" w:cs="Arial"/>
          <w:sz w:val="20"/>
          <w:szCs w:val="20"/>
        </w:rPr>
        <w:t>(dále jako „předmět koupě“) za podmínek dále sjednaných v této smlouvě popř. dalších dokumentech, na které se tato smlouva odkazuje.</w:t>
      </w:r>
    </w:p>
    <w:p w:rsidR="00483684" w:rsidRDefault="008D5EDE" w:rsidP="00D63B50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83684">
        <w:rPr>
          <w:rFonts w:ascii="Book Antiqua" w:eastAsia="Calibri" w:hAnsi="Book Antiqua" w:cs="Arial"/>
          <w:sz w:val="20"/>
          <w:szCs w:val="20"/>
        </w:rPr>
        <w:t>Přesná specifikace předmětu koupě je</w:t>
      </w:r>
      <w:r w:rsidR="00483684" w:rsidRPr="00483684">
        <w:rPr>
          <w:rFonts w:ascii="Book Antiqua" w:eastAsia="Calibri" w:hAnsi="Book Antiqua" w:cs="Arial"/>
          <w:sz w:val="20"/>
          <w:szCs w:val="20"/>
        </w:rPr>
        <w:t xml:space="preserve">: 2-sloupový </w:t>
      </w:r>
      <w:proofErr w:type="spellStart"/>
      <w:r w:rsidR="00483684" w:rsidRPr="00483684">
        <w:rPr>
          <w:rFonts w:ascii="Book Antiqua" w:eastAsia="Calibri" w:hAnsi="Book Antiqua" w:cs="Arial"/>
          <w:sz w:val="20"/>
          <w:szCs w:val="20"/>
        </w:rPr>
        <w:t>elektrohyd</w:t>
      </w:r>
      <w:proofErr w:type="spellEnd"/>
      <w:r w:rsidR="00483684" w:rsidRPr="00483684">
        <w:rPr>
          <w:rFonts w:ascii="Book Antiqua" w:eastAsia="Calibri" w:hAnsi="Book Antiqua" w:cs="Arial"/>
          <w:sz w:val="20"/>
          <w:szCs w:val="20"/>
        </w:rPr>
        <w:t xml:space="preserve">. </w:t>
      </w:r>
      <w:r w:rsidR="008B1EC0">
        <w:rPr>
          <w:rFonts w:ascii="Book Antiqua" w:eastAsia="Calibri" w:hAnsi="Book Antiqua" w:cs="Arial"/>
          <w:sz w:val="20"/>
          <w:szCs w:val="20"/>
        </w:rPr>
        <w:t>z</w:t>
      </w:r>
      <w:r w:rsidR="00483684" w:rsidRPr="00483684">
        <w:rPr>
          <w:rFonts w:ascii="Book Antiqua" w:eastAsia="Calibri" w:hAnsi="Book Antiqua" w:cs="Arial"/>
          <w:sz w:val="20"/>
          <w:szCs w:val="20"/>
        </w:rPr>
        <w:t>vedák s přejezdem 5t</w:t>
      </w:r>
    </w:p>
    <w:p w:rsidR="008D5EDE" w:rsidRPr="00483684" w:rsidRDefault="008D5EDE" w:rsidP="00D63B50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83684">
        <w:rPr>
          <w:rFonts w:ascii="Book Antiqua" w:eastAsia="Calibri" w:hAnsi="Book Antiqua" w:cs="Arial"/>
          <w:sz w:val="20"/>
          <w:szCs w:val="20"/>
        </w:rPr>
        <w:lastRenderedPageBreak/>
        <w:t xml:space="preserve">Součástí předmětu koupě je i příslušenství a doklady, které se k němu vztahují a jsou potřebné k jeho převzetí a užívání. 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iCs/>
          <w:sz w:val="20"/>
          <w:szCs w:val="20"/>
        </w:rPr>
        <w:t>Předmět koupě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je určen pro </w:t>
      </w:r>
      <w:r w:rsidR="00B8566C">
        <w:rPr>
          <w:rFonts w:ascii="Book Antiqua" w:eastAsia="Calibri" w:hAnsi="Book Antiqua" w:cs="Arial"/>
          <w:sz w:val="20"/>
          <w:szCs w:val="20"/>
        </w:rPr>
        <w:t>potřeby školy</w:t>
      </w:r>
      <w:r w:rsidR="005E04B0" w:rsidRPr="00457FE0">
        <w:rPr>
          <w:rFonts w:ascii="Book Antiqua" w:eastAsia="Calibri" w:hAnsi="Book Antiqua" w:cs="Arial"/>
          <w:sz w:val="20"/>
          <w:szCs w:val="20"/>
        </w:rPr>
        <w:t>.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Doba a místo plnění</w:t>
      </w:r>
    </w:p>
    <w:p w:rsidR="008D5EDE" w:rsidRPr="00FA180F" w:rsidRDefault="008D5EDE" w:rsidP="008D5EDE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Prodávající se zavazuje dodat předmět </w:t>
      </w:r>
      <w:r w:rsidRPr="006C62D8">
        <w:rPr>
          <w:rFonts w:ascii="Book Antiqua" w:eastAsia="Calibri" w:hAnsi="Book Antiqua" w:cs="Arial"/>
          <w:sz w:val="20"/>
          <w:szCs w:val="20"/>
        </w:rPr>
        <w:t xml:space="preserve">koupě </w:t>
      </w:r>
      <w:r w:rsidRPr="00FA180F">
        <w:rPr>
          <w:rFonts w:ascii="Book Antiqua" w:eastAsia="Calibri" w:hAnsi="Book Antiqua" w:cs="Arial"/>
          <w:sz w:val="20"/>
          <w:szCs w:val="20"/>
        </w:rPr>
        <w:t>do</w:t>
      </w:r>
      <w:r w:rsidR="0025253E" w:rsidRPr="00FA180F">
        <w:rPr>
          <w:rFonts w:ascii="Book Antiqua" w:eastAsia="Calibri" w:hAnsi="Book Antiqua" w:cs="Arial"/>
          <w:sz w:val="20"/>
          <w:szCs w:val="20"/>
        </w:rPr>
        <w:t xml:space="preserve"> </w:t>
      </w:r>
      <w:proofErr w:type="gramStart"/>
      <w:r w:rsidR="00CB4E3A">
        <w:rPr>
          <w:rFonts w:ascii="Book Antiqua" w:eastAsia="Calibri" w:hAnsi="Book Antiqua" w:cs="Arial"/>
          <w:sz w:val="20"/>
          <w:szCs w:val="20"/>
        </w:rPr>
        <w:t>1</w:t>
      </w:r>
      <w:r w:rsidR="00483684">
        <w:rPr>
          <w:rFonts w:ascii="Book Antiqua" w:eastAsia="Calibri" w:hAnsi="Book Antiqua" w:cs="Arial"/>
          <w:sz w:val="20"/>
          <w:szCs w:val="20"/>
        </w:rPr>
        <w:t>7</w:t>
      </w:r>
      <w:r w:rsidR="008B137B" w:rsidRPr="00FA180F">
        <w:rPr>
          <w:rFonts w:ascii="Book Antiqua" w:eastAsia="Calibri" w:hAnsi="Book Antiqua" w:cs="Arial"/>
          <w:sz w:val="20"/>
          <w:szCs w:val="20"/>
        </w:rPr>
        <w:t>.</w:t>
      </w:r>
      <w:r w:rsidR="008A6833">
        <w:rPr>
          <w:rFonts w:ascii="Book Antiqua" w:eastAsia="Calibri" w:hAnsi="Book Antiqua" w:cs="Arial"/>
          <w:sz w:val="20"/>
          <w:szCs w:val="20"/>
        </w:rPr>
        <w:t>12</w:t>
      </w:r>
      <w:r w:rsidR="0025253E" w:rsidRPr="00FA180F">
        <w:rPr>
          <w:rFonts w:ascii="Book Antiqua" w:eastAsia="Calibri" w:hAnsi="Book Antiqua" w:cs="Arial"/>
          <w:sz w:val="20"/>
          <w:szCs w:val="20"/>
        </w:rPr>
        <w:t>.20</w:t>
      </w:r>
      <w:r w:rsidR="008A6833">
        <w:rPr>
          <w:rFonts w:ascii="Book Antiqua" w:eastAsia="Calibri" w:hAnsi="Book Antiqua" w:cs="Arial"/>
          <w:sz w:val="20"/>
          <w:szCs w:val="20"/>
        </w:rPr>
        <w:t>25</w:t>
      </w:r>
      <w:proofErr w:type="gramEnd"/>
      <w:r w:rsidR="00715FF8" w:rsidRPr="00FA180F">
        <w:rPr>
          <w:rFonts w:ascii="Book Antiqua" w:eastAsia="Calibri" w:hAnsi="Book Antiqua" w:cs="Arial"/>
          <w:sz w:val="20"/>
          <w:szCs w:val="20"/>
        </w:rPr>
        <w:t>.</w:t>
      </w:r>
      <w:r w:rsidR="008A6833">
        <w:rPr>
          <w:rFonts w:ascii="Book Antiqua" w:eastAsia="Calibri" w:hAnsi="Book Antiqua" w:cs="Arial"/>
          <w:sz w:val="20"/>
          <w:szCs w:val="20"/>
        </w:rPr>
        <w:t xml:space="preserve"> </w:t>
      </w:r>
    </w:p>
    <w:p w:rsidR="008D5EDE" w:rsidRPr="00457FE0" w:rsidRDefault="008D5EDE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Místem dodání předmětu koupě je sídlo</w:t>
      </w:r>
      <w:r w:rsidR="00D67EB6" w:rsidRPr="00457FE0">
        <w:rPr>
          <w:rFonts w:ascii="Book Antiqua" w:eastAsia="Calibri" w:hAnsi="Book Antiqua" w:cs="Arial"/>
          <w:sz w:val="20"/>
          <w:szCs w:val="20"/>
        </w:rPr>
        <w:t>: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 Střední lesnická</w:t>
      </w:r>
      <w:r w:rsidR="00715FF8" w:rsidRPr="00457FE0">
        <w:rPr>
          <w:rFonts w:ascii="Book Antiqua" w:eastAsia="Calibri" w:hAnsi="Book Antiqua" w:cs="Arial"/>
          <w:sz w:val="20"/>
          <w:szCs w:val="20"/>
        </w:rPr>
        <w:t xml:space="preserve"> škol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a </w:t>
      </w:r>
      <w:r w:rsidR="00715FF8" w:rsidRPr="00457FE0">
        <w:rPr>
          <w:rFonts w:ascii="Book Antiqua" w:eastAsia="Calibri" w:hAnsi="Book Antiqua" w:cs="Arial"/>
          <w:sz w:val="20"/>
          <w:szCs w:val="20"/>
        </w:rPr>
        <w:t>a SO</w:t>
      </w:r>
      <w:r w:rsidR="00805403">
        <w:rPr>
          <w:rFonts w:ascii="Book Antiqua" w:eastAsia="Calibri" w:hAnsi="Book Antiqua" w:cs="Arial"/>
          <w:sz w:val="20"/>
          <w:szCs w:val="20"/>
        </w:rPr>
        <w:t>U, Písky 181, 270 23 Křivoklát – opravářská dílna.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Kupní cena a platební podmínky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se ujednává ve výši </w:t>
      </w:r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>79 790,-Kč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(</w:t>
      </w:r>
      <w:proofErr w:type="spell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slovy</w:t>
      </w:r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>sedmdesátdevěttisícsedmsetdevadesát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korun</w:t>
      </w:r>
      <w:proofErr w:type="spell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českých) bez DPH a </w:t>
      </w:r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>96 546,90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Kč (slovy </w:t>
      </w:r>
      <w:proofErr w:type="spellStart"/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>devadesátšesttisícpětsetčtyřicetšest</w:t>
      </w:r>
      <w:proofErr w:type="spellEnd"/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="00BC020D" w:rsidRPr="00457FE0">
        <w:rPr>
          <w:rFonts w:ascii="Book Antiqua" w:eastAsia="Times New Roman" w:hAnsi="Book Antiqua" w:cs="Arial"/>
          <w:sz w:val="20"/>
          <w:szCs w:val="20"/>
          <w:lang w:eastAsia="cs-CZ"/>
        </w:rPr>
        <w:t>korun českých</w:t>
      </w:r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90 haléřů</w:t>
      </w:r>
      <w:r w:rsidR="00BC020D" w:rsidRPr="00457FE0">
        <w:rPr>
          <w:rFonts w:ascii="Book Antiqua" w:eastAsia="Times New Roman" w:hAnsi="Book Antiqua" w:cs="Arial"/>
          <w:sz w:val="20"/>
          <w:szCs w:val="20"/>
          <w:lang w:eastAsia="cs-CZ"/>
        </w:rPr>
        <w:t>) s 21%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DPH. </w:t>
      </w:r>
    </w:p>
    <w:p w:rsidR="008D5EDE" w:rsidRPr="00457FE0" w:rsidRDefault="008D5EDE" w:rsidP="008D5EDE">
      <w:pPr>
        <w:spacing w:after="120" w:line="240" w:lineRule="auto"/>
        <w:ind w:left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se rovná ceně plnění veřejné zakázky </w:t>
      </w:r>
      <w:r w:rsidR="00F00840">
        <w:rPr>
          <w:rFonts w:ascii="Book Antiqua" w:eastAsia="Calibri" w:hAnsi="Book Antiqua" w:cs="Arial"/>
          <w:sz w:val="20"/>
          <w:szCs w:val="20"/>
        </w:rPr>
        <w:t>„</w:t>
      </w:r>
      <w:r w:rsidR="00CB4E3A">
        <w:rPr>
          <w:rFonts w:ascii="Book Antiqua" w:eastAsia="Calibri" w:hAnsi="Book Antiqua" w:cs="Arial"/>
          <w:sz w:val="20"/>
          <w:szCs w:val="20"/>
        </w:rPr>
        <w:t>Automobilového dvousloupového zvedáku</w:t>
      </w:r>
      <w:r w:rsidR="00803E0E">
        <w:rPr>
          <w:rFonts w:ascii="Book Antiqua" w:hAnsi="Book Antiqua"/>
          <w:b/>
          <w:sz w:val="20"/>
          <w:szCs w:val="20"/>
        </w:rPr>
        <w:t>“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uvedené v nabídce prodávajícího ze dne </w:t>
      </w:r>
      <w:proofErr w:type="gramStart"/>
      <w:r w:rsidR="00483684">
        <w:rPr>
          <w:rFonts w:ascii="Book Antiqua" w:eastAsia="Times New Roman" w:hAnsi="Book Antiqua" w:cs="Arial"/>
          <w:sz w:val="20"/>
          <w:szCs w:val="20"/>
          <w:lang w:eastAsia="cs-CZ"/>
        </w:rPr>
        <w:t>18.11.25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jenž je </w:t>
      </w:r>
      <w:r w:rsidR="00512330">
        <w:rPr>
          <w:rFonts w:ascii="Book Antiqua" w:eastAsia="Times New Roman" w:hAnsi="Book Antiqua" w:cs="Arial"/>
          <w:sz w:val="20"/>
          <w:szCs w:val="20"/>
          <w:lang w:eastAsia="cs-CZ"/>
        </w:rPr>
        <w:t>p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řílohou </w:t>
      </w:r>
      <w:r w:rsidR="00AC605B" w:rsidRPr="00457FE0">
        <w:rPr>
          <w:rFonts w:ascii="Book Antiqua" w:eastAsia="Times New Roman" w:hAnsi="Book Antiqua" w:cs="Arial"/>
          <w:sz w:val="20"/>
          <w:szCs w:val="20"/>
          <w:lang w:eastAsia="cs-CZ"/>
        </w:rPr>
        <w:t>této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kupní smlouvy.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Kupní cena bude zaplacena kupujícím na základě vystaveného daňového dokladu – faktury, kterou je prodávající oprávněn vystavit až po předání a převzetí předmětu koupě.</w:t>
      </w:r>
      <w:r w:rsidR="00B8566C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Podkladem pro vystavení faktury je Protokol o předání a převzetí předmětu koupě (dále i jako „Protokol“) stvrzený oběma smluvními stranami.</w:t>
      </w:r>
    </w:p>
    <w:p w:rsidR="007D5DA0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Daňový doklad – faktura vystavená prodávajícím musí obsahovat čísl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smlouvy a lhůt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u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splatnosti, která činí </w:t>
      </w:r>
      <w:r w:rsidR="00B11C09"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>14</w:t>
      </w: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dn</w:t>
      </w:r>
      <w:r w:rsidR="00B11C09">
        <w:rPr>
          <w:rFonts w:ascii="Book Antiqua" w:eastAsia="Times New Roman" w:hAnsi="Book Antiqua" w:cs="Arial"/>
          <w:b/>
          <w:sz w:val="20"/>
          <w:szCs w:val="20"/>
          <w:lang w:eastAsia="cs-CZ"/>
        </w:rPr>
        <w:t>í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od dojití faktury kupujícímu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5E74BA" w:rsidRPr="00457FE0" w:rsidRDefault="008D5EDE" w:rsidP="000A00FC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AC605B" w:rsidRPr="00457FE0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 platby dle článku VI. této smlouvy platí přiměřeně platební podmínky jako pro vystavení a placení faktury.</w:t>
      </w:r>
    </w:p>
    <w:p w:rsidR="008D5EDE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Faktury prodávajícího musí mít náležitosti daňového dokladu dle zákona č. 563/1991 Sb., o účetnictví a dle zákona č. 235/2004 Sb., o dani z přidané hodnoty, v platném znění. 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 případě, že faktura nebude mít uvedené náležitosti, kupující není povinen fakturovanou částku uhradit a 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 xml:space="preserve">nedostává se do prodlení. Bez zbytečného odkladu, nejpozději ve lhůtě splatnosti, kupující fakturu vrátí zpět prodávajícímu k doplnění. Lhůta splatnosti počíná běžet od dojití daňového dokladu obsahujícího veškeré náležitosti.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 případě, že účetní doklady nebudou mít odpovídající náležitosti, je kupující oprávněn zaslat je ve lhůtě splatnosti zpět prodávajícím k doplnění, aniž se tak dostane do prodlení s placením; lhůta splatnosti počíná běžet znovu od opětovného doručení náležitě doplněných či opravených dokladů. </w:t>
      </w:r>
    </w:p>
    <w:p w:rsidR="008D5EDE" w:rsidRPr="00457FE0" w:rsidRDefault="008D5EDE" w:rsidP="008D5EDE">
      <w:pPr>
        <w:spacing w:after="50" w:line="240" w:lineRule="auto"/>
        <w:ind w:left="709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Faktury prodávajícího musí obsahovat zejména: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identifikační údaje kupujícího,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identifikační údaje prodávajícího,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označení banky a číslo účtu, na který má být úhrada provedena,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popis plnění,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vystavení a odeslání faktury,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datum uskutečnění zdanitelného plnění,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splatnosti,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výši částky bez DPH celkem a základny podle sazeb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sazby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výši DPH celkem a podle základen, zaokrouhlené dle příslušných předpisů,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cenu celkem včetně DPH,</w:t>
      </w:r>
    </w:p>
    <w:p w:rsidR="008D5EDE" w:rsidRPr="00457FE0" w:rsidRDefault="008D5EDE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podpis, v případě elektronického odeslání jméno osoby, která fakturu vystavila,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Cenu předmětu smlouvy nelze navyšovat. Kupující je oprávněn odečíst cenu neprovedených prací a dodávek vyčíslených podle </w:t>
      </w:r>
      <w:r w:rsidR="006243CF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Specifikace </w:t>
      </w:r>
      <w:r w:rsidR="00FD31D3">
        <w:rPr>
          <w:rFonts w:ascii="Book Antiqua" w:eastAsia="Times New Roman" w:hAnsi="Book Antiqua" w:cs="Arial"/>
          <w:sz w:val="20"/>
          <w:szCs w:val="20"/>
          <w:lang w:eastAsia="cs-CZ"/>
        </w:rPr>
        <w:t>d</w:t>
      </w:r>
      <w:r w:rsidR="00FD31D3" w:rsidRPr="008A6833">
        <w:rPr>
          <w:rFonts w:ascii="Book Antiqua" w:eastAsia="Calibri" w:hAnsi="Book Antiqua" w:cs="Arial"/>
          <w:sz w:val="20"/>
          <w:szCs w:val="20"/>
        </w:rPr>
        <w:t>ílenského vybavení a ručního nářadí</w:t>
      </w:r>
      <w:r w:rsidR="00A94FDA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jež tvoří přílohu č. </w:t>
      </w:r>
      <w:r w:rsidR="00512330">
        <w:rPr>
          <w:rFonts w:ascii="Book Antiqua" w:eastAsia="Times New Roman" w:hAnsi="Book Antiqua" w:cs="Arial"/>
          <w:sz w:val="20"/>
          <w:szCs w:val="20"/>
          <w:lang w:eastAsia="cs-CZ"/>
        </w:rPr>
        <w:t>1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této smlouvy v případě snížení rozsahu prací, dodávek, dílčích změn technologií nebo materiálů odsouhlasených kupujícím a prodávajícím písemnou formou.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IV.</w:t>
      </w:r>
    </w:p>
    <w:p w:rsidR="008D5EDE" w:rsidRPr="00457FE0" w:rsidRDefault="008D5EDE" w:rsidP="008D5EDE">
      <w:pPr>
        <w:keepNext/>
        <w:spacing w:before="120" w:after="0" w:line="240" w:lineRule="auto"/>
        <w:jc w:val="center"/>
        <w:outlineLvl w:val="0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>Splnění závazku (dodání předmětu koupě)</w:t>
      </w:r>
    </w:p>
    <w:p w:rsidR="008D5EDE" w:rsidRPr="00457FE0" w:rsidRDefault="008D5EDE" w:rsidP="008D5EDE">
      <w:pPr>
        <w:keepNext/>
        <w:spacing w:after="120" w:line="240" w:lineRule="auto"/>
        <w:jc w:val="center"/>
        <w:outlineLvl w:val="0"/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  <w:t>Přechod nebezpečí škody a vlastnické právo k předmětu koupě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Ke splnění závazku prodávajícího dojde odevzdáním předmětu koupě kupujícímu v místě plnění, převzetím kupujícím</w:t>
      </w:r>
      <w:r w:rsidR="00B8566C">
        <w:rPr>
          <w:rFonts w:ascii="Book Antiqua" w:eastAsia="Calibri" w:hAnsi="Book Antiqua" w:cs="Arial"/>
          <w:sz w:val="20"/>
          <w:szCs w:val="20"/>
        </w:rPr>
        <w:t>, zaškolením obsluhy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a potvrzením (podepsáním) </w:t>
      </w:r>
      <w:r w:rsidR="00B8566C">
        <w:rPr>
          <w:rFonts w:ascii="Book Antiqua" w:eastAsia="Calibri" w:hAnsi="Book Antiqua" w:cs="Arial"/>
          <w:sz w:val="20"/>
          <w:szCs w:val="20"/>
        </w:rPr>
        <w:t>Předávacího p</w:t>
      </w:r>
      <w:r w:rsidRPr="00457FE0">
        <w:rPr>
          <w:rFonts w:ascii="Book Antiqua" w:eastAsia="Calibri" w:hAnsi="Book Antiqua" w:cs="Arial"/>
          <w:sz w:val="20"/>
          <w:szCs w:val="20"/>
        </w:rPr>
        <w:t>rotokolu oběma smluvními stranami. Předmět koupě není předáván a přebírán po částech</w:t>
      </w:r>
      <w:r w:rsidRPr="00457FE0">
        <w:rPr>
          <w:rFonts w:ascii="Book Antiqua" w:eastAsia="Calibri" w:hAnsi="Book Antiqua" w:cs="Arial"/>
          <w:i/>
          <w:color w:val="0000FF"/>
          <w:sz w:val="20"/>
          <w:szCs w:val="20"/>
        </w:rPr>
        <w:t>.</w:t>
      </w:r>
    </w:p>
    <w:p w:rsidR="008D5EDE" w:rsidRPr="00457FE0" w:rsidRDefault="008D5EDE" w:rsidP="0077467F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</w:t>
      </w:r>
      <w:proofErr w:type="gramStart"/>
      <w:r w:rsidRPr="00457FE0">
        <w:rPr>
          <w:rFonts w:ascii="Book Antiqua" w:eastAsia="Calibri" w:hAnsi="Book Antiqua" w:cs="Arial"/>
          <w:sz w:val="20"/>
          <w:szCs w:val="20"/>
        </w:rPr>
        <w:t>uplynutím</w:t>
      </w:r>
      <w:proofErr w:type="gramEnd"/>
      <w:r w:rsidRPr="00457FE0">
        <w:rPr>
          <w:rFonts w:ascii="Book Antiqua" w:eastAsia="Calibri" w:hAnsi="Book Antiqua" w:cs="Arial"/>
          <w:sz w:val="20"/>
          <w:szCs w:val="20"/>
        </w:rPr>
        <w:t xml:space="preserve"> doby plnění dle čl. II bod 1.,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V.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Odpovědnost prodávajícího za vady a jakost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Předmět koupě má vady, </w:t>
      </w:r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neodpovídá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–</w:t>
      </w:r>
      <w:proofErr w:type="spellStart"/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li</w:t>
      </w:r>
      <w:proofErr w:type="spellEnd"/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smlouvě.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Prodávající odpovídá za vady, jež má předmět koupě v době jeho předání.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Záruční doba </w:t>
      </w:r>
      <w:r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činí </w:t>
      </w:r>
      <w:r w:rsidR="00715FF8"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>2</w:t>
      </w:r>
      <w:r w:rsidR="00205969"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>4</w:t>
      </w:r>
      <w:r w:rsidRPr="00FA180F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měsíců </w:t>
      </w:r>
      <w:r w:rsidRPr="00FA180F">
        <w:rPr>
          <w:rFonts w:ascii="Book Antiqua" w:eastAsia="Times New Roman" w:hAnsi="Book Antiqua" w:cs="Arial"/>
          <w:sz w:val="20"/>
          <w:szCs w:val="20"/>
          <w:lang w:eastAsia="cs-CZ"/>
        </w:rPr>
        <w:t>ode dne předání bezvadného předmětu koupě. Smluvní strany se dohodly na tom,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že po tutéž dobu odpovídá prodávající za vady předmětu koupě v době jeho předání. 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 případě, že lze vadu odstranit formou opravy, má právo na bezplatné odstranění reklamované vady do 7 dnů od dojití reklamace,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:rsidR="005E74BA" w:rsidRPr="00457FE0" w:rsidRDefault="008D5EDE" w:rsidP="00076ECA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vadu odstranit sám nebo prostřednictvím třetích osob s tím, že prodávající je povinen uhradit tyto náklady po předložení vyúčtování,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požadovat nové dodání předmětu koupě pokud předmět koupě vykazuje podstatné vady bránící v užívání nebo toto znemožňují,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odstoupit od smlouvy.</w:t>
      </w:r>
    </w:p>
    <w:p w:rsidR="006E23CF" w:rsidRPr="00457FE0" w:rsidRDefault="006E23CF" w:rsidP="006E23CF">
      <w:p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lastRenderedPageBreak/>
        <w:t>Uplatněním práv dle bodu 5. tohoto čl. nezaniká právo na náhradu škody či jiné sankce.</w:t>
      </w: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Jakékoliv finanční nároky dle bodu 5. tohoto čl. je kupující oprávněn uhradit ze zadržené kupní ceny nebo její části dle bodu 3. tohoto čl.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Porušení smluvních povinností</w:t>
      </w:r>
    </w:p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2E6571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22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prodávající se zavazuje uhradit za každý den překročení sjednané doby 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>plnění smluvní pokutu ve výši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 celkové kupní ceny,</w:t>
            </w:r>
          </w:p>
          <w:p w:rsidR="008D5EDE" w:rsidRPr="00457FE0" w:rsidRDefault="008D5EDE" w:rsidP="003248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prodávající se zavazuje uhradit za každý den překročení sjednané doby odstranění vady uvedené v Zápisu dle čl. IV. bod 4. písm. a) této smlouvy smluvní pokutu ve výši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</w:t>
            </w:r>
            <w:r w:rsidR="002E6571" w:rsidRPr="00457FE0">
              <w:rPr>
                <w:rFonts w:ascii="Book Antiqua" w:eastAsia="Calibri" w:hAnsi="Book Antiqua" w:cs="Arial"/>
                <w:sz w:val="20"/>
                <w:szCs w:val="20"/>
              </w:rPr>
              <w:t> celkové kupní ceny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,</w:t>
            </w:r>
          </w:p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iCs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8D5EDE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Práva a povinnosti smluvních stran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Ostatní ujednání</w:t>
      </w:r>
    </w:p>
    <w:p w:rsidR="001322B1" w:rsidRPr="00457FE0" w:rsidRDefault="00E0593B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>
        <w:rPr>
          <w:rFonts w:ascii="Book Antiqua" w:hAnsi="Book Antiqua" w:cs="Book Antiqua"/>
          <w:sz w:val="20"/>
          <w:szCs w:val="20"/>
          <w:lang w:eastAsia="cs-CZ"/>
        </w:rPr>
        <w:t xml:space="preserve">Součástí koupě je </w:t>
      </w:r>
      <w:r w:rsidR="001322B1" w:rsidRPr="00457FE0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1322B1" w:rsidRPr="008B3C44">
        <w:rPr>
          <w:rFonts w:ascii="Book Antiqua" w:hAnsi="Book Antiqua" w:cs="Book Antiqua"/>
          <w:sz w:val="20"/>
          <w:szCs w:val="20"/>
          <w:lang w:eastAsia="cs-CZ"/>
        </w:rPr>
        <w:t>dodávk</w:t>
      </w:r>
      <w:r>
        <w:rPr>
          <w:rFonts w:ascii="Book Antiqua" w:hAnsi="Book Antiqua" w:cs="Book Antiqua"/>
          <w:sz w:val="20"/>
          <w:szCs w:val="20"/>
          <w:lang w:eastAsia="cs-CZ"/>
        </w:rPr>
        <w:t>a</w:t>
      </w:r>
      <w:r w:rsidR="008852D7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CB4E3A">
        <w:rPr>
          <w:rFonts w:ascii="Book Antiqua" w:eastAsia="Calibri" w:hAnsi="Book Antiqua" w:cs="Arial"/>
          <w:sz w:val="20"/>
          <w:szCs w:val="20"/>
        </w:rPr>
        <w:t>Automobilového dvousloupového zvedáku</w:t>
      </w:r>
      <w:r w:rsidR="00CB4E3A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A826AB">
        <w:rPr>
          <w:rFonts w:ascii="Book Antiqua" w:hAnsi="Book Antiqua" w:cs="Book Antiqua"/>
          <w:sz w:val="20"/>
          <w:szCs w:val="20"/>
          <w:lang w:eastAsia="cs-CZ"/>
        </w:rPr>
        <w:t xml:space="preserve">do </w:t>
      </w:r>
      <w:r w:rsidR="00430363">
        <w:rPr>
          <w:rFonts w:ascii="Book Antiqua" w:hAnsi="Book Antiqua" w:cs="Book Antiqua"/>
          <w:sz w:val="20"/>
          <w:szCs w:val="20"/>
          <w:lang w:eastAsia="cs-CZ"/>
        </w:rPr>
        <w:t>školy</w:t>
      </w:r>
      <w:r w:rsidR="00A826AB">
        <w:rPr>
          <w:rFonts w:ascii="Book Antiqua" w:hAnsi="Book Antiqua" w:cs="Book Antiqua"/>
          <w:sz w:val="20"/>
          <w:szCs w:val="20"/>
          <w:lang w:eastAsia="cs-CZ"/>
        </w:rPr>
        <w:t xml:space="preserve"> včetně </w:t>
      </w:r>
      <w:r w:rsidR="00DD15E4">
        <w:rPr>
          <w:rFonts w:ascii="Book Antiqua" w:hAnsi="Book Antiqua" w:cs="Book Antiqua"/>
          <w:sz w:val="20"/>
          <w:szCs w:val="20"/>
          <w:lang w:eastAsia="cs-CZ"/>
        </w:rPr>
        <w:t>dopravy</w:t>
      </w:r>
      <w:r w:rsidR="00CB4E3A">
        <w:rPr>
          <w:rFonts w:ascii="Book Antiqua" w:hAnsi="Book Antiqua" w:cs="Book Antiqua"/>
          <w:sz w:val="20"/>
          <w:szCs w:val="20"/>
          <w:lang w:eastAsia="cs-CZ"/>
        </w:rPr>
        <w:t>, montáže</w:t>
      </w:r>
      <w:r w:rsidR="00DD15E4">
        <w:rPr>
          <w:rFonts w:ascii="Book Antiqua" w:hAnsi="Book Antiqua" w:cs="Book Antiqua"/>
          <w:sz w:val="20"/>
          <w:szCs w:val="20"/>
          <w:lang w:eastAsia="cs-CZ"/>
        </w:rPr>
        <w:t xml:space="preserve"> a</w:t>
      </w:r>
      <w:r w:rsidR="00430363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r w:rsidR="001322B1" w:rsidRPr="00457FE0">
        <w:rPr>
          <w:rFonts w:ascii="Book Antiqua" w:hAnsi="Book Antiqua" w:cs="Book Antiqua"/>
          <w:sz w:val="20"/>
          <w:szCs w:val="20"/>
          <w:lang w:eastAsia="cs-CZ"/>
        </w:rPr>
        <w:t xml:space="preserve"> proškolení pracovníků.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bezpečnosti práce a ochrany životního prostředí. 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všech nezbytných zkoušek, atestů a revizí podle ČSN a případných jiných právních, nebo technických předpisů platných v době dodávky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stroje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, kterými bude prokázáno dosažení předepsané kvality a předepsaných parametrů pomůcek.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Zajištění atestů a dokladů o požadovaných vlastnostech výrobků.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Odvoz a likvidace veškerého odpadu vzniklého v souvislosti s předmětem dodávek učebních pomůcek s ohledem na ochranu životního prostředí.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Proškolení obsluhy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dodaného</w:t>
      </w:r>
      <w:r w:rsidR="00414D1F">
        <w:rPr>
          <w:rFonts w:ascii="Book Antiqua" w:hAnsi="Book Antiqua" w:cs="Book Antiqua"/>
          <w:sz w:val="20"/>
          <w:szCs w:val="20"/>
          <w:lang w:eastAsia="cs-CZ"/>
        </w:rPr>
        <w:t xml:space="preserve"> pří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stroje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.</w:t>
      </w:r>
    </w:p>
    <w:p w:rsidR="006E23CF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VIII.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Závěrečná ustanovení</w:t>
      </w:r>
    </w:p>
    <w:p w:rsidR="008D5EDE" w:rsidRPr="00457FE0" w:rsidRDefault="004368FF" w:rsidP="00C4442A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92" w:hanging="492"/>
        <w:jc w:val="both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Kupující tímto potvrzuje,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>že o uzavření této smlouvy rozhodl</w:t>
      </w:r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a Mgr. Alexandra </w:t>
      </w:r>
      <w:proofErr w:type="spellStart"/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>Lochová</w:t>
      </w:r>
      <w:proofErr w:type="spellEnd"/>
      <w:r w:rsidR="00027D8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, ředitelka </w:t>
      </w:r>
      <w:r w:rsidR="00E0593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SLŠ a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SOU Křivoklát, na základně usnesení hodnotící komise ze dne </w:t>
      </w:r>
      <w:proofErr w:type="gramStart"/>
      <w:r w:rsidR="00566671">
        <w:rPr>
          <w:rFonts w:ascii="Book Antiqua" w:eastAsia="Times New Roman" w:hAnsi="Book Antiqua" w:cs="Arial"/>
          <w:sz w:val="20"/>
          <w:szCs w:val="20"/>
          <w:lang w:eastAsia="cs-CZ"/>
        </w:rPr>
        <w:t>28.11.2025</w:t>
      </w:r>
      <w:proofErr w:type="gramEnd"/>
      <w:r w:rsidR="00566671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7D5DA0" w:rsidRPr="00457FE0" w:rsidRDefault="008D5EDE" w:rsidP="0075299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Pokud v této smlouvě není stanoveno jinak, řídí se právní vztahy z ní vyplývající příslušnými ustanovení občanského zákoníku.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Tuto smlouvu lze měnit či doplňovat pouze po dohodě smluvních stran formou písemných a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 xml:space="preserve">číslovaných dodatků. </w:t>
      </w:r>
    </w:p>
    <w:p w:rsidR="001322B1" w:rsidRPr="00457FE0" w:rsidRDefault="001322B1" w:rsidP="001322B1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Tato smlouva o dílo je vyhotovena ve </w:t>
      </w:r>
      <w:proofErr w:type="gramStart"/>
      <w:r w:rsidR="00E0593B">
        <w:rPr>
          <w:rFonts w:ascii="Book Antiqua" w:hAnsi="Book Antiqua" w:cs="Book Antiqua"/>
          <w:sz w:val="20"/>
          <w:szCs w:val="20"/>
          <w:lang w:eastAsia="cs-CZ"/>
        </w:rPr>
        <w:t>2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paré</w:t>
      </w:r>
      <w:proofErr w:type="gramEnd"/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s platností origin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álu, přičemž objednatel obdrží 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vyhotovení a </w:t>
      </w:r>
      <w:r w:rsidR="002313FC" w:rsidRPr="00457FE0">
        <w:rPr>
          <w:rFonts w:ascii="Book Antiqua" w:hAnsi="Book Antiqua" w:cs="Book Antiqua"/>
          <w:sz w:val="20"/>
          <w:szCs w:val="20"/>
          <w:lang w:eastAsia="cs-CZ"/>
        </w:rPr>
        <w:t>prodávající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1 vyhotovení.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Tato smlouva nabývá platnosti a účinnosti dnem jejího podepsání oběma smluvními stranami a tímto dnem jsou její účastníci svými projevy vázáni</w:t>
      </w:r>
      <w:r w:rsidRPr="00457FE0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je povinen poskytnout součinnost a umožnit kontrolním orgánům provedení kontroly v plném rozsahu v souladu s ustanoveními zák. č. 320/2001 Sb., o finanční kontrole ve veřejné správě a </w:t>
      </w:r>
      <w:proofErr w:type="spellStart"/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zák.č</w:t>
      </w:r>
      <w:proofErr w:type="spell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552/1991 Sb., o státní kontrole, týkající se dodavatelských činností prodávajícího souvisejících s realizací projektu, a to poskytnutím veškerých dokladů a informací požadovaných ze strany kontrolních orgánů.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Dle § 2 e) zákona č. 320/2001 Sb., o finanční kontrole ve veřejné správě bude vybraný dodavatel osobou povinnou spolupůsobit při výkonu finanční kontroly a bude povinen umožnit osobám oprávněným k výkonu kontroly </w:t>
      </w:r>
      <w:r w:rsidR="001668E7">
        <w:rPr>
          <w:rFonts w:ascii="Book Antiqua" w:eastAsia="Times New Roman" w:hAnsi="Book Antiqua" w:cs="Arial"/>
          <w:sz w:val="20"/>
          <w:szCs w:val="20"/>
          <w:lang w:eastAsia="cs-CZ"/>
        </w:rPr>
        <w:t>veřejné zakázky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, z něhož bude zakázka případně hrazena, provést kontrolu dokladů souvisejících s plněním zakázky, a to po dobu nejméně 10 let po skončení plnění zakázky.</w:t>
      </w:r>
    </w:p>
    <w:p w:rsidR="008D5EDE" w:rsidRPr="00457FE0" w:rsidRDefault="008D5EDE" w:rsidP="004368F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IX.</w:t>
      </w:r>
    </w:p>
    <w:p w:rsidR="008D5EDE" w:rsidRPr="00457FE0" w:rsidRDefault="008D5EDE" w:rsidP="008D5EDE">
      <w:pPr>
        <w:spacing w:after="24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Podpisy smluvních stran</w:t>
      </w:r>
    </w:p>
    <w:p w:rsidR="008D5EDE" w:rsidRPr="00457FE0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4493"/>
      </w:tblGrid>
      <w:tr w:rsidR="008D5EDE" w:rsidRPr="00457FE0" w:rsidTr="00CD447F">
        <w:tc>
          <w:tcPr>
            <w:tcW w:w="4577" w:type="dxa"/>
          </w:tcPr>
          <w:p w:rsidR="008D5EDE" w:rsidRPr="00457FE0" w:rsidRDefault="008D5EDE" w:rsidP="006D78C6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gramStart"/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                                           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dne</w:t>
            </w:r>
            <w:proofErr w:type="gramEnd"/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4493" w:type="dxa"/>
          </w:tcPr>
          <w:p w:rsidR="008D5EDE" w:rsidRPr="00457FE0" w:rsidRDefault="008D5EDE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Křivoklátě,</w:t>
            </w:r>
            <w:r w:rsidR="008F2333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dne </w:t>
            </w: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  <w:tr w:rsidR="008D5EDE" w:rsidRPr="00457FE0" w:rsidTr="00CD447F">
        <w:tc>
          <w:tcPr>
            <w:tcW w:w="4577" w:type="dxa"/>
          </w:tcPr>
          <w:p w:rsidR="008D5EDE" w:rsidRPr="00457FE0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493" w:type="dxa"/>
          </w:tcPr>
          <w:p w:rsidR="008D5EDE" w:rsidRPr="00457FE0" w:rsidRDefault="00027D8A" w:rsidP="008F2333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Mgr. Alexandra </w:t>
            </w:r>
            <w:proofErr w:type="spellStart"/>
            <w:r>
              <w:rPr>
                <w:rFonts w:ascii="Book Antiqua" w:eastAsia="Calibri" w:hAnsi="Book Antiqua" w:cs="Arial"/>
                <w:sz w:val="20"/>
                <w:szCs w:val="20"/>
              </w:rPr>
              <w:t>Lochová</w:t>
            </w:r>
            <w:proofErr w:type="spellEnd"/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</w:p>
        </w:tc>
      </w:tr>
      <w:tr w:rsidR="008D5EDE" w:rsidRPr="00457FE0" w:rsidTr="00CD447F">
        <w:tc>
          <w:tcPr>
            <w:tcW w:w="4577" w:type="dxa"/>
          </w:tcPr>
          <w:p w:rsidR="003248E8" w:rsidRPr="00457FE0" w:rsidRDefault="003248E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8D5EDE" w:rsidRPr="00457FE0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CD447F" w:rsidRDefault="00CD447F" w:rsidP="008D5ED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Arial"/>
          <w:sz w:val="20"/>
          <w:szCs w:val="20"/>
        </w:rPr>
        <w:sectPr w:rsidR="00CD447F" w:rsidSect="007D5DA0">
          <w:headerReference w:type="even" r:id="rId8"/>
          <w:headerReference w:type="default" r:id="rId9"/>
          <w:headerReference w:type="first" r:id="rId10"/>
          <w:pgSz w:w="11906" w:h="16838" w:code="9"/>
          <w:pgMar w:top="1418" w:right="1418" w:bottom="1418" w:left="1418" w:header="624" w:footer="454" w:gutter="0"/>
          <w:cols w:space="708"/>
          <w:docGrid w:linePitch="360"/>
        </w:sectPr>
      </w:pPr>
    </w:p>
    <w:p w:rsidR="005274E7" w:rsidRPr="00457FE0" w:rsidRDefault="005274E7" w:rsidP="00027D8A">
      <w:pPr>
        <w:spacing w:after="220" w:line="240" w:lineRule="auto"/>
        <w:rPr>
          <w:rFonts w:ascii="Book Antiqua" w:hAnsi="Book Antiqua"/>
          <w:sz w:val="20"/>
          <w:szCs w:val="20"/>
        </w:rPr>
      </w:pPr>
    </w:p>
    <w:sectPr w:rsidR="005274E7" w:rsidRPr="00457FE0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37" w:rsidRDefault="00E06637" w:rsidP="008D5EDE">
      <w:pPr>
        <w:spacing w:after="0" w:line="240" w:lineRule="auto"/>
      </w:pPr>
      <w:r>
        <w:separator/>
      </w:r>
    </w:p>
  </w:endnote>
  <w:endnote w:type="continuationSeparator" w:id="0">
    <w:p w:rsidR="00E06637" w:rsidRDefault="00E06637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37" w:rsidRDefault="00E06637" w:rsidP="008D5EDE">
      <w:pPr>
        <w:spacing w:after="0" w:line="240" w:lineRule="auto"/>
      </w:pPr>
      <w:r>
        <w:separator/>
      </w:r>
    </w:p>
  </w:footnote>
  <w:footnote w:type="continuationSeparator" w:id="0">
    <w:p w:rsidR="00E06637" w:rsidRDefault="00E06637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A" w:rsidRDefault="00381A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AE" w:rsidRDefault="00236ED8" w:rsidP="00E04475"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5032773" wp14:editId="550D3B85">
          <wp:simplePos x="0" y="0"/>
          <wp:positionH relativeFrom="page">
            <wp:posOffset>-213360</wp:posOffset>
          </wp:positionH>
          <wp:positionV relativeFrom="page">
            <wp:posOffset>-15240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566C" w:rsidRDefault="00BC4CAE" w:rsidP="00E04475">
    <w:r>
      <w:tab/>
    </w:r>
    <w:r>
      <w:tab/>
    </w:r>
    <w: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6838"/>
    </w:tblGrid>
    <w:tr w:rsidR="00B8566C" w:rsidRPr="00773B22" w:rsidTr="00823B24">
      <w:trPr>
        <w:trHeight w:val="2326"/>
      </w:trPr>
      <w:tc>
        <w:tcPr>
          <w:tcW w:w="2448" w:type="dxa"/>
          <w:shd w:val="clear" w:color="auto" w:fill="auto"/>
          <w:vAlign w:val="bottom"/>
        </w:tcPr>
        <w:p w:rsidR="00B8566C" w:rsidRPr="00773B22" w:rsidRDefault="00B8566C" w:rsidP="00B8566C">
          <w:pPr>
            <w:jc w:val="center"/>
            <w:rPr>
              <w:rFonts w:ascii="Arial" w:hAnsi="Arial" w:cs="Arial"/>
            </w:rPr>
          </w:pPr>
          <w:r w:rsidRPr="00773B22">
            <w:rPr>
              <w:rFonts w:ascii="Arial" w:hAnsi="Arial" w:cs="Arial"/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3EC5C85" wp14:editId="7DA63487">
                <wp:simplePos x="0" y="0"/>
                <wp:positionH relativeFrom="column">
                  <wp:posOffset>57150</wp:posOffset>
                </wp:positionH>
                <wp:positionV relativeFrom="paragraph">
                  <wp:posOffset>-1075055</wp:posOffset>
                </wp:positionV>
                <wp:extent cx="1248410" cy="1260475"/>
                <wp:effectExtent l="0" t="0" r="0" b="0"/>
                <wp:wrapNone/>
                <wp:docPr id="2" name="Obrázek 2" descr="logo_Uciliste_FINAL_kula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Uciliste_FINAL_ku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8" t="3577" r="6267" b="31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38" w:type="dxa"/>
          <w:shd w:val="clear" w:color="auto" w:fill="auto"/>
        </w:tcPr>
        <w:p w:rsidR="00B8566C" w:rsidRPr="00773B22" w:rsidRDefault="00B8566C" w:rsidP="00B8566C">
          <w:pPr>
            <w:pStyle w:val="Nadpis1"/>
            <w:jc w:val="center"/>
            <w:rPr>
              <w:rFonts w:ascii="Arial" w:hAnsi="Arial" w:cs="Arial"/>
              <w:sz w:val="32"/>
              <w:szCs w:val="32"/>
            </w:rPr>
          </w:pPr>
          <w:r w:rsidRPr="00773B22">
            <w:rPr>
              <w:rFonts w:ascii="Arial" w:hAnsi="Arial" w:cs="Arial"/>
              <w:sz w:val="32"/>
              <w:szCs w:val="32"/>
            </w:rPr>
            <w:t xml:space="preserve">   </w:t>
          </w:r>
        </w:p>
        <w:p w:rsidR="00B8566C" w:rsidRPr="00773B22" w:rsidRDefault="00B8566C" w:rsidP="00B8566C">
          <w:pPr>
            <w:pStyle w:val="Nadpis1"/>
            <w:jc w:val="center"/>
            <w:rPr>
              <w:rFonts w:ascii="Arial" w:hAnsi="Arial" w:cs="Arial"/>
              <w:sz w:val="32"/>
              <w:szCs w:val="32"/>
            </w:rPr>
          </w:pPr>
          <w:r w:rsidRPr="00773B22">
            <w:rPr>
              <w:rFonts w:ascii="Arial" w:hAnsi="Arial" w:cs="Arial"/>
              <w:sz w:val="32"/>
              <w:szCs w:val="32"/>
            </w:rPr>
            <w:t xml:space="preserve"> </w:t>
          </w:r>
        </w:p>
        <w:p w:rsidR="00B8566C" w:rsidRPr="00DB6637" w:rsidRDefault="00B8566C" w:rsidP="00B8566C">
          <w:pPr>
            <w:pStyle w:val="Nadpis1"/>
            <w:spacing w:before="240"/>
            <w:jc w:val="center"/>
            <w:rPr>
              <w:rFonts w:ascii="Arial" w:hAnsi="Arial" w:cs="Arial"/>
              <w:szCs w:val="28"/>
            </w:rPr>
          </w:pPr>
          <w:r w:rsidRPr="00DB6637">
            <w:rPr>
              <w:rFonts w:ascii="Arial" w:hAnsi="Arial" w:cs="Arial"/>
              <w:noProof/>
              <w:sz w:val="28"/>
              <w:szCs w:val="32"/>
            </w:rPr>
            <w:drawing>
              <wp:anchor distT="0" distB="0" distL="114300" distR="114300" simplePos="0" relativeHeight="251660288" behindDoc="1" locked="0" layoutInCell="1" allowOverlap="1" wp14:anchorId="6C3A138E" wp14:editId="0B0D19D0">
                <wp:simplePos x="0" y="0"/>
                <wp:positionH relativeFrom="column">
                  <wp:posOffset>452120</wp:posOffset>
                </wp:positionH>
                <wp:positionV relativeFrom="paragraph">
                  <wp:posOffset>-491490</wp:posOffset>
                </wp:positionV>
                <wp:extent cx="2454275" cy="436245"/>
                <wp:effectExtent l="0" t="0" r="0" b="0"/>
                <wp:wrapTight wrapText="bothSides">
                  <wp:wrapPolygon edited="0">
                    <wp:start x="0" y="0"/>
                    <wp:lineTo x="0" y="20751"/>
                    <wp:lineTo x="21460" y="20751"/>
                    <wp:lineTo x="21460" y="0"/>
                    <wp:lineTo x="0" y="0"/>
                  </wp:wrapPolygon>
                </wp:wrapTight>
                <wp:docPr id="3" name="Obrázek 3" descr="logo_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427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6637">
            <w:rPr>
              <w:rFonts w:ascii="Arial" w:hAnsi="Arial" w:cs="Arial"/>
              <w:sz w:val="28"/>
              <w:szCs w:val="32"/>
            </w:rPr>
            <w:t>Střední lesnická škola a Střední odborné učiliště</w:t>
          </w:r>
        </w:p>
        <w:p w:rsidR="00B8566C" w:rsidRPr="00DB6637" w:rsidRDefault="00B8566C" w:rsidP="00B8566C">
          <w:pPr>
            <w:pStyle w:val="Nadpis1"/>
            <w:jc w:val="center"/>
            <w:rPr>
              <w:rFonts w:ascii="Arial" w:hAnsi="Arial" w:cs="Arial"/>
              <w:sz w:val="28"/>
              <w:szCs w:val="28"/>
            </w:rPr>
          </w:pPr>
          <w:r w:rsidRPr="00DB6637">
            <w:rPr>
              <w:rFonts w:ascii="Arial" w:hAnsi="Arial" w:cs="Arial"/>
              <w:sz w:val="28"/>
              <w:szCs w:val="28"/>
            </w:rPr>
            <w:t>Křivoklát, Písky 181</w:t>
          </w:r>
        </w:p>
        <w:p w:rsidR="00B8566C" w:rsidRPr="00773B22" w:rsidRDefault="00B8566C" w:rsidP="00B8566C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B6637">
            <w:rPr>
              <w:rFonts w:ascii="Arial" w:hAnsi="Arial" w:cs="Arial"/>
              <w:b/>
              <w:sz w:val="28"/>
              <w:szCs w:val="28"/>
            </w:rPr>
            <w:t>270 23</w:t>
          </w:r>
          <w:r w:rsidRPr="00DB6637">
            <w:rPr>
              <w:rFonts w:ascii="Arial" w:hAnsi="Arial" w:cs="Arial"/>
              <w:b/>
              <w:sz w:val="24"/>
            </w:rPr>
            <w:t xml:space="preserve"> </w:t>
          </w:r>
          <w:r w:rsidRPr="00DB6637">
            <w:rPr>
              <w:rFonts w:ascii="Arial" w:hAnsi="Arial" w:cs="Arial"/>
              <w:b/>
              <w:sz w:val="28"/>
              <w:szCs w:val="28"/>
            </w:rPr>
            <w:t>Křivoklát</w:t>
          </w:r>
        </w:p>
      </w:tc>
    </w:tr>
  </w:tbl>
  <w:p w:rsidR="00684A1D" w:rsidRPr="00933A64" w:rsidRDefault="002A2A99" w:rsidP="00E0447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A" w:rsidRDefault="00381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70A31C2"/>
    <w:multiLevelType w:val="hybridMultilevel"/>
    <w:tmpl w:val="C10A4792"/>
    <w:lvl w:ilvl="0" w:tplc="133C677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66C25"/>
    <w:multiLevelType w:val="multilevel"/>
    <w:tmpl w:val="D80AA3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 Antiqua" w:eastAsiaTheme="minorHAnsi" w:hAnsi="Book Antiqua" w:cs="Book Antiqu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EF"/>
    <w:rsid w:val="00024D2C"/>
    <w:rsid w:val="00027D8A"/>
    <w:rsid w:val="00090680"/>
    <w:rsid w:val="00095101"/>
    <w:rsid w:val="000B558B"/>
    <w:rsid w:val="000B661F"/>
    <w:rsid w:val="000D1E5B"/>
    <w:rsid w:val="00100832"/>
    <w:rsid w:val="001322B1"/>
    <w:rsid w:val="001544D9"/>
    <w:rsid w:val="00165B1F"/>
    <w:rsid w:val="001668E7"/>
    <w:rsid w:val="001A3721"/>
    <w:rsid w:val="001D6630"/>
    <w:rsid w:val="001D6849"/>
    <w:rsid w:val="00205969"/>
    <w:rsid w:val="002313FC"/>
    <w:rsid w:val="00236ED8"/>
    <w:rsid w:val="0025253E"/>
    <w:rsid w:val="0025254D"/>
    <w:rsid w:val="002A2A99"/>
    <w:rsid w:val="002E6571"/>
    <w:rsid w:val="00301DCF"/>
    <w:rsid w:val="003248E8"/>
    <w:rsid w:val="003356E6"/>
    <w:rsid w:val="00345B6E"/>
    <w:rsid w:val="0037213E"/>
    <w:rsid w:val="00381AFA"/>
    <w:rsid w:val="00414D1F"/>
    <w:rsid w:val="00430363"/>
    <w:rsid w:val="004368FF"/>
    <w:rsid w:val="00441D32"/>
    <w:rsid w:val="00457FE0"/>
    <w:rsid w:val="00483684"/>
    <w:rsid w:val="004E0B90"/>
    <w:rsid w:val="004E3B01"/>
    <w:rsid w:val="004F1B9D"/>
    <w:rsid w:val="00512330"/>
    <w:rsid w:val="005274E7"/>
    <w:rsid w:val="00534BAF"/>
    <w:rsid w:val="00566671"/>
    <w:rsid w:val="00582F78"/>
    <w:rsid w:val="005A2508"/>
    <w:rsid w:val="005D4A3E"/>
    <w:rsid w:val="005E04B0"/>
    <w:rsid w:val="005E74BA"/>
    <w:rsid w:val="005F6894"/>
    <w:rsid w:val="006102EA"/>
    <w:rsid w:val="006243CF"/>
    <w:rsid w:val="00634E60"/>
    <w:rsid w:val="006622FC"/>
    <w:rsid w:val="006657EF"/>
    <w:rsid w:val="00695F40"/>
    <w:rsid w:val="006A609E"/>
    <w:rsid w:val="006B51AE"/>
    <w:rsid w:val="006C62D8"/>
    <w:rsid w:val="006D00EF"/>
    <w:rsid w:val="006D3AA8"/>
    <w:rsid w:val="006D78C6"/>
    <w:rsid w:val="006E23CF"/>
    <w:rsid w:val="006E416B"/>
    <w:rsid w:val="00705DE3"/>
    <w:rsid w:val="00715FF8"/>
    <w:rsid w:val="0071798B"/>
    <w:rsid w:val="007A6358"/>
    <w:rsid w:val="007D5DA0"/>
    <w:rsid w:val="00801347"/>
    <w:rsid w:val="00803E0E"/>
    <w:rsid w:val="00803E74"/>
    <w:rsid w:val="00805403"/>
    <w:rsid w:val="00816E2E"/>
    <w:rsid w:val="008544E3"/>
    <w:rsid w:val="008852D7"/>
    <w:rsid w:val="008A6833"/>
    <w:rsid w:val="008B137B"/>
    <w:rsid w:val="008B1EC0"/>
    <w:rsid w:val="008B3C44"/>
    <w:rsid w:val="008D5EDE"/>
    <w:rsid w:val="008E69BD"/>
    <w:rsid w:val="008F2333"/>
    <w:rsid w:val="00917A10"/>
    <w:rsid w:val="00932447"/>
    <w:rsid w:val="009B753B"/>
    <w:rsid w:val="009E44D6"/>
    <w:rsid w:val="00A67A78"/>
    <w:rsid w:val="00A826AB"/>
    <w:rsid w:val="00A94FDA"/>
    <w:rsid w:val="00AA2E4E"/>
    <w:rsid w:val="00AB5047"/>
    <w:rsid w:val="00AC605B"/>
    <w:rsid w:val="00AD711B"/>
    <w:rsid w:val="00AF73D6"/>
    <w:rsid w:val="00B11C09"/>
    <w:rsid w:val="00B2550C"/>
    <w:rsid w:val="00B31B47"/>
    <w:rsid w:val="00B8566C"/>
    <w:rsid w:val="00B9206C"/>
    <w:rsid w:val="00BC020D"/>
    <w:rsid w:val="00BC4CAE"/>
    <w:rsid w:val="00C03A15"/>
    <w:rsid w:val="00C25BAD"/>
    <w:rsid w:val="00C42F19"/>
    <w:rsid w:val="00C623F1"/>
    <w:rsid w:val="00C63ECE"/>
    <w:rsid w:val="00CA2E78"/>
    <w:rsid w:val="00CB4E3A"/>
    <w:rsid w:val="00CD0FCA"/>
    <w:rsid w:val="00CD447F"/>
    <w:rsid w:val="00CE170C"/>
    <w:rsid w:val="00CF0063"/>
    <w:rsid w:val="00D11AF4"/>
    <w:rsid w:val="00D356BB"/>
    <w:rsid w:val="00D67EB6"/>
    <w:rsid w:val="00DA7FAC"/>
    <w:rsid w:val="00DD15E4"/>
    <w:rsid w:val="00DD195C"/>
    <w:rsid w:val="00E0513A"/>
    <w:rsid w:val="00E0593B"/>
    <w:rsid w:val="00E06637"/>
    <w:rsid w:val="00E75B50"/>
    <w:rsid w:val="00E76181"/>
    <w:rsid w:val="00E76C2B"/>
    <w:rsid w:val="00E93C3A"/>
    <w:rsid w:val="00F00840"/>
    <w:rsid w:val="00F02F54"/>
    <w:rsid w:val="00F10462"/>
    <w:rsid w:val="00F11430"/>
    <w:rsid w:val="00F25251"/>
    <w:rsid w:val="00F57390"/>
    <w:rsid w:val="00F70D0E"/>
    <w:rsid w:val="00F75E6A"/>
    <w:rsid w:val="00F861F8"/>
    <w:rsid w:val="00FA180F"/>
    <w:rsid w:val="00FA38B5"/>
    <w:rsid w:val="00FA3A68"/>
    <w:rsid w:val="00FB2905"/>
    <w:rsid w:val="00FB2D75"/>
    <w:rsid w:val="00FC13E0"/>
    <w:rsid w:val="00FD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2DB9DD59-8CA9-4637-9121-742D695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C3A"/>
  </w:style>
  <w:style w:type="paragraph" w:styleId="Nadpis1">
    <w:name w:val="heading 1"/>
    <w:basedOn w:val="Normln"/>
    <w:next w:val="Normln"/>
    <w:link w:val="Nadpis1Char"/>
    <w:qFormat/>
    <w:rsid w:val="00B85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styleId="Zkladntext2">
    <w:name w:val="Body Text 2"/>
    <w:basedOn w:val="Normln"/>
    <w:link w:val="Zkladntext2Char"/>
    <w:uiPriority w:val="99"/>
    <w:rsid w:val="00715F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15F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B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3721"/>
    <w:pPr>
      <w:ind w:left="720"/>
      <w:contextualSpacing/>
    </w:pPr>
  </w:style>
  <w:style w:type="character" w:customStyle="1" w:styleId="AKFZFnormlnChar">
    <w:name w:val="AKFZF_normální Char"/>
    <w:link w:val="AKFZFnormln"/>
    <w:locked/>
    <w:rsid w:val="00381AFA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381AFA"/>
    <w:pPr>
      <w:spacing w:after="100" w:line="288" w:lineRule="auto"/>
      <w:jc w:val="both"/>
    </w:pPr>
    <w:rPr>
      <w:rFonts w:ascii="Arial" w:hAnsi="Arial" w:cs="Calibri"/>
    </w:rPr>
  </w:style>
  <w:style w:type="character" w:styleId="Zstupntext">
    <w:name w:val="Placeholder Text"/>
    <w:basedOn w:val="Standardnpsmoodstavce"/>
    <w:uiPriority w:val="99"/>
    <w:semiHidden/>
    <w:rsid w:val="00381AFA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B8566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542B-E68A-48EE-B458-FDFBA6AA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1799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Ivana_Struncova</cp:lastModifiedBy>
  <cp:revision>87</cp:revision>
  <cp:lastPrinted>2020-07-22T10:01:00Z</cp:lastPrinted>
  <dcterms:created xsi:type="dcterms:W3CDTF">2018-10-17T06:39:00Z</dcterms:created>
  <dcterms:modified xsi:type="dcterms:W3CDTF">2025-12-01T10:05:00Z</dcterms:modified>
</cp:coreProperties>
</file>