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D2" w:rsidRDefault="00E925D2" w:rsidP="0043395D">
      <w:pPr>
        <w:jc w:val="both"/>
        <w:rPr>
          <w:bCs/>
        </w:rPr>
      </w:pPr>
      <w:r>
        <w:rPr>
          <w:bCs/>
        </w:rPr>
        <w:t>Níže uvedeného dne, měsíce a roku byla uzavřena po vzájemné dohodě mezi smluvními účastníky, kterými jsou</w:t>
      </w:r>
    </w:p>
    <w:p w:rsidR="00E925D2" w:rsidRDefault="00E925D2" w:rsidP="0043395D">
      <w:pPr>
        <w:jc w:val="both"/>
        <w:rPr>
          <w:bCs/>
        </w:rPr>
      </w:pPr>
    </w:p>
    <w:p w:rsidR="00E925D2" w:rsidRDefault="00E925D2" w:rsidP="0043395D">
      <w:pPr>
        <w:jc w:val="center"/>
        <w:rPr>
          <w:b/>
          <w:sz w:val="32"/>
        </w:rPr>
      </w:pPr>
    </w:p>
    <w:p w:rsidR="00E925D2" w:rsidRDefault="00E925D2" w:rsidP="00C948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Město Blatná zastoupené Technickými službami města Blatné, s.r.o.</w:t>
      </w:r>
    </w:p>
    <w:p w:rsidR="00E925D2" w:rsidRPr="000C3CAB" w:rsidRDefault="00E925D2" w:rsidP="00C948DF">
      <w:pPr>
        <w:jc w:val="center"/>
        <w:rPr>
          <w:b/>
          <w:bCs/>
          <w:color w:val="FF0000"/>
        </w:rPr>
      </w:pPr>
      <w:r>
        <w:rPr>
          <w:b/>
          <w:bCs/>
        </w:rPr>
        <w:t>IČ 00250996</w:t>
      </w:r>
    </w:p>
    <w:p w:rsidR="00E925D2" w:rsidRDefault="00E925D2" w:rsidP="00C948DF">
      <w:pPr>
        <w:jc w:val="center"/>
        <w:rPr>
          <w:b/>
          <w:bCs/>
        </w:rPr>
      </w:pPr>
      <w:r>
        <w:rPr>
          <w:b/>
          <w:bCs/>
        </w:rPr>
        <w:t>se sídlem Blatná, T.G. Masaryka 322, PSČ 388 01 Blatná</w:t>
      </w:r>
    </w:p>
    <w:p w:rsidR="00E925D2" w:rsidRDefault="00E925D2" w:rsidP="0043395D">
      <w:pPr>
        <w:jc w:val="center"/>
        <w:rPr>
          <w:b/>
          <w:bCs/>
          <w:i/>
        </w:rPr>
      </w:pPr>
      <w:r>
        <w:rPr>
          <w:b/>
          <w:bCs/>
          <w:i/>
        </w:rPr>
        <w:t>ze strany jedné jako objednatel</w:t>
      </w:r>
    </w:p>
    <w:p w:rsidR="00E925D2" w:rsidRDefault="00E925D2" w:rsidP="0043395D">
      <w:pPr>
        <w:jc w:val="center"/>
        <w:rPr>
          <w:b/>
          <w:bCs/>
          <w:i/>
        </w:rPr>
      </w:pPr>
    </w:p>
    <w:p w:rsidR="00E925D2" w:rsidRDefault="00E925D2" w:rsidP="0043395D">
      <w:pPr>
        <w:jc w:val="center"/>
        <w:rPr>
          <w:b/>
          <w:bCs/>
          <w:i/>
        </w:rPr>
      </w:pPr>
    </w:p>
    <w:p w:rsidR="00E925D2" w:rsidRDefault="00E925D2" w:rsidP="0043395D">
      <w:pPr>
        <w:jc w:val="center"/>
        <w:rPr>
          <w:b/>
          <w:bCs/>
        </w:rPr>
      </w:pPr>
      <w:r>
        <w:rPr>
          <w:b/>
          <w:bCs/>
        </w:rPr>
        <w:t>a</w:t>
      </w:r>
    </w:p>
    <w:p w:rsidR="00E925D2" w:rsidRDefault="00E925D2" w:rsidP="0043395D">
      <w:pPr>
        <w:jc w:val="center"/>
        <w:rPr>
          <w:b/>
          <w:bCs/>
        </w:rPr>
      </w:pPr>
    </w:p>
    <w:p w:rsidR="00E925D2" w:rsidRDefault="00E925D2" w:rsidP="0043395D">
      <w:pPr>
        <w:jc w:val="center"/>
        <w:rPr>
          <w:b/>
          <w:bCs/>
        </w:rPr>
      </w:pPr>
    </w:p>
    <w:p w:rsidR="00E925D2" w:rsidRDefault="00E925D2" w:rsidP="004339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NOVÝ PROJEKT s. r. o.</w:t>
      </w:r>
    </w:p>
    <w:p w:rsidR="00E925D2" w:rsidRDefault="00E925D2" w:rsidP="0043395D">
      <w:pPr>
        <w:jc w:val="center"/>
        <w:rPr>
          <w:b/>
          <w:bCs/>
        </w:rPr>
      </w:pPr>
      <w:r>
        <w:rPr>
          <w:b/>
          <w:bCs/>
        </w:rPr>
        <w:t>IČ 254 05 489</w:t>
      </w:r>
    </w:p>
    <w:p w:rsidR="00E925D2" w:rsidRDefault="00E925D2" w:rsidP="0043395D">
      <w:pPr>
        <w:jc w:val="center"/>
        <w:rPr>
          <w:b/>
          <w:bCs/>
        </w:rPr>
      </w:pPr>
      <w:r>
        <w:rPr>
          <w:b/>
          <w:bCs/>
        </w:rPr>
        <w:t>se sídlem Roudnice nad Labem, Žižkova 2479, PSČ 413 01 Roudnice nad Labem</w:t>
      </w:r>
    </w:p>
    <w:p w:rsidR="00E925D2" w:rsidRDefault="00E925D2" w:rsidP="0043395D">
      <w:pPr>
        <w:jc w:val="center"/>
        <w:rPr>
          <w:b/>
          <w:bCs/>
        </w:rPr>
      </w:pPr>
      <w:r>
        <w:rPr>
          <w:b/>
          <w:bCs/>
        </w:rPr>
        <w:t>zapsaná v obchodním rejstříku vedeném Krajským soudem v Ústí nad Labem</w:t>
      </w:r>
    </w:p>
    <w:p w:rsidR="00E925D2" w:rsidRDefault="00E925D2" w:rsidP="0043395D">
      <w:pPr>
        <w:jc w:val="center"/>
        <w:rPr>
          <w:b/>
          <w:bCs/>
        </w:rPr>
      </w:pPr>
      <w:r>
        <w:rPr>
          <w:b/>
          <w:bCs/>
        </w:rPr>
        <w:t>pod sp.zn.: C 15783</w:t>
      </w:r>
    </w:p>
    <w:p w:rsidR="00E925D2" w:rsidRDefault="00E925D2" w:rsidP="0043395D">
      <w:pPr>
        <w:jc w:val="center"/>
        <w:rPr>
          <w:b/>
          <w:bCs/>
        </w:rPr>
      </w:pPr>
    </w:p>
    <w:p w:rsidR="00E925D2" w:rsidRDefault="00E925D2" w:rsidP="0043395D">
      <w:pPr>
        <w:jc w:val="center"/>
        <w:rPr>
          <w:b/>
          <w:bCs/>
          <w:i/>
        </w:rPr>
      </w:pPr>
      <w:r>
        <w:rPr>
          <w:b/>
          <w:bCs/>
          <w:i/>
        </w:rPr>
        <w:t>ze strany druhé jako zhotovitel</w:t>
      </w:r>
    </w:p>
    <w:p w:rsidR="00E925D2" w:rsidRDefault="00E925D2" w:rsidP="00EE2C29">
      <w:pPr>
        <w:rPr>
          <w:b/>
          <w:bCs/>
          <w:i/>
        </w:rPr>
      </w:pPr>
    </w:p>
    <w:p w:rsidR="00E925D2" w:rsidRPr="00EE2C29" w:rsidRDefault="00E925D2" w:rsidP="00EE2C29">
      <w:pPr>
        <w:rPr>
          <w:bCs/>
        </w:rPr>
      </w:pPr>
      <w:r>
        <w:rPr>
          <w:bCs/>
        </w:rPr>
        <w:t>tato</w:t>
      </w:r>
    </w:p>
    <w:p w:rsidR="00E925D2" w:rsidRDefault="00E925D2" w:rsidP="0043395D">
      <w:pPr>
        <w:jc w:val="both"/>
        <w:rPr>
          <w:bCs/>
        </w:rPr>
      </w:pPr>
    </w:p>
    <w:p w:rsidR="00E925D2" w:rsidRPr="00EE2C29" w:rsidRDefault="00E925D2" w:rsidP="00EE2C29">
      <w:pPr>
        <w:jc w:val="center"/>
        <w:rPr>
          <w:b/>
          <w:bCs/>
          <w:sz w:val="36"/>
          <w:szCs w:val="36"/>
        </w:rPr>
      </w:pPr>
      <w:r w:rsidRPr="00EE2C29">
        <w:rPr>
          <w:b/>
          <w:bCs/>
          <w:sz w:val="36"/>
          <w:szCs w:val="36"/>
        </w:rPr>
        <w:t>S M L O U V A    O   D Í L O</w:t>
      </w:r>
    </w:p>
    <w:p w:rsidR="00E925D2" w:rsidRDefault="00E925D2" w:rsidP="0043395D">
      <w:pPr>
        <w:widowControl w:val="0"/>
        <w:jc w:val="both"/>
        <w:rPr>
          <w:snapToGrid w:val="0"/>
          <w:color w:val="000000"/>
        </w:rPr>
      </w:pPr>
    </w:p>
    <w:p w:rsidR="00E925D2" w:rsidRDefault="00E925D2" w:rsidP="0043395D">
      <w:pPr>
        <w:widowControl w:val="0"/>
        <w:jc w:val="both"/>
        <w:rPr>
          <w:snapToGrid w:val="0"/>
          <w:color w:val="000000"/>
        </w:rPr>
      </w:pP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I.</w:t>
      </w:r>
    </w:p>
    <w:p w:rsidR="00E925D2" w:rsidRDefault="00E925D2" w:rsidP="0043395D">
      <w:pPr>
        <w:pStyle w:val="Heading4"/>
        <w:rPr>
          <w:i w:val="0"/>
          <w:iCs w:val="0"/>
          <w:lang w:val="cs-CZ"/>
        </w:rPr>
      </w:pPr>
      <w:r>
        <w:rPr>
          <w:i w:val="0"/>
          <w:iCs w:val="0"/>
          <w:lang w:val="cs-CZ"/>
        </w:rPr>
        <w:t>Předmět smlouvy</w:t>
      </w:r>
    </w:p>
    <w:p w:rsidR="00E925D2" w:rsidRDefault="00E925D2" w:rsidP="0043395D">
      <w:pPr>
        <w:rPr>
          <w:sz w:val="16"/>
        </w:rPr>
      </w:pPr>
    </w:p>
    <w:p w:rsidR="00E925D2" w:rsidRDefault="00E925D2" w:rsidP="00EE2C29">
      <w:pPr>
        <w:widowControl w:val="0"/>
        <w:numPr>
          <w:ilvl w:val="0"/>
          <w:numId w:val="7"/>
        </w:numPr>
        <w:ind w:hanging="720"/>
        <w:jc w:val="both"/>
        <w:rPr>
          <w:b/>
          <w:bCs/>
          <w:snapToGrid w:val="0"/>
          <w:color w:val="000000"/>
        </w:rPr>
      </w:pPr>
      <w:r w:rsidRPr="00EE2C29">
        <w:rPr>
          <w:snapToGrid w:val="0"/>
          <w:color w:val="000000"/>
        </w:rPr>
        <w:t xml:space="preserve">Smluvní strany se dohodly, že předmětem plnění je </w:t>
      </w:r>
      <w:r>
        <w:rPr>
          <w:snapToGrid w:val="0"/>
          <w:color w:val="000000"/>
        </w:rPr>
        <w:t>zajištění stavebních prací týkajících se opravy a zateplení střechy BD ul. Nerudova č.p. 818 a 1021, Blatná, a to zejména provedení nové střešní krytiny, zateplení střešního pláště včetně atik, oprava a výměny části hromosvodu.</w:t>
      </w:r>
    </w:p>
    <w:p w:rsidR="00E925D2" w:rsidRDefault="00E925D2" w:rsidP="00EE2C29">
      <w:pPr>
        <w:widowControl w:val="0"/>
        <w:jc w:val="both"/>
        <w:rPr>
          <w:b/>
          <w:bCs/>
          <w:snapToGrid w:val="0"/>
          <w:color w:val="000000"/>
        </w:rPr>
      </w:pPr>
    </w:p>
    <w:p w:rsidR="00E925D2" w:rsidRPr="00EE2C29" w:rsidRDefault="00E925D2" w:rsidP="00EE2C29">
      <w:pPr>
        <w:widowControl w:val="0"/>
        <w:jc w:val="both"/>
        <w:rPr>
          <w:b/>
          <w:bCs/>
          <w:snapToGrid w:val="0"/>
          <w:color w:val="000000"/>
        </w:rPr>
      </w:pP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II.</w:t>
      </w:r>
    </w:p>
    <w:p w:rsidR="00E925D2" w:rsidRDefault="00E925D2" w:rsidP="0043395D">
      <w:pPr>
        <w:pStyle w:val="Heading4"/>
        <w:rPr>
          <w:i w:val="0"/>
          <w:iCs w:val="0"/>
          <w:lang w:val="cs-CZ"/>
        </w:rPr>
      </w:pPr>
      <w:r>
        <w:rPr>
          <w:i w:val="0"/>
          <w:iCs w:val="0"/>
          <w:lang w:val="cs-CZ"/>
        </w:rPr>
        <w:t>Dodací lhůta, předání a převzetí díla</w:t>
      </w:r>
    </w:p>
    <w:p w:rsidR="00E925D2" w:rsidRDefault="00E925D2" w:rsidP="0043395D">
      <w:pPr>
        <w:rPr>
          <w:sz w:val="16"/>
        </w:rPr>
      </w:pPr>
    </w:p>
    <w:p w:rsidR="00E925D2" w:rsidRPr="00EE2C29" w:rsidRDefault="00E925D2" w:rsidP="00713123">
      <w:pPr>
        <w:widowControl w:val="0"/>
        <w:ind w:left="720" w:hanging="720"/>
        <w:jc w:val="both"/>
        <w:rPr>
          <w:snapToGrid w:val="0"/>
        </w:rPr>
      </w:pPr>
      <w:r w:rsidRPr="00EE2C29">
        <w:rPr>
          <w:snapToGrid w:val="0"/>
        </w:rPr>
        <w:t xml:space="preserve"> </w:t>
      </w:r>
      <w:r>
        <w:rPr>
          <w:b/>
          <w:snapToGrid w:val="0"/>
        </w:rPr>
        <w:t>1.</w:t>
      </w:r>
      <w:r>
        <w:rPr>
          <w:b/>
          <w:snapToGrid w:val="0"/>
        </w:rPr>
        <w:tab/>
      </w:r>
      <w:r w:rsidRPr="00EE2C29">
        <w:rPr>
          <w:snapToGrid w:val="0"/>
        </w:rPr>
        <w:t xml:space="preserve">Zhotovitel se </w:t>
      </w:r>
      <w:r>
        <w:rPr>
          <w:snapToGrid w:val="0"/>
        </w:rPr>
        <w:t>může</w:t>
      </w:r>
      <w:r w:rsidRPr="00EE2C29">
        <w:rPr>
          <w:snapToGrid w:val="0"/>
        </w:rPr>
        <w:t xml:space="preserve"> zahájit </w:t>
      </w:r>
      <w:r>
        <w:rPr>
          <w:snapToGrid w:val="0"/>
        </w:rPr>
        <w:t>příslušné</w:t>
      </w:r>
      <w:r w:rsidRPr="00EE2C29">
        <w:rPr>
          <w:snapToGrid w:val="0"/>
        </w:rPr>
        <w:t xml:space="preserve"> stavební práce </w:t>
      </w:r>
      <w:r w:rsidRPr="00D35D6C">
        <w:rPr>
          <w:bCs/>
          <w:snapToGrid w:val="0"/>
        </w:rPr>
        <w:t xml:space="preserve">v den následující po podpisu této smlouvy a je povinen je dokončit do </w:t>
      </w:r>
      <w:r>
        <w:rPr>
          <w:bCs/>
          <w:snapToGrid w:val="0"/>
        </w:rPr>
        <w:t>35</w:t>
      </w:r>
      <w:r w:rsidRPr="00D35D6C">
        <w:rPr>
          <w:bCs/>
          <w:snapToGrid w:val="0"/>
        </w:rPr>
        <w:t xml:space="preserve"> dnů od jejího podpisu. </w:t>
      </w:r>
      <w:r w:rsidRPr="00EE2C29">
        <w:rPr>
          <w:snapToGrid w:val="0"/>
        </w:rPr>
        <w:t>V případě, že nastanou</w:t>
      </w:r>
      <w:r>
        <w:rPr>
          <w:snapToGrid w:val="0"/>
        </w:rPr>
        <w:t xml:space="preserve"> nepříznivé klimatické podmínky, </w:t>
      </w:r>
      <w:r w:rsidRPr="00EE2C29">
        <w:rPr>
          <w:snapToGrid w:val="0"/>
        </w:rPr>
        <w:t xml:space="preserve">které by neumožnily dodržení </w:t>
      </w:r>
      <w:r>
        <w:rPr>
          <w:snapToGrid w:val="0"/>
        </w:rPr>
        <w:t xml:space="preserve">požadované </w:t>
      </w:r>
      <w:r w:rsidRPr="00EE2C29">
        <w:rPr>
          <w:snapToGrid w:val="0"/>
        </w:rPr>
        <w:t>technologie, bude termín dokončení a předání posunut o vynucenou dobu prostojů, přičemž stejné právní důsledky dopadají na termín dokončení a předání díla i v případě, kdy nastanou okolnosti vis major.</w:t>
      </w:r>
    </w:p>
    <w:p w:rsidR="00E925D2" w:rsidRPr="00713123" w:rsidRDefault="00E925D2" w:rsidP="0043395D">
      <w:pPr>
        <w:widowControl w:val="0"/>
        <w:ind w:left="360"/>
        <w:jc w:val="both"/>
        <w:rPr>
          <w:snapToGrid w:val="0"/>
          <w:color w:val="000000"/>
        </w:rPr>
      </w:pPr>
      <w:r w:rsidRPr="00713123">
        <w:rPr>
          <w:snapToGrid w:val="0"/>
          <w:color w:val="000000"/>
        </w:rPr>
        <w:t xml:space="preserve"> </w:t>
      </w:r>
    </w:p>
    <w:p w:rsidR="00E925D2" w:rsidRPr="00713123" w:rsidRDefault="00E925D2" w:rsidP="00713123">
      <w:pPr>
        <w:pStyle w:val="BodyText"/>
        <w:numPr>
          <w:ilvl w:val="0"/>
          <w:numId w:val="8"/>
        </w:numPr>
        <w:tabs>
          <w:tab w:val="clear" w:pos="1080"/>
          <w:tab w:val="num" w:pos="720"/>
        </w:tabs>
        <w:ind w:left="720" w:hanging="720"/>
        <w:rPr>
          <w:sz w:val="24"/>
          <w:szCs w:val="24"/>
          <w:lang w:val="cs-CZ"/>
        </w:rPr>
      </w:pPr>
      <w:r w:rsidRPr="00713123">
        <w:rPr>
          <w:sz w:val="24"/>
          <w:szCs w:val="24"/>
          <w:lang w:val="cs-CZ"/>
        </w:rPr>
        <w:t>Závazek na zhotovení díla je splněn jeho dokončením bez zjevných nedodělků a předáním díla. Objednatel je povinen převzít dílo pokud</w:t>
      </w:r>
      <w:r>
        <w:rPr>
          <w:sz w:val="24"/>
          <w:szCs w:val="24"/>
          <w:lang w:val="cs-CZ"/>
        </w:rPr>
        <w:t>,</w:t>
      </w:r>
      <w:r w:rsidRPr="00713123">
        <w:rPr>
          <w:sz w:val="24"/>
          <w:szCs w:val="24"/>
          <w:lang w:val="cs-CZ"/>
        </w:rPr>
        <w:t xml:space="preserve">  nebude vykazovat zjevné vady,  s výjimkou drobných vad, které nebrání řádnému užívání díla.</w:t>
      </w:r>
    </w:p>
    <w:p w:rsidR="00E925D2" w:rsidRPr="00713123" w:rsidRDefault="00E925D2" w:rsidP="0043395D">
      <w:pPr>
        <w:pStyle w:val="BodyText"/>
        <w:rPr>
          <w:sz w:val="24"/>
          <w:szCs w:val="24"/>
          <w:lang w:val="cs-CZ"/>
        </w:rPr>
      </w:pPr>
    </w:p>
    <w:p w:rsidR="00E925D2" w:rsidRPr="00713123" w:rsidRDefault="00E925D2" w:rsidP="00713123">
      <w:pPr>
        <w:pStyle w:val="BodyText"/>
        <w:numPr>
          <w:ilvl w:val="0"/>
          <w:numId w:val="8"/>
        </w:numPr>
        <w:tabs>
          <w:tab w:val="clear" w:pos="1080"/>
          <w:tab w:val="num" w:pos="720"/>
        </w:tabs>
        <w:ind w:left="720" w:hanging="720"/>
        <w:rPr>
          <w:sz w:val="24"/>
          <w:szCs w:val="24"/>
          <w:lang w:val="cs-CZ"/>
        </w:rPr>
      </w:pPr>
      <w:r w:rsidRPr="00713123">
        <w:rPr>
          <w:sz w:val="24"/>
          <w:szCs w:val="24"/>
          <w:lang w:val="cs-CZ"/>
        </w:rPr>
        <w:t xml:space="preserve">Nebezpečí škody na celém  díle přechází na objednatele v okamžiku podpisu </w:t>
      </w:r>
      <w:r>
        <w:rPr>
          <w:sz w:val="24"/>
          <w:szCs w:val="24"/>
          <w:lang w:val="cs-CZ"/>
        </w:rPr>
        <w:t>předání</w:t>
      </w:r>
      <w:r w:rsidRPr="00713123">
        <w:rPr>
          <w:sz w:val="24"/>
          <w:szCs w:val="24"/>
          <w:lang w:val="cs-CZ"/>
        </w:rPr>
        <w:t xml:space="preserve"> díla.</w:t>
      </w:r>
    </w:p>
    <w:p w:rsidR="00E925D2" w:rsidRPr="00713123" w:rsidRDefault="00E925D2" w:rsidP="0043395D">
      <w:pPr>
        <w:pStyle w:val="BodyText"/>
        <w:rPr>
          <w:sz w:val="24"/>
          <w:szCs w:val="24"/>
          <w:lang w:val="cs-CZ"/>
        </w:rPr>
      </w:pP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III.</w:t>
      </w: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6"/>
          <w:szCs w:val="26"/>
        </w:rPr>
      </w:pPr>
      <w:r>
        <w:rPr>
          <w:b/>
          <w:bCs/>
          <w:snapToGrid w:val="0"/>
          <w:color w:val="000000"/>
          <w:sz w:val="28"/>
          <w:szCs w:val="28"/>
        </w:rPr>
        <w:t>Cena</w:t>
      </w:r>
      <w:r>
        <w:rPr>
          <w:b/>
          <w:bCs/>
          <w:snapToGrid w:val="0"/>
          <w:color w:val="000000"/>
          <w:sz w:val="26"/>
          <w:szCs w:val="26"/>
        </w:rPr>
        <w:t xml:space="preserve"> </w:t>
      </w:r>
      <w:r>
        <w:rPr>
          <w:b/>
          <w:bCs/>
          <w:snapToGrid w:val="0"/>
          <w:color w:val="000000"/>
          <w:sz w:val="28"/>
          <w:szCs w:val="28"/>
        </w:rPr>
        <w:t>díla</w:t>
      </w: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E925D2" w:rsidRPr="00713123" w:rsidRDefault="00E925D2" w:rsidP="00713123">
      <w:pPr>
        <w:widowControl w:val="0"/>
        <w:tabs>
          <w:tab w:val="left" w:pos="284"/>
          <w:tab w:val="num" w:pos="720"/>
        </w:tabs>
        <w:ind w:left="720" w:hanging="720"/>
        <w:jc w:val="both"/>
        <w:rPr>
          <w:snapToGrid w:val="0"/>
          <w:color w:val="000000"/>
        </w:rPr>
      </w:pPr>
      <w:r>
        <w:rPr>
          <w:b/>
          <w:snapToGrid w:val="0"/>
          <w:color w:val="000000"/>
        </w:rPr>
        <w:t>1.</w:t>
      </w:r>
      <w:r>
        <w:rPr>
          <w:b/>
          <w:snapToGrid w:val="0"/>
          <w:color w:val="000000"/>
        </w:rPr>
        <w:tab/>
      </w:r>
      <w:r>
        <w:rPr>
          <w:b/>
          <w:snapToGrid w:val="0"/>
          <w:color w:val="000000"/>
        </w:rPr>
        <w:tab/>
      </w:r>
      <w:r w:rsidRPr="00713123">
        <w:rPr>
          <w:snapToGrid w:val="0"/>
          <w:color w:val="000000"/>
        </w:rPr>
        <w:t>Smluvní strany se dohodly na ceně díla uvedeného  v čl. I této  smlouvy . Její výše činí:</w:t>
      </w:r>
    </w:p>
    <w:p w:rsidR="00E925D2" w:rsidRPr="00713123" w:rsidRDefault="00E925D2" w:rsidP="0043395D">
      <w:pPr>
        <w:widowControl w:val="0"/>
        <w:tabs>
          <w:tab w:val="left" w:pos="284"/>
        </w:tabs>
        <w:rPr>
          <w:snapToGrid w:val="0"/>
          <w:color w:val="000000"/>
        </w:rPr>
      </w:pPr>
    </w:p>
    <w:p w:rsidR="00E925D2" w:rsidRPr="00713123" w:rsidRDefault="00E925D2" w:rsidP="0043395D"/>
    <w:p w:rsidR="00E925D2" w:rsidRDefault="00E925D2" w:rsidP="0043395D">
      <w:pPr>
        <w:rPr>
          <w:b/>
          <w:bCs/>
        </w:rPr>
      </w:pPr>
      <w:r w:rsidRPr="00713123">
        <w:t xml:space="preserve">    </w:t>
      </w:r>
      <w:r w:rsidRPr="00713123">
        <w:rPr>
          <w:b/>
          <w:bCs/>
        </w:rPr>
        <w:t xml:space="preserve">Cena celkem </w:t>
      </w:r>
      <w:r>
        <w:rPr>
          <w:b/>
          <w:bCs/>
        </w:rPr>
        <w:t>bez</w:t>
      </w:r>
      <w:r w:rsidRPr="00713123">
        <w:rPr>
          <w:b/>
          <w:bCs/>
        </w:rPr>
        <w:t> DPH</w:t>
      </w:r>
      <w:r>
        <w:rPr>
          <w:b/>
          <w:bCs/>
        </w:rPr>
        <w:t xml:space="preserve"> 15%</w:t>
      </w:r>
      <w:r w:rsidRPr="00713123">
        <w:rPr>
          <w:b/>
          <w:bCs/>
        </w:rPr>
        <w:t xml:space="preserve"> ……………………………………   </w:t>
      </w:r>
      <w:r>
        <w:rPr>
          <w:b/>
          <w:bCs/>
        </w:rPr>
        <w:t>938.645,-</w:t>
      </w:r>
      <w:r w:rsidRPr="00713123">
        <w:rPr>
          <w:b/>
          <w:bCs/>
        </w:rPr>
        <w:t xml:space="preserve"> Kč </w:t>
      </w:r>
    </w:p>
    <w:p w:rsidR="00E925D2" w:rsidRPr="00713123" w:rsidRDefault="00E925D2" w:rsidP="0043395D">
      <w:pPr>
        <w:rPr>
          <w:b/>
          <w:bCs/>
          <w:i/>
          <w:iCs/>
        </w:rPr>
      </w:pPr>
      <w:r>
        <w:rPr>
          <w:b/>
          <w:bCs/>
        </w:rPr>
        <w:tab/>
      </w:r>
    </w:p>
    <w:p w:rsidR="00E925D2" w:rsidRPr="00713123" w:rsidRDefault="00E925D2" w:rsidP="0043395D"/>
    <w:p w:rsidR="00E925D2" w:rsidRDefault="00E925D2" w:rsidP="00713123">
      <w:pPr>
        <w:pStyle w:val="Heading3"/>
        <w:numPr>
          <w:ilvl w:val="0"/>
          <w:numId w:val="9"/>
        </w:numPr>
        <w:rPr>
          <w:sz w:val="24"/>
          <w:szCs w:val="24"/>
          <w:lang w:val="cs-CZ"/>
        </w:rPr>
      </w:pPr>
      <w:r w:rsidRPr="00713123">
        <w:rPr>
          <w:sz w:val="24"/>
          <w:szCs w:val="24"/>
          <w:lang w:val="cs-CZ"/>
        </w:rPr>
        <w:t>Předložená smluvní cena je pevná bez možnosti navýšení</w:t>
      </w:r>
      <w:r>
        <w:rPr>
          <w:sz w:val="24"/>
          <w:szCs w:val="24"/>
          <w:lang w:val="cs-CZ"/>
        </w:rPr>
        <w:t xml:space="preserve">, výjimka je pak možná pouze tehdy, kdy objednatel vznese rozšiřující požadavky na rozsah prováděného díla, případně se zjistí technické změny vůči původnímu projektu a zadání a mezi účastníky bude formou dodatku k této smlouvě sjednána dohoda o provedení nově požadovaných prací včetně jejich ceny a způsobu úhrady takovéto ceny. Do doby uzavření takovéto dohody platí, že dílo bude prováděno dle této dnes uzavírané smlouvy v jejím aktuálním znění. </w:t>
      </w:r>
    </w:p>
    <w:p w:rsidR="00E925D2" w:rsidRPr="00713123" w:rsidRDefault="00E925D2" w:rsidP="00713123"/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IV.</w:t>
      </w: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Platební podmínky a fakturace</w:t>
      </w: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6"/>
          <w:szCs w:val="26"/>
        </w:rPr>
      </w:pPr>
    </w:p>
    <w:p w:rsidR="00E925D2" w:rsidRDefault="00E925D2" w:rsidP="00713123">
      <w:pPr>
        <w:widowControl w:val="0"/>
        <w:numPr>
          <w:ilvl w:val="0"/>
          <w:numId w:val="10"/>
        </w:numPr>
        <w:ind w:hanging="720"/>
        <w:jc w:val="both"/>
        <w:rPr>
          <w:snapToGrid w:val="0"/>
          <w:color w:val="000000"/>
        </w:rPr>
      </w:pPr>
      <w:r w:rsidRPr="00713123">
        <w:t xml:space="preserve">Provedené práce budou </w:t>
      </w:r>
      <w:r>
        <w:rPr>
          <w:snapToGrid w:val="0"/>
          <w:color w:val="000000"/>
        </w:rPr>
        <w:t xml:space="preserve">hrazeny na základě částečných plateb s tím, cena díla bude při fakturaci rozdělena na tři zhruba stejné dílčí faktury za provedené práce a konečná faktura bude vystavena při předání a převzetí díla a bude uhrazena po odstranění poslední vady nebo nedodělku zapsaného v protokolu o předání a převzetí díla. </w:t>
      </w:r>
    </w:p>
    <w:p w:rsidR="00E925D2" w:rsidRDefault="00E925D2" w:rsidP="00713123">
      <w:pPr>
        <w:widowControl w:val="0"/>
        <w:jc w:val="both"/>
      </w:pPr>
    </w:p>
    <w:p w:rsidR="00E925D2" w:rsidRDefault="00E925D2" w:rsidP="00713123">
      <w:pPr>
        <w:widowControl w:val="0"/>
        <w:jc w:val="both"/>
      </w:pP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V.</w:t>
      </w:r>
    </w:p>
    <w:p w:rsidR="00E925D2" w:rsidRDefault="00E925D2" w:rsidP="0043395D">
      <w:pPr>
        <w:pStyle w:val="Heading4"/>
        <w:rPr>
          <w:i w:val="0"/>
          <w:iCs w:val="0"/>
          <w:lang w:val="cs-CZ"/>
        </w:rPr>
      </w:pPr>
      <w:r>
        <w:rPr>
          <w:i w:val="0"/>
          <w:iCs w:val="0"/>
          <w:lang w:val="cs-CZ"/>
        </w:rPr>
        <w:t>Smluvní podmínky dodání díla</w:t>
      </w: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E925D2" w:rsidRPr="00CF2017" w:rsidRDefault="00E925D2" w:rsidP="00CF2017">
      <w:pPr>
        <w:widowControl w:val="0"/>
        <w:numPr>
          <w:ilvl w:val="0"/>
          <w:numId w:val="8"/>
        </w:numPr>
        <w:tabs>
          <w:tab w:val="clear" w:pos="1080"/>
          <w:tab w:val="num" w:pos="720"/>
        </w:tabs>
        <w:ind w:left="720" w:hanging="720"/>
        <w:jc w:val="both"/>
        <w:rPr>
          <w:snapToGrid w:val="0"/>
          <w:color w:val="000000"/>
        </w:rPr>
      </w:pPr>
      <w:r w:rsidRPr="00CF2017">
        <w:rPr>
          <w:snapToGrid w:val="0"/>
          <w:color w:val="000000"/>
        </w:rPr>
        <w:t xml:space="preserve">Bude-li zhotovitelem požadováno provedení prací, které nejsou uvedeny v projektové dokumentaci, musí být cena dohodnuta před jejich provedením. </w:t>
      </w:r>
    </w:p>
    <w:p w:rsidR="00E925D2" w:rsidRPr="00CF2017" w:rsidRDefault="00E925D2" w:rsidP="0043395D">
      <w:pPr>
        <w:widowControl w:val="0"/>
        <w:jc w:val="both"/>
        <w:rPr>
          <w:snapToGrid w:val="0"/>
          <w:color w:val="000000"/>
        </w:rPr>
      </w:pPr>
    </w:p>
    <w:p w:rsidR="00E925D2" w:rsidRPr="00CF2017" w:rsidRDefault="00E925D2" w:rsidP="0043395D">
      <w:pPr>
        <w:widowControl w:val="0"/>
        <w:jc w:val="both"/>
        <w:rPr>
          <w:snapToGrid w:val="0"/>
          <w:color w:val="000000"/>
        </w:rPr>
      </w:pPr>
      <w:r w:rsidRPr="00CF2017">
        <w:rPr>
          <w:b/>
          <w:snapToGrid w:val="0"/>
          <w:color w:val="000000"/>
        </w:rPr>
        <w:t>9.</w:t>
      </w:r>
      <w:r w:rsidRPr="00CF2017">
        <w:rPr>
          <w:b/>
          <w:snapToGrid w:val="0"/>
          <w:color w:val="000000"/>
        </w:rPr>
        <w:tab/>
      </w:r>
      <w:r w:rsidRPr="00CF2017">
        <w:rPr>
          <w:snapToGrid w:val="0"/>
          <w:color w:val="000000"/>
        </w:rPr>
        <w:t>Zhotovitel předá objednateli dílo bez vad a nedodělků.</w:t>
      </w:r>
    </w:p>
    <w:p w:rsidR="00E925D2" w:rsidRDefault="00E925D2" w:rsidP="0043395D">
      <w:pPr>
        <w:widowControl w:val="0"/>
        <w:jc w:val="center"/>
        <w:rPr>
          <w:b/>
          <w:bCs/>
          <w:i/>
          <w:iCs/>
          <w:snapToGrid w:val="0"/>
          <w:color w:val="000000"/>
          <w:sz w:val="18"/>
          <w:szCs w:val="26"/>
        </w:rPr>
      </w:pPr>
    </w:p>
    <w:p w:rsidR="00E925D2" w:rsidRDefault="00E925D2" w:rsidP="0043395D">
      <w:pPr>
        <w:widowControl w:val="0"/>
        <w:jc w:val="center"/>
        <w:rPr>
          <w:b/>
          <w:bCs/>
          <w:i/>
          <w:iCs/>
          <w:snapToGrid w:val="0"/>
          <w:color w:val="000000"/>
          <w:sz w:val="18"/>
          <w:szCs w:val="26"/>
        </w:rPr>
      </w:pPr>
    </w:p>
    <w:p w:rsidR="00E925D2" w:rsidRDefault="00E925D2" w:rsidP="0043395D">
      <w:pPr>
        <w:widowControl w:val="0"/>
        <w:jc w:val="center"/>
        <w:rPr>
          <w:b/>
          <w:bCs/>
          <w:i/>
          <w:iCs/>
          <w:snapToGrid w:val="0"/>
          <w:color w:val="000000"/>
          <w:sz w:val="18"/>
          <w:szCs w:val="26"/>
        </w:rPr>
      </w:pPr>
    </w:p>
    <w:p w:rsidR="00E925D2" w:rsidRDefault="00E925D2" w:rsidP="0043395D">
      <w:pPr>
        <w:widowControl w:val="0"/>
        <w:jc w:val="center"/>
        <w:rPr>
          <w:b/>
          <w:bCs/>
          <w:i/>
          <w:iCs/>
          <w:snapToGrid w:val="0"/>
          <w:color w:val="000000"/>
          <w:sz w:val="18"/>
          <w:szCs w:val="26"/>
        </w:rPr>
      </w:pP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VI.</w:t>
      </w: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Součinnost objednatele</w:t>
      </w:r>
    </w:p>
    <w:p w:rsidR="00E925D2" w:rsidRDefault="00E925D2" w:rsidP="00CF2017">
      <w:pPr>
        <w:widowControl w:val="0"/>
        <w:tabs>
          <w:tab w:val="left" w:pos="0"/>
          <w:tab w:val="num" w:pos="720"/>
        </w:tabs>
        <w:jc w:val="both"/>
        <w:rPr>
          <w:b/>
          <w:bCs/>
          <w:snapToGrid w:val="0"/>
          <w:color w:val="000000"/>
          <w:sz w:val="26"/>
          <w:szCs w:val="26"/>
        </w:rPr>
      </w:pPr>
    </w:p>
    <w:p w:rsidR="00E925D2" w:rsidRPr="00CF2017" w:rsidRDefault="00E925D2" w:rsidP="00D35D6C">
      <w:pPr>
        <w:widowControl w:val="0"/>
        <w:tabs>
          <w:tab w:val="left" w:pos="720"/>
        </w:tabs>
        <w:ind w:left="720" w:hanging="720"/>
        <w:jc w:val="both"/>
      </w:pPr>
      <w:r>
        <w:rPr>
          <w:b/>
          <w:bCs/>
          <w:snapToGrid w:val="0"/>
          <w:color w:val="000000"/>
          <w:sz w:val="26"/>
          <w:szCs w:val="26"/>
        </w:rPr>
        <w:t>1.</w:t>
      </w:r>
      <w:r>
        <w:rPr>
          <w:b/>
          <w:bCs/>
          <w:snapToGrid w:val="0"/>
          <w:color w:val="000000"/>
          <w:sz w:val="26"/>
          <w:szCs w:val="26"/>
        </w:rPr>
        <w:tab/>
      </w:r>
      <w:r w:rsidRPr="00CF2017">
        <w:t xml:space="preserve">Objednatel je povinen poskytovat při provádění díla zhotoviteli potřebnou součinnost, zejména nesmí klást zhotoviteli žádné právní a fyzické překážky v provádění a dokončení díla a bránit zaměstnancům zhotovitele ve vstupu na pracoviště.   Objednatel po  celou dobu  provádění díla rovněž  odpovídá za to, že průběh prací nebude narušován neoprávněnými zásahy třetích osob. </w:t>
      </w: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VII.</w:t>
      </w:r>
    </w:p>
    <w:p w:rsidR="00E925D2" w:rsidRDefault="00E925D2" w:rsidP="0043395D">
      <w:pPr>
        <w:pStyle w:val="Heading8"/>
      </w:pPr>
      <w:r>
        <w:t>Záruka za jakost</w:t>
      </w:r>
    </w:p>
    <w:p w:rsidR="00E925D2" w:rsidRDefault="00E925D2" w:rsidP="0043395D">
      <w:pPr>
        <w:widowControl w:val="0"/>
        <w:jc w:val="both"/>
        <w:rPr>
          <w:b/>
          <w:bCs/>
          <w:snapToGrid w:val="0"/>
          <w:color w:val="000000"/>
          <w:sz w:val="28"/>
          <w:szCs w:val="26"/>
        </w:rPr>
      </w:pPr>
    </w:p>
    <w:p w:rsidR="00E925D2" w:rsidRDefault="00E925D2" w:rsidP="0043395D">
      <w:pPr>
        <w:widowControl w:val="0"/>
        <w:ind w:left="426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Zhotovitel přejímá záruku na jím provedené stavební a související po dobu  </w:t>
      </w:r>
      <w:r>
        <w:rPr>
          <w:b/>
          <w:bCs/>
          <w:i/>
          <w:iCs/>
          <w:snapToGrid w:val="0"/>
          <w:color w:val="000000"/>
          <w:sz w:val="26"/>
          <w:szCs w:val="26"/>
        </w:rPr>
        <w:t>60 měsíců</w:t>
      </w:r>
      <w:r>
        <w:rPr>
          <w:snapToGrid w:val="0"/>
          <w:color w:val="000000"/>
          <w:sz w:val="26"/>
          <w:szCs w:val="26"/>
        </w:rPr>
        <w:t xml:space="preserve"> ode dne předání a převzetí díla objednateli.</w:t>
      </w: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  </w:t>
      </w:r>
    </w:p>
    <w:p w:rsidR="00E925D2" w:rsidRDefault="00E925D2" w:rsidP="0043395D">
      <w:pPr>
        <w:widowControl w:val="0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VIII.</w:t>
      </w:r>
    </w:p>
    <w:p w:rsidR="00E925D2" w:rsidRDefault="00E925D2" w:rsidP="0043395D">
      <w:pPr>
        <w:widowControl w:val="0"/>
        <w:jc w:val="center"/>
        <w:rPr>
          <w:b/>
          <w:bCs/>
          <w:snapToGrid w:val="0"/>
          <w:color w:val="000000"/>
          <w:sz w:val="26"/>
          <w:szCs w:val="26"/>
        </w:rPr>
      </w:pPr>
      <w:r>
        <w:rPr>
          <w:b/>
          <w:bCs/>
          <w:snapToGrid w:val="0"/>
          <w:color w:val="000000"/>
          <w:sz w:val="28"/>
          <w:szCs w:val="28"/>
        </w:rPr>
        <w:t>Závěrečná ustanovení</w:t>
      </w:r>
    </w:p>
    <w:p w:rsidR="00E925D2" w:rsidRPr="00CF2017" w:rsidRDefault="00E925D2" w:rsidP="00CF2017">
      <w:pPr>
        <w:pStyle w:val="BodyText"/>
        <w:rPr>
          <w:sz w:val="24"/>
          <w:szCs w:val="24"/>
          <w:lang w:val="cs-CZ"/>
        </w:rPr>
      </w:pPr>
    </w:p>
    <w:p w:rsidR="00E925D2" w:rsidRPr="00CF2017" w:rsidRDefault="00E925D2" w:rsidP="00CF2017">
      <w:pPr>
        <w:pStyle w:val="BodyText"/>
        <w:numPr>
          <w:ilvl w:val="0"/>
          <w:numId w:val="13"/>
        </w:numPr>
        <w:ind w:hanging="720"/>
        <w:rPr>
          <w:sz w:val="24"/>
          <w:szCs w:val="24"/>
          <w:lang w:val="cs-CZ"/>
        </w:rPr>
      </w:pPr>
      <w:r w:rsidRPr="00CF2017">
        <w:rPr>
          <w:sz w:val="24"/>
          <w:szCs w:val="24"/>
          <w:lang w:val="cs-CZ"/>
        </w:rPr>
        <w:t xml:space="preserve">Smluvní  strany se dohodly,  že právní vztahy  mezi stranami z této smlouvy se řídí </w:t>
      </w:r>
      <w:r>
        <w:rPr>
          <w:sz w:val="24"/>
          <w:szCs w:val="24"/>
          <w:lang w:val="cs-CZ"/>
        </w:rPr>
        <w:t>občanským</w:t>
      </w:r>
      <w:r w:rsidRPr="00CF2017">
        <w:rPr>
          <w:sz w:val="24"/>
          <w:szCs w:val="24"/>
          <w:lang w:val="cs-CZ"/>
        </w:rPr>
        <w:t xml:space="preserve"> zákoníkem.</w:t>
      </w:r>
    </w:p>
    <w:p w:rsidR="00E925D2" w:rsidRPr="00CF2017" w:rsidRDefault="00E925D2" w:rsidP="0043395D">
      <w:pPr>
        <w:widowControl w:val="0"/>
        <w:jc w:val="both"/>
        <w:rPr>
          <w:snapToGrid w:val="0"/>
          <w:color w:val="000000"/>
        </w:rPr>
      </w:pPr>
    </w:p>
    <w:p w:rsidR="00E925D2" w:rsidRPr="00CF2017" w:rsidRDefault="00E925D2" w:rsidP="00CF2017">
      <w:pPr>
        <w:pStyle w:val="BodyText"/>
        <w:ind w:left="720" w:hanging="720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2.</w:t>
      </w:r>
      <w:r>
        <w:rPr>
          <w:b/>
          <w:sz w:val="24"/>
          <w:szCs w:val="24"/>
          <w:lang w:val="cs-CZ"/>
        </w:rPr>
        <w:tab/>
      </w:r>
      <w:r w:rsidRPr="00CF2017">
        <w:rPr>
          <w:sz w:val="24"/>
          <w:szCs w:val="24"/>
          <w:lang w:val="cs-CZ"/>
        </w:rPr>
        <w:t>Změny a doplňky této smlouvy mohou být prováděny pouze písemně se souhlasem obou stran.</w:t>
      </w:r>
    </w:p>
    <w:p w:rsidR="00E925D2" w:rsidRPr="00CF2017" w:rsidRDefault="00E925D2" w:rsidP="0043395D">
      <w:pPr>
        <w:widowControl w:val="0"/>
        <w:jc w:val="both"/>
        <w:rPr>
          <w:snapToGrid w:val="0"/>
          <w:color w:val="000000"/>
        </w:rPr>
      </w:pPr>
    </w:p>
    <w:p w:rsidR="00E925D2" w:rsidRPr="00CF2017" w:rsidRDefault="00E925D2" w:rsidP="00CF2017">
      <w:pPr>
        <w:widowControl w:val="0"/>
        <w:ind w:left="720" w:hanging="720"/>
        <w:jc w:val="both"/>
      </w:pPr>
      <w:r>
        <w:rPr>
          <w:b/>
        </w:rPr>
        <w:t>3.</w:t>
      </w:r>
      <w:r>
        <w:rPr>
          <w:b/>
        </w:rPr>
        <w:tab/>
      </w:r>
      <w:r w:rsidRPr="00CF2017">
        <w:t xml:space="preserve">Tato smlouva je vyhotovena ve </w:t>
      </w:r>
      <w:r>
        <w:t>dvou</w:t>
      </w:r>
      <w:r w:rsidRPr="00CF2017">
        <w:t xml:space="preserve"> stejnopisech, které všechny mají povahu originálu. Po podpisu smlouvy si každý ze smluvních účastníků ponechá po </w:t>
      </w:r>
      <w:r>
        <w:t>jednom jejím vyhotovení</w:t>
      </w:r>
      <w:r w:rsidRPr="00CF2017">
        <w:t>.</w:t>
      </w:r>
    </w:p>
    <w:p w:rsidR="00E925D2" w:rsidRPr="00CF2017" w:rsidRDefault="00E925D2" w:rsidP="00CF2017">
      <w:pPr>
        <w:pStyle w:val="BodyText"/>
        <w:rPr>
          <w:sz w:val="24"/>
          <w:szCs w:val="24"/>
          <w:lang w:val="cs-CZ"/>
        </w:rPr>
      </w:pPr>
    </w:p>
    <w:p w:rsidR="00E925D2" w:rsidRDefault="00E925D2" w:rsidP="00CF2017">
      <w:pPr>
        <w:pStyle w:val="BodyText"/>
        <w:ind w:left="720" w:hanging="720"/>
        <w:jc w:val="left"/>
        <w:rPr>
          <w:sz w:val="28"/>
          <w:szCs w:val="28"/>
          <w:lang w:val="cs-CZ"/>
        </w:rPr>
      </w:pPr>
      <w:r w:rsidRPr="00CF2017">
        <w:rPr>
          <w:b/>
          <w:sz w:val="24"/>
          <w:szCs w:val="24"/>
          <w:lang w:val="cs-CZ"/>
        </w:rPr>
        <w:t>4.</w:t>
      </w:r>
      <w:r w:rsidRPr="00CF2017">
        <w:rPr>
          <w:b/>
          <w:sz w:val="24"/>
          <w:szCs w:val="24"/>
          <w:lang w:val="cs-CZ"/>
        </w:rPr>
        <w:tab/>
      </w:r>
      <w:r w:rsidRPr="00CF2017">
        <w:rPr>
          <w:sz w:val="24"/>
          <w:szCs w:val="24"/>
          <w:lang w:val="cs-CZ"/>
        </w:rPr>
        <w:t>Tato smlouva je platná okamžikem jejího podpisu smluvními účastníky a týmž okamžikem nabývá smlouva i účinnosti.</w:t>
      </w:r>
    </w:p>
    <w:p w:rsidR="00E925D2" w:rsidRDefault="00E925D2" w:rsidP="00CF2017">
      <w:pPr>
        <w:pStyle w:val="BodyText"/>
        <w:rPr>
          <w:sz w:val="28"/>
          <w:szCs w:val="28"/>
          <w:lang w:val="cs-CZ"/>
        </w:rPr>
      </w:pPr>
    </w:p>
    <w:p w:rsidR="00E925D2" w:rsidRDefault="00E925D2" w:rsidP="00CF2017">
      <w:pPr>
        <w:pStyle w:val="BodyText"/>
        <w:rPr>
          <w:sz w:val="28"/>
          <w:szCs w:val="28"/>
          <w:lang w:val="cs-CZ"/>
        </w:rPr>
      </w:pPr>
    </w:p>
    <w:p w:rsidR="00E925D2" w:rsidRDefault="00E925D2" w:rsidP="00CF2017">
      <w:pPr>
        <w:pStyle w:val="BodyText"/>
        <w:jc w:val="center"/>
        <w:rPr>
          <w:b/>
          <w:sz w:val="28"/>
          <w:szCs w:val="28"/>
          <w:lang w:val="cs-CZ"/>
        </w:rPr>
      </w:pPr>
      <w:r w:rsidRPr="00CF2017">
        <w:rPr>
          <w:b/>
          <w:sz w:val="28"/>
          <w:szCs w:val="28"/>
          <w:lang w:val="cs-CZ"/>
        </w:rPr>
        <w:t>čl.</w:t>
      </w:r>
      <w:r>
        <w:rPr>
          <w:b/>
          <w:sz w:val="28"/>
          <w:szCs w:val="28"/>
          <w:lang w:val="cs-CZ"/>
        </w:rPr>
        <w:t>I</w:t>
      </w:r>
      <w:r w:rsidRPr="00CF2017">
        <w:rPr>
          <w:b/>
          <w:sz w:val="28"/>
          <w:szCs w:val="28"/>
          <w:lang w:val="cs-CZ"/>
        </w:rPr>
        <w:t>X.</w:t>
      </w:r>
    </w:p>
    <w:p w:rsidR="00E925D2" w:rsidRPr="00CF2017" w:rsidRDefault="00E925D2" w:rsidP="00CF2017">
      <w:pPr>
        <w:pStyle w:val="BodyText"/>
        <w:jc w:val="center"/>
        <w:rPr>
          <w:b/>
          <w:sz w:val="24"/>
          <w:szCs w:val="24"/>
          <w:lang w:val="cs-CZ"/>
        </w:rPr>
      </w:pPr>
      <w:r>
        <w:rPr>
          <w:b/>
          <w:sz w:val="28"/>
          <w:szCs w:val="28"/>
          <w:lang w:val="cs-CZ"/>
        </w:rPr>
        <w:t>Podpisy</w:t>
      </w:r>
    </w:p>
    <w:p w:rsidR="00E925D2" w:rsidRDefault="00E925D2" w:rsidP="00CF2017">
      <w:pPr>
        <w:pStyle w:val="BodyText"/>
        <w:ind w:left="720" w:hanging="720"/>
        <w:rPr>
          <w:b/>
          <w:sz w:val="24"/>
          <w:szCs w:val="24"/>
          <w:lang w:val="cs-CZ"/>
        </w:rPr>
      </w:pPr>
    </w:p>
    <w:p w:rsidR="00E925D2" w:rsidRDefault="00E925D2" w:rsidP="00CF2017">
      <w:pPr>
        <w:pStyle w:val="BodyText"/>
        <w:ind w:left="720" w:hanging="720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1.</w:t>
      </w:r>
      <w:r w:rsidRPr="00CF2017">
        <w:rPr>
          <w:sz w:val="24"/>
          <w:szCs w:val="24"/>
          <w:lang w:val="cs-CZ"/>
        </w:rPr>
        <w:tab/>
        <w:t xml:space="preserve">Smluvní účastníky prohlašují, že mezi účastníky uzavíraná smlouva je výrazem svobodné, vážné, pravé a určité vůle smluvních účastníků a že na jednotlivých ustanoveních této smlouvy se smluvní účastníci shodli jasně a určitě tak, aby z tohoto důvodu mezi nimi nedošlo v budoucnu ke sporům. </w:t>
      </w:r>
    </w:p>
    <w:p w:rsidR="00E925D2" w:rsidRDefault="00E925D2" w:rsidP="00CF2017">
      <w:pPr>
        <w:pStyle w:val="BodyText"/>
        <w:ind w:left="720" w:hanging="720"/>
        <w:rPr>
          <w:sz w:val="24"/>
          <w:szCs w:val="24"/>
          <w:lang w:val="cs-CZ"/>
        </w:rPr>
      </w:pPr>
    </w:p>
    <w:p w:rsidR="00E925D2" w:rsidRPr="00CF2017" w:rsidRDefault="00E925D2" w:rsidP="00CF2017">
      <w:pPr>
        <w:pStyle w:val="BodyText"/>
        <w:ind w:left="720" w:hanging="720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2.</w:t>
      </w:r>
      <w:r>
        <w:rPr>
          <w:b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Na základě svého shora uvedeného prohlášení</w:t>
      </w:r>
      <w:r w:rsidRPr="00CF2017">
        <w:rPr>
          <w:sz w:val="24"/>
          <w:szCs w:val="24"/>
          <w:lang w:val="cs-CZ"/>
        </w:rPr>
        <w:t xml:space="preserve"> pak</w:t>
      </w:r>
      <w:r>
        <w:rPr>
          <w:sz w:val="24"/>
          <w:szCs w:val="24"/>
          <w:lang w:val="cs-CZ"/>
        </w:rPr>
        <w:t xml:space="preserve"> smluvní účasti uzavíranou smlouvu</w:t>
      </w:r>
      <w:r w:rsidRPr="00CF2017">
        <w:rPr>
          <w:sz w:val="24"/>
          <w:szCs w:val="24"/>
          <w:lang w:val="cs-CZ"/>
        </w:rPr>
        <w:t xml:space="preserve"> jako výraz svého souhlasu s jejím písemným vyhotovením podepisují</w:t>
      </w:r>
      <w:r>
        <w:rPr>
          <w:sz w:val="24"/>
          <w:szCs w:val="24"/>
          <w:lang w:val="cs-CZ"/>
        </w:rPr>
        <w:t>.</w:t>
      </w:r>
      <w:r w:rsidRPr="00CF2017">
        <w:rPr>
          <w:sz w:val="24"/>
          <w:szCs w:val="24"/>
          <w:lang w:val="cs-CZ"/>
        </w:rPr>
        <w:t xml:space="preserve"> </w:t>
      </w:r>
    </w:p>
    <w:p w:rsidR="00E925D2" w:rsidRDefault="00E925D2" w:rsidP="00D20AAE">
      <w:pPr>
        <w:pStyle w:val="BodyText"/>
        <w:jc w:val="center"/>
        <w:rPr>
          <w:b/>
          <w:sz w:val="24"/>
          <w:szCs w:val="24"/>
          <w:lang w:val="cs-CZ"/>
        </w:rPr>
      </w:pPr>
    </w:p>
    <w:p w:rsidR="00E925D2" w:rsidRDefault="00E925D2" w:rsidP="00D20AAE">
      <w:pPr>
        <w:pStyle w:val="BodyText"/>
        <w:jc w:val="center"/>
        <w:rPr>
          <w:b/>
          <w:sz w:val="24"/>
          <w:szCs w:val="24"/>
          <w:lang w:val="cs-CZ"/>
        </w:rPr>
      </w:pPr>
    </w:p>
    <w:p w:rsidR="00E925D2" w:rsidRDefault="00E925D2" w:rsidP="00D20AAE">
      <w:pPr>
        <w:pStyle w:val="BodyText"/>
        <w:jc w:val="center"/>
        <w:rPr>
          <w:b/>
          <w:sz w:val="24"/>
          <w:szCs w:val="24"/>
          <w:lang w:val="cs-CZ"/>
        </w:rPr>
      </w:pPr>
    </w:p>
    <w:p w:rsidR="00E925D2" w:rsidRDefault="00E925D2" w:rsidP="00C14C05">
      <w:pPr>
        <w:pStyle w:val="BodyText"/>
        <w:jc w:val="left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VIZ.  Příloha Položkový rozpočet (oprava a zateplení střechy BD ul. Nerudova čp. 818 a 1021, Blatná). </w:t>
      </w:r>
    </w:p>
    <w:p w:rsidR="00E925D2" w:rsidRDefault="00E925D2" w:rsidP="00D20AAE">
      <w:pPr>
        <w:pStyle w:val="BodyText"/>
        <w:jc w:val="center"/>
        <w:rPr>
          <w:b/>
          <w:sz w:val="24"/>
          <w:szCs w:val="24"/>
          <w:lang w:val="cs-CZ"/>
        </w:rPr>
      </w:pPr>
    </w:p>
    <w:p w:rsidR="00E925D2" w:rsidRDefault="00E925D2" w:rsidP="00D20AAE">
      <w:pPr>
        <w:pStyle w:val="BodyText"/>
        <w:jc w:val="center"/>
        <w:rPr>
          <w:b/>
          <w:sz w:val="24"/>
          <w:szCs w:val="24"/>
          <w:lang w:val="cs-CZ"/>
        </w:rPr>
      </w:pPr>
    </w:p>
    <w:p w:rsidR="00E925D2" w:rsidRDefault="00E925D2" w:rsidP="00D20AAE">
      <w:pPr>
        <w:pStyle w:val="BodyText"/>
        <w:jc w:val="center"/>
        <w:rPr>
          <w:b/>
          <w:sz w:val="24"/>
          <w:szCs w:val="24"/>
          <w:lang w:val="cs-CZ"/>
        </w:rPr>
      </w:pPr>
    </w:p>
    <w:p w:rsidR="00E925D2" w:rsidRDefault="00E925D2" w:rsidP="00D20AAE">
      <w:pPr>
        <w:pStyle w:val="BodyText"/>
        <w:jc w:val="center"/>
        <w:rPr>
          <w:b/>
          <w:sz w:val="24"/>
          <w:szCs w:val="24"/>
          <w:lang w:val="cs-CZ"/>
        </w:rPr>
      </w:pPr>
    </w:p>
    <w:p w:rsidR="00E925D2" w:rsidRDefault="00E925D2" w:rsidP="00D20AAE">
      <w:pPr>
        <w:pStyle w:val="BodyText"/>
        <w:jc w:val="center"/>
        <w:rPr>
          <w:b/>
          <w:sz w:val="24"/>
          <w:szCs w:val="24"/>
          <w:lang w:val="cs-CZ"/>
        </w:rPr>
      </w:pPr>
    </w:p>
    <w:p w:rsidR="00E925D2" w:rsidRPr="00D20AAE" w:rsidRDefault="00E925D2" w:rsidP="00662A4B">
      <w:pPr>
        <w:pStyle w:val="BodyText"/>
        <w:tabs>
          <w:tab w:val="center" w:pos="4156"/>
        </w:tabs>
        <w:jc w:val="left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V Blatné dne 05.09.2017                                           V Blatné dne 05.09.2017                                                                                                 </w:t>
      </w: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E925D2" w:rsidRDefault="00E925D2" w:rsidP="0043395D">
      <w:pPr>
        <w:widowControl w:val="0"/>
        <w:jc w:val="both"/>
        <w:rPr>
          <w:snapToGrid w:val="0"/>
          <w:color w:val="000000"/>
          <w:sz w:val="26"/>
          <w:szCs w:val="26"/>
        </w:rPr>
      </w:pPr>
    </w:p>
    <w:p w:rsidR="00E925D2" w:rsidRPr="00D20AAE" w:rsidRDefault="00E925D2" w:rsidP="00D20AAE">
      <w:pPr>
        <w:pStyle w:val="BodyText"/>
        <w:spacing w:before="120"/>
        <w:rPr>
          <w:b/>
          <w:bCs/>
          <w:lang w:val="cs-CZ"/>
        </w:rPr>
      </w:pPr>
      <w:r>
        <w:rPr>
          <w:b/>
          <w:bCs/>
          <w:lang w:val="cs-CZ"/>
        </w:rPr>
        <w:t>____</w:t>
      </w:r>
      <w:r w:rsidRPr="00D20AAE">
        <w:rPr>
          <w:b/>
          <w:bCs/>
          <w:lang w:val="cs-CZ"/>
        </w:rPr>
        <w:t xml:space="preserve">____________________ </w:t>
      </w:r>
      <w:r>
        <w:rPr>
          <w:b/>
          <w:bCs/>
          <w:lang w:val="cs-CZ"/>
        </w:rPr>
        <w:t xml:space="preserve">  </w:t>
      </w:r>
      <w:r w:rsidRPr="00D20AAE">
        <w:rPr>
          <w:b/>
          <w:bCs/>
          <w:lang w:val="cs-CZ"/>
        </w:rPr>
        <w:t xml:space="preserve">    </w:t>
      </w:r>
      <w:r>
        <w:rPr>
          <w:b/>
          <w:bCs/>
          <w:lang w:val="cs-CZ"/>
        </w:rPr>
        <w:t xml:space="preserve">                </w:t>
      </w:r>
      <w:r w:rsidRPr="00D20AAE">
        <w:rPr>
          <w:b/>
          <w:bCs/>
          <w:lang w:val="cs-CZ"/>
        </w:rPr>
        <w:t>____________________________</w:t>
      </w:r>
    </w:p>
    <w:p w:rsidR="00E925D2" w:rsidRDefault="00E925D2" w:rsidP="00BB3A2E">
      <w:pPr>
        <w:pStyle w:val="BodyText"/>
        <w:spacing w:before="120"/>
        <w:rPr>
          <w:b/>
          <w:bCs/>
          <w:sz w:val="24"/>
          <w:szCs w:val="24"/>
          <w:lang w:val="cs-CZ"/>
        </w:rPr>
      </w:pPr>
      <w:r w:rsidRPr="00BB3A2E">
        <w:rPr>
          <w:b/>
          <w:bCs/>
          <w:color w:val="auto"/>
          <w:sz w:val="28"/>
          <w:szCs w:val="32"/>
          <w:lang w:val="cs-CZ"/>
        </w:rPr>
        <w:t>Město Blatná</w:t>
      </w:r>
      <w:r>
        <w:rPr>
          <w:b/>
          <w:bCs/>
          <w:sz w:val="28"/>
          <w:szCs w:val="32"/>
          <w:lang w:val="cs-CZ"/>
        </w:rPr>
        <w:t xml:space="preserve">                                            NOVÝ PROJEKT s.r.o.                            zastoupené</w:t>
      </w:r>
      <w:r>
        <w:rPr>
          <w:b/>
          <w:bCs/>
          <w:sz w:val="28"/>
          <w:szCs w:val="32"/>
          <w:lang w:val="cs-CZ"/>
        </w:rPr>
        <w:tab/>
      </w:r>
      <w:r>
        <w:rPr>
          <w:b/>
          <w:bCs/>
          <w:sz w:val="24"/>
          <w:szCs w:val="24"/>
          <w:lang w:val="cs-CZ"/>
        </w:rPr>
        <w:t xml:space="preserve">                                                     Tomáš Marek – jednatel společnosti     </w:t>
      </w:r>
    </w:p>
    <w:p w:rsidR="00E925D2" w:rsidRPr="00D20AAE" w:rsidRDefault="00E925D2" w:rsidP="00BB3A2E">
      <w:pPr>
        <w:pStyle w:val="BodyText"/>
        <w:spacing w:before="120"/>
        <w:rPr>
          <w:snapToGrid w:val="0"/>
        </w:rPr>
      </w:pPr>
      <w:r w:rsidRPr="00BB3A2E">
        <w:rPr>
          <w:b/>
          <w:sz w:val="28"/>
          <w:szCs w:val="28"/>
          <w:lang w:val="cs-CZ"/>
        </w:rPr>
        <w:t>Technickými službami Města Blatné s.r.o</w:t>
      </w:r>
      <w:r>
        <w:rPr>
          <w:b/>
          <w:sz w:val="24"/>
          <w:szCs w:val="24"/>
          <w:lang w:val="cs-CZ"/>
        </w:rPr>
        <w:t xml:space="preserve">.                              </w:t>
      </w:r>
      <w:r w:rsidRPr="00D20AAE">
        <w:rPr>
          <w:b/>
          <w:i/>
          <w:sz w:val="24"/>
          <w:szCs w:val="24"/>
          <w:lang w:val="cs-CZ"/>
        </w:rPr>
        <w:t>z h o t o v i t e l</w:t>
      </w:r>
    </w:p>
    <w:p w:rsidR="00E925D2" w:rsidRPr="00BB3A2E" w:rsidRDefault="00E925D2" w:rsidP="0043395D">
      <w:pPr>
        <w:widowControl w:val="0"/>
        <w:jc w:val="both"/>
        <w:rPr>
          <w:b/>
          <w:snapToGrid w:val="0"/>
          <w:color w:val="000000"/>
        </w:rPr>
      </w:pPr>
      <w:bookmarkStart w:id="0" w:name="_GoBack"/>
      <w:bookmarkEnd w:id="0"/>
      <w:r w:rsidRPr="00BB3A2E">
        <w:rPr>
          <w:b/>
          <w:snapToGrid w:val="0"/>
          <w:color w:val="000000"/>
        </w:rPr>
        <w:t>Luboš Kallmünzer – vedoucí Správy bytů</w:t>
      </w:r>
    </w:p>
    <w:p w:rsidR="00E925D2" w:rsidRDefault="00E925D2" w:rsidP="0043395D"/>
    <w:p w:rsidR="00E925D2" w:rsidRPr="00BB3A2E" w:rsidRDefault="00E925D2" w:rsidP="0043395D">
      <w:pPr>
        <w:rPr>
          <w:b/>
          <w:i/>
        </w:rPr>
      </w:pPr>
      <w:r>
        <w:rPr>
          <w:b/>
          <w:i/>
        </w:rPr>
        <w:t>objednavatel</w:t>
      </w:r>
    </w:p>
    <w:p w:rsidR="00E925D2" w:rsidRDefault="00E925D2"/>
    <w:sectPr w:rsidR="00E925D2" w:rsidSect="00EA1C0B">
      <w:pgSz w:w="11906" w:h="16838" w:code="9"/>
      <w:pgMar w:top="1440" w:right="1797" w:bottom="1440" w:left="1797" w:header="709" w:footer="709" w:gutter="0"/>
      <w:cols w:space="708"/>
      <w:docGrid w:linePitch="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D2" w:rsidRDefault="00E925D2" w:rsidP="00C14C05">
      <w:r>
        <w:separator/>
      </w:r>
    </w:p>
  </w:endnote>
  <w:endnote w:type="continuationSeparator" w:id="0">
    <w:p w:rsidR="00E925D2" w:rsidRDefault="00E925D2" w:rsidP="00C14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D2" w:rsidRDefault="00E925D2" w:rsidP="00C14C05">
      <w:r>
        <w:separator/>
      </w:r>
    </w:p>
  </w:footnote>
  <w:footnote w:type="continuationSeparator" w:id="0">
    <w:p w:rsidR="00E925D2" w:rsidRDefault="00E925D2" w:rsidP="00C14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5659"/>
    <w:multiLevelType w:val="hybridMultilevel"/>
    <w:tmpl w:val="E9C02CA6"/>
    <w:lvl w:ilvl="0" w:tplc="53BEF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B92B3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CF42C7F"/>
    <w:multiLevelType w:val="singleLevel"/>
    <w:tmpl w:val="81AC1F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ECE27E6"/>
    <w:multiLevelType w:val="singleLevel"/>
    <w:tmpl w:val="81AC1F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3DD27FD"/>
    <w:multiLevelType w:val="singleLevel"/>
    <w:tmpl w:val="81AC1F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4B06012"/>
    <w:multiLevelType w:val="hybridMultilevel"/>
    <w:tmpl w:val="208E6E4A"/>
    <w:lvl w:ilvl="0" w:tplc="2C006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C45FAB"/>
    <w:multiLevelType w:val="hybridMultilevel"/>
    <w:tmpl w:val="CC9E857E"/>
    <w:lvl w:ilvl="0" w:tplc="84EA65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A387F6D"/>
    <w:multiLevelType w:val="singleLevel"/>
    <w:tmpl w:val="81AC1F0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A4B68B8"/>
    <w:multiLevelType w:val="hybridMultilevel"/>
    <w:tmpl w:val="E6864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5848A0"/>
    <w:multiLevelType w:val="hybridMultilevel"/>
    <w:tmpl w:val="D61C7378"/>
    <w:lvl w:ilvl="0" w:tplc="02A4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985C74"/>
    <w:multiLevelType w:val="singleLevel"/>
    <w:tmpl w:val="81AC1F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1">
    <w:nsid w:val="510C0B5F"/>
    <w:multiLevelType w:val="hybridMultilevel"/>
    <w:tmpl w:val="E30282DA"/>
    <w:lvl w:ilvl="0" w:tplc="3E7C8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2767E3"/>
    <w:multiLevelType w:val="hybridMultilevel"/>
    <w:tmpl w:val="22E4C838"/>
    <w:lvl w:ilvl="0" w:tplc="8A3209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95D"/>
    <w:rsid w:val="000404D0"/>
    <w:rsid w:val="000652EA"/>
    <w:rsid w:val="000962FF"/>
    <w:rsid w:val="000C3CAB"/>
    <w:rsid w:val="000F220E"/>
    <w:rsid w:val="00162BEB"/>
    <w:rsid w:val="001A639F"/>
    <w:rsid w:val="002314CB"/>
    <w:rsid w:val="0026463E"/>
    <w:rsid w:val="00340EDF"/>
    <w:rsid w:val="00393A86"/>
    <w:rsid w:val="0043035B"/>
    <w:rsid w:val="0043395D"/>
    <w:rsid w:val="00562AEF"/>
    <w:rsid w:val="00585DF2"/>
    <w:rsid w:val="005B687E"/>
    <w:rsid w:val="00662A4B"/>
    <w:rsid w:val="006A45A4"/>
    <w:rsid w:val="00705FE4"/>
    <w:rsid w:val="007113EA"/>
    <w:rsid w:val="00713123"/>
    <w:rsid w:val="00792A3B"/>
    <w:rsid w:val="007A05B4"/>
    <w:rsid w:val="00806108"/>
    <w:rsid w:val="00836E7E"/>
    <w:rsid w:val="008D3C0D"/>
    <w:rsid w:val="008E0932"/>
    <w:rsid w:val="009040BF"/>
    <w:rsid w:val="009268B7"/>
    <w:rsid w:val="0098119F"/>
    <w:rsid w:val="009E5060"/>
    <w:rsid w:val="00A149D0"/>
    <w:rsid w:val="00AA5591"/>
    <w:rsid w:val="00AE0C63"/>
    <w:rsid w:val="00B86C4F"/>
    <w:rsid w:val="00BB0C84"/>
    <w:rsid w:val="00BB3A2E"/>
    <w:rsid w:val="00BC1658"/>
    <w:rsid w:val="00BE0C5D"/>
    <w:rsid w:val="00C14C05"/>
    <w:rsid w:val="00C340C0"/>
    <w:rsid w:val="00C90459"/>
    <w:rsid w:val="00C948DF"/>
    <w:rsid w:val="00C97C8F"/>
    <w:rsid w:val="00CD1341"/>
    <w:rsid w:val="00CF2017"/>
    <w:rsid w:val="00D05128"/>
    <w:rsid w:val="00D20AAE"/>
    <w:rsid w:val="00D35D6C"/>
    <w:rsid w:val="00D51599"/>
    <w:rsid w:val="00DA4A13"/>
    <w:rsid w:val="00DE5682"/>
    <w:rsid w:val="00DE5712"/>
    <w:rsid w:val="00E34F7D"/>
    <w:rsid w:val="00E50C26"/>
    <w:rsid w:val="00E925D2"/>
    <w:rsid w:val="00EA1C0B"/>
    <w:rsid w:val="00ED3210"/>
    <w:rsid w:val="00EE2C29"/>
    <w:rsid w:val="00F95477"/>
    <w:rsid w:val="00FA31D2"/>
    <w:rsid w:val="00FC02B5"/>
    <w:rsid w:val="00FF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5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395D"/>
    <w:pPr>
      <w:keepNext/>
      <w:widowControl w:val="0"/>
      <w:autoSpaceDE w:val="0"/>
      <w:autoSpaceDN w:val="0"/>
      <w:jc w:val="center"/>
      <w:outlineLvl w:val="1"/>
    </w:pPr>
    <w:rPr>
      <w:b/>
      <w:bCs/>
      <w:i/>
      <w:iCs/>
      <w:color w:val="000000"/>
      <w:sz w:val="40"/>
      <w:szCs w:val="4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395D"/>
    <w:pPr>
      <w:keepNext/>
      <w:widowControl w:val="0"/>
      <w:autoSpaceDE w:val="0"/>
      <w:autoSpaceDN w:val="0"/>
      <w:jc w:val="both"/>
      <w:outlineLvl w:val="2"/>
    </w:pPr>
    <w:rPr>
      <w:color w:val="000000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395D"/>
    <w:pPr>
      <w:keepNext/>
      <w:widowControl w:val="0"/>
      <w:autoSpaceDE w:val="0"/>
      <w:autoSpaceDN w:val="0"/>
      <w:jc w:val="center"/>
      <w:outlineLvl w:val="3"/>
    </w:pPr>
    <w:rPr>
      <w:b/>
      <w:bCs/>
      <w:i/>
      <w:iCs/>
      <w:color w:val="000000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3395D"/>
    <w:pPr>
      <w:keepNext/>
      <w:widowControl w:val="0"/>
      <w:autoSpaceDE w:val="0"/>
      <w:autoSpaceDN w:val="0"/>
      <w:jc w:val="center"/>
      <w:outlineLvl w:val="6"/>
    </w:pPr>
    <w:rPr>
      <w:b/>
      <w:bCs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3395D"/>
    <w:pPr>
      <w:keepNext/>
      <w:widowControl w:val="0"/>
      <w:autoSpaceDE w:val="0"/>
      <w:autoSpaceDN w:val="0"/>
      <w:ind w:left="284" w:hanging="284"/>
      <w:jc w:val="center"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3395D"/>
    <w:pPr>
      <w:keepNext/>
      <w:widowControl w:val="0"/>
      <w:autoSpaceDE w:val="0"/>
      <w:autoSpaceDN w:val="0"/>
      <w:jc w:val="center"/>
      <w:outlineLvl w:val="8"/>
    </w:pPr>
    <w:rPr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330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5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5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05E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43395D"/>
    <w:pPr>
      <w:widowControl w:val="0"/>
      <w:autoSpaceDE w:val="0"/>
      <w:autoSpaceDN w:val="0"/>
      <w:jc w:val="both"/>
    </w:pPr>
    <w:rPr>
      <w:color w:val="000000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305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3395D"/>
    <w:pPr>
      <w:widowControl w:val="0"/>
      <w:autoSpaceDE w:val="0"/>
      <w:autoSpaceDN w:val="0"/>
    </w:pPr>
    <w:rPr>
      <w:color w:val="000000"/>
      <w:sz w:val="26"/>
      <w:szCs w:val="2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305E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3395D"/>
    <w:pPr>
      <w:widowControl w:val="0"/>
      <w:autoSpaceDE w:val="0"/>
      <w:autoSpaceDN w:val="0"/>
      <w:ind w:left="2268"/>
      <w:jc w:val="both"/>
    </w:pPr>
    <w:rPr>
      <w:color w:val="0000FF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305E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3395D"/>
    <w:pPr>
      <w:widowControl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305E"/>
    <w:rPr>
      <w:sz w:val="24"/>
      <w:szCs w:val="24"/>
    </w:rPr>
  </w:style>
  <w:style w:type="character" w:customStyle="1" w:styleId="platne1">
    <w:name w:val="platne1"/>
    <w:basedOn w:val="DefaultParagraphFont"/>
    <w:uiPriority w:val="99"/>
    <w:rsid w:val="00D20A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14C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4C0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14C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C0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758</Words>
  <Characters>4476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uzavřena po vzájemné dohodě mezi smluvními účastníky, kterými jsou</dc:title>
  <dc:subject/>
  <dc:creator>..</dc:creator>
  <cp:keywords/>
  <dc:description/>
  <cp:lastModifiedBy>TS</cp:lastModifiedBy>
  <cp:revision>2</cp:revision>
  <cp:lastPrinted>2015-11-05T07:19:00Z</cp:lastPrinted>
  <dcterms:created xsi:type="dcterms:W3CDTF">2017-09-11T11:02:00Z</dcterms:created>
  <dcterms:modified xsi:type="dcterms:W3CDTF">2017-09-11T11:02:00Z</dcterms:modified>
</cp:coreProperties>
</file>