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A4" w:rsidRDefault="00A024AE">
      <w:pPr>
        <w:pStyle w:val="Nadpis40"/>
        <w:keepNext/>
        <w:keepLines/>
        <w:spacing w:after="500"/>
        <w:rPr>
          <w:sz w:val="26"/>
          <w:szCs w:val="26"/>
        </w:rPr>
      </w:pPr>
      <w:bookmarkStart w:id="0" w:name="bookmark0"/>
      <w:r>
        <w:rPr>
          <w:rStyle w:val="Nadpis4"/>
          <w:rFonts w:ascii="Times New Roman" w:eastAsia="Times New Roman" w:hAnsi="Times New Roman" w:cs="Times New Roman"/>
          <w:b/>
          <w:bCs/>
          <w:sz w:val="26"/>
          <w:szCs w:val="26"/>
        </w:rPr>
        <w:t>Dodatek č. 2 ke Smlouvě o podnájmu nemovitých věcí a poskytování služeb</w:t>
      </w:r>
      <w:bookmarkEnd w:id="0"/>
    </w:p>
    <w:p w:rsidR="008164A4" w:rsidRDefault="00A024AE">
      <w:pPr>
        <w:pStyle w:val="Zkladntext1"/>
        <w:jc w:val="center"/>
      </w:pPr>
      <w:r>
        <w:rPr>
          <w:rStyle w:val="Zkladntext"/>
          <w:b/>
          <w:bCs/>
        </w:rPr>
        <w:t>Smluvními strany</w:t>
      </w:r>
    </w:p>
    <w:p w:rsidR="008164A4" w:rsidRDefault="00A024AE">
      <w:pPr>
        <w:pStyle w:val="Nadpis50"/>
        <w:keepNext/>
        <w:keepLines/>
        <w:spacing w:after="0"/>
        <w:jc w:val="left"/>
      </w:pPr>
      <w:bookmarkStart w:id="1" w:name="bookmark2"/>
      <w:r>
        <w:rPr>
          <w:rStyle w:val="Nadpis5"/>
          <w:b/>
          <w:bCs/>
        </w:rPr>
        <w:t>LETIŠTĚ BRNO a.s.</w:t>
      </w:r>
      <w:bookmarkEnd w:id="1"/>
    </w:p>
    <w:p w:rsidR="008164A4" w:rsidRDefault="00A024AE">
      <w:pPr>
        <w:pStyle w:val="Zkladntext1"/>
        <w:spacing w:after="0"/>
      </w:pPr>
      <w:r>
        <w:rPr>
          <w:rStyle w:val="Zkladntext"/>
        </w:rPr>
        <w:t>Se sídlem: Letiště Brno - Tuřany 904/1, Tuřany, 627 00 Brno</w:t>
      </w:r>
    </w:p>
    <w:p w:rsidR="008164A4" w:rsidRDefault="00A024AE">
      <w:pPr>
        <w:pStyle w:val="Zkladntext1"/>
        <w:spacing w:after="0"/>
      </w:pPr>
      <w:r>
        <w:rPr>
          <w:rStyle w:val="Zkladntext"/>
        </w:rPr>
        <w:t>IČ: 262 37 920</w:t>
      </w:r>
    </w:p>
    <w:p w:rsidR="008164A4" w:rsidRDefault="00A024AE">
      <w:pPr>
        <w:pStyle w:val="Zkladntext1"/>
        <w:spacing w:after="0"/>
      </w:pPr>
      <w:r>
        <w:rPr>
          <w:rStyle w:val="Zkladntext"/>
        </w:rPr>
        <w:t>DIČ: CZ 26237920</w:t>
      </w:r>
    </w:p>
    <w:p w:rsidR="008164A4" w:rsidRDefault="00A024AE">
      <w:pPr>
        <w:pStyle w:val="Zkladntext1"/>
        <w:spacing w:after="0"/>
      </w:pPr>
      <w:r>
        <w:rPr>
          <w:rStyle w:val="Zkladntext"/>
        </w:rPr>
        <w:t xml:space="preserve">Zastoupené: Mgr. Milanem Kratinou, předsedou </w:t>
      </w:r>
      <w:r>
        <w:rPr>
          <w:rStyle w:val="Zkladntext"/>
        </w:rPr>
        <w:t>představenstva,</w:t>
      </w:r>
    </w:p>
    <w:p w:rsidR="008164A4" w:rsidRDefault="00A024AE">
      <w:pPr>
        <w:pStyle w:val="Zkladntext1"/>
        <w:spacing w:after="0"/>
        <w:ind w:left="1180"/>
      </w:pPr>
      <w:r>
        <w:rPr>
          <w:rStyle w:val="Zkladntext"/>
        </w:rPr>
        <w:t>p. Jiřím Filipem, členem představenstva</w:t>
      </w:r>
    </w:p>
    <w:p w:rsidR="008164A4" w:rsidRDefault="00A024AE">
      <w:pPr>
        <w:pStyle w:val="Zkladntext1"/>
        <w:spacing w:after="0"/>
      </w:pPr>
      <w:r>
        <w:rPr>
          <w:rStyle w:val="Zkladntext"/>
        </w:rPr>
        <w:t>Zapsané v obchodním rejstříku vedeném u Krajského soudu v Brně, oddíl C, vl. 3546</w:t>
      </w:r>
    </w:p>
    <w:p w:rsidR="008164A4" w:rsidRDefault="00A024AE">
      <w:pPr>
        <w:pStyle w:val="Zkladntext1"/>
        <w:spacing w:after="40"/>
      </w:pPr>
      <w:r>
        <w:rPr>
          <w:rStyle w:val="Zkladntext"/>
        </w:rPr>
        <w:t>(dále jen „</w:t>
      </w:r>
      <w:r>
        <w:rPr>
          <w:rStyle w:val="Zkladntext"/>
          <w:b/>
          <w:bCs/>
        </w:rPr>
        <w:t>Nájemce</w:t>
      </w:r>
      <w:r>
        <w:rPr>
          <w:rStyle w:val="Zkladntext"/>
        </w:rPr>
        <w:t>“)</w:t>
      </w:r>
    </w:p>
    <w:p w:rsidR="008164A4" w:rsidRDefault="00A024AE">
      <w:pPr>
        <w:pStyle w:val="Zkladntext1"/>
        <w:spacing w:after="40"/>
      </w:pPr>
      <w:r>
        <w:rPr>
          <w:rStyle w:val="Zkladntext"/>
          <w:b/>
          <w:bCs/>
        </w:rPr>
        <w:t>a</w:t>
      </w:r>
    </w:p>
    <w:p w:rsidR="008164A4" w:rsidRDefault="00A024AE">
      <w:pPr>
        <w:pStyle w:val="Zkladntext1"/>
        <w:spacing w:after="0"/>
      </w:pPr>
      <w:r>
        <w:rPr>
          <w:rStyle w:val="Zkladntext"/>
          <w:b/>
          <w:bCs/>
        </w:rPr>
        <w:t>Zdravotnická záchranná služba Jihomoravského kraje, p.o.</w:t>
      </w:r>
    </w:p>
    <w:p w:rsidR="008164A4" w:rsidRDefault="00A024AE">
      <w:pPr>
        <w:pStyle w:val="Zkladntext1"/>
        <w:spacing w:after="0"/>
      </w:pPr>
      <w:r>
        <w:rPr>
          <w:rStyle w:val="Zkladntext"/>
        </w:rPr>
        <w:t>Se sídlem: Kamenice 798/1d, 625 00 Brn</w:t>
      </w:r>
      <w:r>
        <w:rPr>
          <w:rStyle w:val="Zkladntext"/>
        </w:rPr>
        <w:t>o</w:t>
      </w:r>
    </w:p>
    <w:p w:rsidR="008164A4" w:rsidRDefault="00A024AE">
      <w:pPr>
        <w:pStyle w:val="Zkladntext1"/>
        <w:spacing w:after="0"/>
      </w:pPr>
      <w:r>
        <w:rPr>
          <w:rStyle w:val="Zkladntext"/>
        </w:rPr>
        <w:t>IČ: 003 46 292</w:t>
      </w:r>
    </w:p>
    <w:p w:rsidR="008164A4" w:rsidRDefault="00A024AE">
      <w:pPr>
        <w:pStyle w:val="Zkladntext1"/>
        <w:spacing w:after="0"/>
      </w:pPr>
      <w:r>
        <w:rPr>
          <w:rStyle w:val="Zkladntext"/>
        </w:rPr>
        <w:t>DIČ: CZ 00346292</w:t>
      </w:r>
    </w:p>
    <w:p w:rsidR="008164A4" w:rsidRDefault="00A024AE">
      <w:pPr>
        <w:pStyle w:val="Zkladntext1"/>
        <w:spacing w:after="0"/>
      </w:pPr>
      <w:r>
        <w:rPr>
          <w:rStyle w:val="Zkladntext"/>
        </w:rPr>
        <w:t>Zastoupená: MUDr. Hanou Albrechtovou, ředitelkou</w:t>
      </w:r>
    </w:p>
    <w:p w:rsidR="008164A4" w:rsidRDefault="00A024AE">
      <w:pPr>
        <w:pStyle w:val="Zkladntext1"/>
        <w:spacing w:after="0"/>
      </w:pPr>
      <w:r>
        <w:rPr>
          <w:rStyle w:val="Zkladntext"/>
        </w:rPr>
        <w:t>Zapsaná v obchodním rejstříku vedeném u Krajského soudu v Brně, oddíl Pr, vl. 1245</w:t>
      </w:r>
    </w:p>
    <w:p w:rsidR="008164A4" w:rsidRDefault="00A024AE">
      <w:pPr>
        <w:pStyle w:val="Zkladntext1"/>
        <w:spacing w:after="500"/>
      </w:pPr>
      <w:r>
        <w:rPr>
          <w:rStyle w:val="Zkladntext"/>
        </w:rPr>
        <w:t>(dále jen „</w:t>
      </w:r>
      <w:r>
        <w:rPr>
          <w:rStyle w:val="Zkladntext"/>
          <w:b/>
          <w:bCs/>
        </w:rPr>
        <w:t>Podnájemce</w:t>
      </w:r>
      <w:r>
        <w:rPr>
          <w:rStyle w:val="Zkladntext"/>
        </w:rPr>
        <w:t>“)</w:t>
      </w:r>
    </w:p>
    <w:p w:rsidR="008164A4" w:rsidRDefault="008164A4">
      <w:pPr>
        <w:pStyle w:val="Nadpis50"/>
        <w:keepNext/>
        <w:keepLines/>
        <w:numPr>
          <w:ilvl w:val="0"/>
          <w:numId w:val="1"/>
        </w:numPr>
        <w:spacing w:after="0"/>
      </w:pPr>
      <w:bookmarkStart w:id="2" w:name="bookmark4"/>
      <w:bookmarkEnd w:id="2"/>
    </w:p>
    <w:p w:rsidR="008164A4" w:rsidRDefault="00A024AE">
      <w:pPr>
        <w:pStyle w:val="Nadpis50"/>
        <w:keepNext/>
        <w:keepLines/>
      </w:pPr>
      <w:r>
        <w:rPr>
          <w:rStyle w:val="Nadpis5"/>
          <w:b/>
          <w:bCs/>
        </w:rPr>
        <w:t>Úvodní ustanovení</w:t>
      </w:r>
    </w:p>
    <w:p w:rsidR="008164A4" w:rsidRDefault="00A024AE">
      <w:pPr>
        <w:pStyle w:val="Zkladntext1"/>
        <w:spacing w:after="500"/>
        <w:ind w:left="720"/>
        <w:jc w:val="both"/>
      </w:pPr>
      <w:r>
        <w:rPr>
          <w:rStyle w:val="Zkladntext"/>
        </w:rPr>
        <w:t xml:space="preserve">Smluvní strany uzavřely níže uvedeného, měsíce </w:t>
      </w:r>
      <w:r>
        <w:rPr>
          <w:rStyle w:val="Zkladntext"/>
        </w:rPr>
        <w:t>a roku t e n t o dodatek č. 2 ke smlouvě o podnájmu nemovitých věcí a poskytování služeb, kterým se mění čl. 6 Doba platnosti smlouvy, ukončení smlouvy z důvodu dalšího prodloužení podnájemního vztahu na základě žádosti podnájemce, a dále se doplňují další</w:t>
      </w:r>
      <w:r>
        <w:rPr>
          <w:rStyle w:val="Zkladntext"/>
        </w:rPr>
        <w:t xml:space="preserve"> ujednání týkající se podnájemního vztahu.</w:t>
      </w:r>
    </w:p>
    <w:p w:rsidR="008164A4" w:rsidRDefault="008164A4">
      <w:pPr>
        <w:pStyle w:val="Zkladntext1"/>
        <w:numPr>
          <w:ilvl w:val="0"/>
          <w:numId w:val="1"/>
        </w:numPr>
        <w:spacing w:after="0"/>
        <w:jc w:val="center"/>
      </w:pPr>
    </w:p>
    <w:p w:rsidR="008164A4" w:rsidRDefault="00A024AE">
      <w:pPr>
        <w:pStyle w:val="Nadpis50"/>
        <w:keepNext/>
        <w:keepLines/>
      </w:pPr>
      <w:bookmarkStart w:id="3" w:name="bookmark7"/>
      <w:r>
        <w:rPr>
          <w:rStyle w:val="Nadpis5"/>
          <w:b/>
          <w:bCs/>
        </w:rPr>
        <w:t>Změna smlouvy</w:t>
      </w:r>
      <w:bookmarkEnd w:id="3"/>
    </w:p>
    <w:p w:rsidR="008164A4" w:rsidRDefault="00A024AE">
      <w:pPr>
        <w:pStyle w:val="Zkladntext1"/>
        <w:ind w:left="720"/>
        <w:jc w:val="both"/>
      </w:pPr>
      <w:r>
        <w:rPr>
          <w:rStyle w:val="Zkladntext"/>
        </w:rPr>
        <w:t>Smluvní strany se dohodly na tom, že se čl. 6 Doba platnosti smlouvy, ukončení smlouvy mění takto:</w:t>
      </w:r>
    </w:p>
    <w:p w:rsidR="008164A4" w:rsidRDefault="00A024AE">
      <w:pPr>
        <w:pStyle w:val="Zkladntext1"/>
        <w:numPr>
          <w:ilvl w:val="1"/>
          <w:numId w:val="2"/>
        </w:numPr>
        <w:tabs>
          <w:tab w:val="left" w:pos="1237"/>
        </w:tabs>
        <w:ind w:left="720"/>
        <w:jc w:val="both"/>
      </w:pPr>
      <w:r>
        <w:rPr>
          <w:rStyle w:val="Zkladntext"/>
        </w:rPr>
        <w:t>Tato smlouva se sjednává na dobu určitou, ode dne účinnosti této Smlouvy do 31.12.2028. Po skončení</w:t>
      </w:r>
      <w:r>
        <w:rPr>
          <w:rStyle w:val="Zkladntext"/>
        </w:rPr>
        <w:t xml:space="preserve"> podnájemního vztahu je podnájemce povinen uvést na vlastní náklad předmět podnájmu do původního stavu, nedohodnou-li se smluvní strany odchylně s ohledem na aktuální situaci.</w:t>
      </w:r>
    </w:p>
    <w:p w:rsidR="008164A4" w:rsidRDefault="008164A4">
      <w:pPr>
        <w:pStyle w:val="Zkladntext1"/>
        <w:numPr>
          <w:ilvl w:val="0"/>
          <w:numId w:val="1"/>
        </w:numPr>
        <w:spacing w:after="0"/>
        <w:jc w:val="center"/>
      </w:pPr>
    </w:p>
    <w:p w:rsidR="008164A4" w:rsidRDefault="00A024AE">
      <w:pPr>
        <w:pStyle w:val="Nadpis50"/>
        <w:keepNext/>
        <w:keepLines/>
      </w:pPr>
      <w:bookmarkStart w:id="4" w:name="bookmark9"/>
      <w:r>
        <w:rPr>
          <w:rStyle w:val="Nadpis5"/>
          <w:b/>
          <w:bCs/>
        </w:rPr>
        <w:t>Další ujednání</w:t>
      </w:r>
      <w:bookmarkEnd w:id="4"/>
    </w:p>
    <w:p w:rsidR="008164A4" w:rsidRDefault="00A024AE">
      <w:pPr>
        <w:pStyle w:val="Zkladntext1"/>
        <w:numPr>
          <w:ilvl w:val="0"/>
          <w:numId w:val="3"/>
        </w:numPr>
        <w:tabs>
          <w:tab w:val="left" w:pos="641"/>
        </w:tabs>
        <w:ind w:left="660" w:hanging="360"/>
        <w:jc w:val="both"/>
      </w:pPr>
      <w:r>
        <w:rPr>
          <w:rStyle w:val="Zkladntext"/>
        </w:rPr>
        <w:t>Provizorní prostory: Smluvní strany v souvislosti s dalším prodl</w:t>
      </w:r>
      <w:r>
        <w:rPr>
          <w:rStyle w:val="Zkladntext"/>
        </w:rPr>
        <w:t xml:space="preserve">oužením podnájemního vztahu opětovně shodně konstatují, že prostory, které jsou předmětem podnájemního vztahu, byly smluvními stranami považovány již od uzavření Smlouvy pouze za dočasné a měly být dle původního záměru smluvních stran poskytnuty k užívání </w:t>
      </w:r>
      <w:r>
        <w:rPr>
          <w:rStyle w:val="Zkladntext"/>
        </w:rPr>
        <w:t>pouze na překlenovací, nezbytně nutnou dobu do doby připravenosti nových prostor ZZS JMK.</w:t>
      </w:r>
    </w:p>
    <w:p w:rsidR="008164A4" w:rsidRDefault="00A024AE">
      <w:pPr>
        <w:pStyle w:val="Zkladntext1"/>
        <w:numPr>
          <w:ilvl w:val="0"/>
          <w:numId w:val="3"/>
        </w:numPr>
        <w:tabs>
          <w:tab w:val="left" w:pos="641"/>
        </w:tabs>
        <w:ind w:left="660" w:hanging="360"/>
        <w:jc w:val="both"/>
      </w:pPr>
      <w:r>
        <w:rPr>
          <w:rStyle w:val="Zkladntext"/>
        </w:rPr>
        <w:t xml:space="preserve">K dalšímu prodloužení podnájemního vztahu oproti původnímu předpokladu dochází z důvodu </w:t>
      </w:r>
      <w:r>
        <w:rPr>
          <w:rStyle w:val="Zkladntext"/>
        </w:rPr>
        <w:lastRenderedPageBreak/>
        <w:t xml:space="preserve">naléhavé potřeby podnájemce na prodloužení podnájemního vztahu, neboť projekt </w:t>
      </w:r>
      <w:r>
        <w:rPr>
          <w:rStyle w:val="Zkladntext"/>
        </w:rPr>
        <w:t>výstavby nových prostor pro činnost ZZS JMK nebyl oproti původnímu předpokladu dosud realizován, resp. stavba nových prostor nebyla ani zahájena a nelze tak v nejbližším období zajistit fungování této složky ZZS JMK jiným způsobem. S tímto vědomím přistoup</w:t>
      </w:r>
      <w:r>
        <w:rPr>
          <w:rStyle w:val="Zkladntext"/>
        </w:rPr>
        <w:t>ily smluvní strany k řešení vzniklé situace prodloužení podnájemního vztahu tímto Dodatkem.</w:t>
      </w:r>
    </w:p>
    <w:p w:rsidR="008164A4" w:rsidRDefault="00A024AE">
      <w:pPr>
        <w:pStyle w:val="Zkladntext1"/>
        <w:numPr>
          <w:ilvl w:val="0"/>
          <w:numId w:val="3"/>
        </w:numPr>
        <w:tabs>
          <w:tab w:val="left" w:pos="641"/>
        </w:tabs>
        <w:ind w:left="660" w:hanging="360"/>
        <w:jc w:val="both"/>
      </w:pPr>
      <w:r>
        <w:rPr>
          <w:rStyle w:val="Zkladntext"/>
        </w:rPr>
        <w:t xml:space="preserve">Podnájemce si je vědom a bere na vědomí, že i když se jedná o prostory vybrané Podnájemcem, lokalizace stávajících provizorních prostor ani vlastní prostory nejsou </w:t>
      </w:r>
      <w:r>
        <w:rPr>
          <w:rStyle w:val="Zkladntext"/>
        </w:rPr>
        <w:t>dlouhodobě vhodné z hlediska provozních, bezpečnostních a technických parametrů, a jejich umístění není v souladu s potřebami rozvoje a provozu letištní infrastruktury na mezinárodním veřejném letišti s daným letištním provozem. Nájemce však vnímá naléhavo</w:t>
      </w:r>
      <w:r>
        <w:rPr>
          <w:rStyle w:val="Zkladntext"/>
        </w:rPr>
        <w:t>u potřebu na straně Podnájemce, a i přes výše uvedené vyhovuje požadavku Podnájemce ohledně prodloužení podnájmu předmětných prostor pro potřebu zabezpečení činnosti této složky ZZS JMK, jak je uvedeno v tomto Dodatku.</w:t>
      </w:r>
    </w:p>
    <w:p w:rsidR="008164A4" w:rsidRDefault="00A024AE">
      <w:pPr>
        <w:pStyle w:val="Zkladntext1"/>
        <w:numPr>
          <w:ilvl w:val="0"/>
          <w:numId w:val="3"/>
        </w:numPr>
        <w:tabs>
          <w:tab w:val="left" w:pos="641"/>
        </w:tabs>
        <w:ind w:left="660" w:hanging="360"/>
        <w:jc w:val="both"/>
      </w:pPr>
      <w:r>
        <w:rPr>
          <w:rStyle w:val="Zkladntext"/>
        </w:rPr>
        <w:t xml:space="preserve">Přesun do jiných prostor: Nájemce je </w:t>
      </w:r>
      <w:r>
        <w:rPr>
          <w:rStyle w:val="Zkladntext"/>
        </w:rPr>
        <w:t>oprávněn v případě odůvodněné potřeby po dobu trvání Smlouvy přesunout Podnájemce do jiných přiměřeně vhodných prostor v rámci areálu letiště po předchozím projednání s Podnájemcem, včetně projednání harmonogramu přemístění. Podnájemce se tímto zavazuje ta</w:t>
      </w:r>
      <w:r>
        <w:rPr>
          <w:rStyle w:val="Zkladntext"/>
        </w:rPr>
        <w:t>kovému požadavku vyhovět.</w:t>
      </w:r>
    </w:p>
    <w:p w:rsidR="008164A4" w:rsidRDefault="00A024AE">
      <w:pPr>
        <w:pStyle w:val="Zkladntext1"/>
        <w:numPr>
          <w:ilvl w:val="0"/>
          <w:numId w:val="3"/>
        </w:numPr>
        <w:tabs>
          <w:tab w:val="left" w:pos="641"/>
        </w:tabs>
        <w:ind w:left="660" w:hanging="360"/>
        <w:jc w:val="both"/>
      </w:pPr>
      <w:r>
        <w:rPr>
          <w:rStyle w:val="Zkladntext"/>
        </w:rPr>
        <w:t>Odpovědnost: Vzhledem k důvodům uvedeným výše ohledně limitů a výběru místa podnájmu Nájemce nenese odpovědnost za případné škody na majetku či zdraví osob, které mohou vzniknout při činnosti ZZS JMK v důsledku podfouknutí a poško</w:t>
      </w:r>
      <w:r>
        <w:rPr>
          <w:rStyle w:val="Zkladntext"/>
        </w:rPr>
        <w:t>zení vrat hangáru provozem vrtulníků v rámci činnosti ZZS JMK, případně jiného poškození majetku či zdraví osob činností ZZS JMK v neveřejném areálu letiště. Podnájemce je povinen dodržovat provozní postupy tak, aby k podfouknutí vrat hangáru provozem vrtu</w:t>
      </w:r>
      <w:r>
        <w:rPr>
          <w:rStyle w:val="Zkladntext"/>
        </w:rPr>
        <w:t>lníku nemohlo dojít a aby byly při činnosti ZZS JMK v neveřejném areálu letiště zohledněny v maximální možné míře limitující podmínky místa podnájmu.</w:t>
      </w:r>
    </w:p>
    <w:p w:rsidR="008164A4" w:rsidRDefault="00A024AE">
      <w:pPr>
        <w:pStyle w:val="Zkladntext1"/>
        <w:numPr>
          <w:ilvl w:val="0"/>
          <w:numId w:val="3"/>
        </w:numPr>
        <w:tabs>
          <w:tab w:val="left" w:pos="641"/>
        </w:tabs>
        <w:spacing w:after="500"/>
        <w:ind w:left="660" w:hanging="360"/>
        <w:jc w:val="both"/>
      </w:pPr>
      <w:r>
        <w:rPr>
          <w:rStyle w:val="Zkladntext"/>
        </w:rPr>
        <w:t>Navýšení podnájmu: V souladu s tímto dodatkem se strany dohodly na navýšení podnájemného na dobu 24 měsíců</w:t>
      </w:r>
      <w:r>
        <w:rPr>
          <w:rStyle w:val="Zkladntext"/>
        </w:rPr>
        <w:t>, a to od 1.11.2025 na částku ve výši 213.597,08 Kč bez DPH, tj. 258.452,47 Kč s DPH, a ve vztahu k této částce bude uplatněno roční inflační navýšení dle čl. 5.5. Smlouvy. Úhrady za služby poskytované v souvislosti s podnájmem tímto nejsou dotčeny. Důvode</w:t>
      </w:r>
      <w:r>
        <w:rPr>
          <w:rStyle w:val="Zkladntext"/>
        </w:rPr>
        <w:t>m navýšení podnájemného je zhodnocení předmětu podnájmu, které bylo provedeno nákladem Nájemce. S ohledem na výše uvedené smluvní strany připojují novou přílohu Smlouvy, kterou je Splátkový kalendář, specifikace podnájmu, poskytovaných služeb a platební ka</w:t>
      </w:r>
      <w:r>
        <w:rPr>
          <w:rStyle w:val="Zkladntext"/>
        </w:rPr>
        <w:t>lendář na období 1.11.2025 - 31.12.2025, jenž je nedílnou součástí tohoto dodatku č. 2. Na období od 1.1.2026 bude vystaven nový splátkový kalendář zohledňující promítnutí inflačního navýšení dle čl. 5.5. Smlouvy.</w:t>
      </w:r>
    </w:p>
    <w:p w:rsidR="008164A4" w:rsidRDefault="008164A4">
      <w:pPr>
        <w:pStyle w:val="Zkladntext1"/>
        <w:numPr>
          <w:ilvl w:val="0"/>
          <w:numId w:val="1"/>
        </w:numPr>
        <w:spacing w:after="0"/>
        <w:jc w:val="center"/>
      </w:pPr>
    </w:p>
    <w:p w:rsidR="008164A4" w:rsidRDefault="00A024AE">
      <w:pPr>
        <w:pStyle w:val="Nadpis50"/>
        <w:keepNext/>
        <w:keepLines/>
      </w:pPr>
      <w:bookmarkStart w:id="5" w:name="bookmark11"/>
      <w:r>
        <w:rPr>
          <w:rStyle w:val="Nadpis5"/>
          <w:b/>
          <w:bCs/>
        </w:rPr>
        <w:t>Závěrečná ustanovení</w:t>
      </w:r>
      <w:bookmarkEnd w:id="5"/>
    </w:p>
    <w:p w:rsidR="008164A4" w:rsidRDefault="00A024AE">
      <w:pPr>
        <w:pStyle w:val="Zkladntext1"/>
        <w:numPr>
          <w:ilvl w:val="0"/>
          <w:numId w:val="4"/>
        </w:numPr>
        <w:tabs>
          <w:tab w:val="left" w:pos="641"/>
        </w:tabs>
        <w:ind w:left="660" w:hanging="360"/>
        <w:jc w:val="both"/>
      </w:pPr>
      <w:r>
        <w:rPr>
          <w:rStyle w:val="Zkladntext"/>
        </w:rPr>
        <w:t>Ostatní ustanovení S</w:t>
      </w:r>
      <w:r>
        <w:rPr>
          <w:rStyle w:val="Zkladntext"/>
        </w:rPr>
        <w:t>mlouvy o podnájmu nemovitých věcí a poskytování služeb zůstávají bez změny.</w:t>
      </w:r>
    </w:p>
    <w:p w:rsidR="008164A4" w:rsidRDefault="00A024AE">
      <w:pPr>
        <w:pStyle w:val="Zkladntext1"/>
        <w:numPr>
          <w:ilvl w:val="0"/>
          <w:numId w:val="4"/>
        </w:numPr>
        <w:tabs>
          <w:tab w:val="left" w:pos="641"/>
        </w:tabs>
        <w:ind w:firstLine="300"/>
        <w:sectPr w:rsidR="008164A4">
          <w:pgSz w:w="11900" w:h="16840"/>
          <w:pgMar w:top="1412" w:right="1176" w:bottom="2225" w:left="1320" w:header="984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Tento dodatek č. 2 se stává platným a účinným okamžikem jeho podpisu smluvními stranami.</w:t>
      </w:r>
    </w:p>
    <w:p w:rsidR="008164A4" w:rsidRDefault="00A024AE">
      <w:pPr>
        <w:pStyle w:val="Zkladntext1"/>
        <w:numPr>
          <w:ilvl w:val="0"/>
          <w:numId w:val="4"/>
        </w:numPr>
        <w:tabs>
          <w:tab w:val="left" w:pos="641"/>
        </w:tabs>
        <w:spacing w:after="720"/>
        <w:ind w:left="660" w:hanging="360"/>
      </w:pPr>
      <w:r>
        <w:rPr>
          <w:rStyle w:val="Zkladntext"/>
        </w:rPr>
        <w:t xml:space="preserve">Tento dodatek č. 2 je vyhotoven ve dvou stejnopisech s </w:t>
      </w:r>
      <w:r>
        <w:rPr>
          <w:rStyle w:val="Zkladntext"/>
        </w:rPr>
        <w:t>platností originálu, z nichž každá ze stran obdrží jedno jeho vyhotovení.</w:t>
      </w:r>
    </w:p>
    <w:p w:rsidR="008164A4" w:rsidRDefault="00A024AE">
      <w:pPr>
        <w:pStyle w:val="Zkladntext1"/>
        <w:spacing w:after="0"/>
      </w:pPr>
      <w:r>
        <w:rPr>
          <w:rStyle w:val="Zkladntext"/>
          <w:b/>
          <w:bCs/>
        </w:rPr>
        <w:t xml:space="preserve">Příloha: </w:t>
      </w:r>
      <w:r>
        <w:rPr>
          <w:rStyle w:val="Zkladntext"/>
        </w:rPr>
        <w:t>Splátkový kalendář_specifikace podnájmu, poskytovaných služeb a platební kalendář na období 1.11.2025 - 31.12.2025</w:t>
      </w:r>
    </w:p>
    <w:p w:rsidR="00CA29BA" w:rsidRDefault="00A024AE" w:rsidP="00CA29BA">
      <w:pPr>
        <w:spacing w:line="1" w:lineRule="exact"/>
        <w:rPr>
          <w:rStyle w:val="Zkladntext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393700" distB="0" distL="0" distR="0" simplePos="0" relativeHeight="125829378" behindDoc="0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393700</wp:posOffset>
                </wp:positionV>
                <wp:extent cx="1508760" cy="173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4A4" w:rsidRDefault="00A024AE">
                            <w:pPr>
                              <w:pStyle w:val="Zkladntext1"/>
                              <w:tabs>
                                <w:tab w:val="left" w:leader="dot" w:pos="2314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V Brně dne 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25pt;margin-top:31.pt;width:118.8pt;height:13.700000000000001pt;z-index:-125829375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31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 xml:space="preserve">V Brně dne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0" distR="0" simplePos="0" relativeHeight="125829380" behindDoc="0" locked="0" layoutInCell="1" allowOverlap="1">
                <wp:simplePos x="0" y="0"/>
                <wp:positionH relativeFrom="page">
                  <wp:posOffset>4479290</wp:posOffset>
                </wp:positionH>
                <wp:positionV relativeFrom="paragraph">
                  <wp:posOffset>393700</wp:posOffset>
                </wp:positionV>
                <wp:extent cx="1508760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4A4" w:rsidRDefault="00A024AE">
                            <w:pPr>
                              <w:pStyle w:val="Zkladntext1"/>
                              <w:tabs>
                                <w:tab w:val="left" w:leader="dot" w:pos="2314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V Brně dne 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2.69999999999999pt;margin-top:31.pt;width:118.8pt;height:13.700000000000001pt;z-index:-125829373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31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 xml:space="preserve">V Brně dne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29BA" w:rsidRDefault="00CA29BA" w:rsidP="00CA29BA">
      <w:pPr>
        <w:pStyle w:val="Zkladntext20"/>
        <w:rPr>
          <w:rStyle w:val="Zkladntext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116840</wp:posOffset>
                </wp:positionV>
                <wp:extent cx="1779905" cy="10788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4A4" w:rsidRDefault="008164A4" w:rsidP="00CA29BA">
                            <w:pPr>
                              <w:pStyle w:val="Zkladntext1"/>
                              <w:spacing w:after="22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58pt;margin-top:9.2pt;width:140.15pt;height:84.9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" filled="f" stroked="f">
                <v:textbox inset="0,0,0,0">
                  <w:txbxContent>
                    <w:p w:rsidR="008164A4" w:rsidRDefault="008164A4" w:rsidP="00CA29BA">
                      <w:pPr>
                        <w:pStyle w:val="Zkladntext1"/>
                        <w:spacing w:after="2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29BA" w:rsidRPr="00CA29BA" w:rsidRDefault="00CA29BA" w:rsidP="00CA29BA">
      <w:pPr>
        <w:pStyle w:val="Zkladntext20"/>
        <w:rPr>
          <w:rStyle w:val="Zkladntext2"/>
          <w:rFonts w:ascii="Times New Roman" w:hAnsi="Times New Roman" w:cs="Times New Roman"/>
          <w:sz w:val="22"/>
        </w:rPr>
      </w:pPr>
      <w:r w:rsidRPr="00CA29BA">
        <w:rPr>
          <w:rStyle w:val="Zkladntext2"/>
          <w:rFonts w:ascii="Times New Roman" w:hAnsi="Times New Roman" w:cs="Times New Roman"/>
          <w:sz w:val="22"/>
        </w:rPr>
        <w:t>Mgr. Milan Kratina</w:t>
      </w:r>
    </w:p>
    <w:p w:rsidR="008164A4" w:rsidRPr="00CA29BA" w:rsidRDefault="00CA29BA" w:rsidP="00CA29BA">
      <w:pPr>
        <w:pStyle w:val="Zkladntext20"/>
        <w:rPr>
          <w:rFonts w:ascii="Times New Roman" w:hAnsi="Times New Roman" w:cs="Times New Roman"/>
          <w:sz w:val="22"/>
        </w:rPr>
      </w:pPr>
      <w:r w:rsidRPr="00CA29BA">
        <w:rPr>
          <w:rStyle w:val="Zkladntext2"/>
          <w:rFonts w:ascii="Times New Roman" w:hAnsi="Times New Roman" w:cs="Times New Roman"/>
          <w:sz w:val="22"/>
        </w:rPr>
        <w:t>předseda představenstva za Nájemce</w:t>
      </w:r>
      <w:r w:rsidR="00A024AE" w:rsidRPr="00CA29BA">
        <w:rPr>
          <w:rStyle w:val="Zkladntext2"/>
          <w:rFonts w:ascii="Times New Roman" w:hAnsi="Times New Roman" w:cs="Times New Roman"/>
          <w:sz w:val="22"/>
        </w:rPr>
        <w:t>.</w:t>
      </w:r>
    </w:p>
    <w:p w:rsidR="008164A4" w:rsidRDefault="00A024A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908050" distL="0" distR="0" simplePos="0" relativeHeight="125829388" behindDoc="0" locked="0" layoutInCell="1" allowOverlap="1">
                <wp:simplePos x="0" y="0"/>
                <wp:positionH relativeFrom="page">
                  <wp:posOffset>4481830</wp:posOffset>
                </wp:positionH>
                <wp:positionV relativeFrom="paragraph">
                  <wp:posOffset>0</wp:posOffset>
                </wp:positionV>
                <wp:extent cx="1490345" cy="1708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4A4" w:rsidRDefault="00A024AE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MUDr. Hana Albrechtová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2.90000000000003pt;margin-top:0;width:117.35000000000001pt;height:13.450000000000001pt;z-index:-125829365;mso-wrap-distance-left:0;mso-wrap-distance-right:0;mso-wrap-distance-bottom:71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MUDr. Hana Albrechtová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3990" distB="746125" distL="0" distR="0" simplePos="0" relativeHeight="125829390" behindDoc="0" locked="0" layoutInCell="1" allowOverlap="1">
                <wp:simplePos x="0" y="0"/>
                <wp:positionH relativeFrom="page">
                  <wp:posOffset>4491355</wp:posOffset>
                </wp:positionH>
                <wp:positionV relativeFrom="paragraph">
                  <wp:posOffset>173990</wp:posOffset>
                </wp:positionV>
                <wp:extent cx="518160" cy="1587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4A4" w:rsidRDefault="00A024AE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ředitelka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3.65000000000003pt;margin-top:13.700000000000001pt;width:40.800000000000004pt;height:12.5pt;z-index:-125829363;mso-wrap-distance-left:0;mso-wrap-distance-top:13.700000000000001pt;mso-wrap-distance-right:0;mso-wrap-distance-bottom:58.7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ředitelka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5280" distB="563880" distL="0" distR="0" simplePos="0" relativeHeight="125829392" behindDoc="0" locked="0" layoutInCell="1" allowOverlap="1">
                <wp:simplePos x="0" y="0"/>
                <wp:positionH relativeFrom="page">
                  <wp:posOffset>4503420</wp:posOffset>
                </wp:positionH>
                <wp:positionV relativeFrom="paragraph">
                  <wp:posOffset>335280</wp:posOffset>
                </wp:positionV>
                <wp:extent cx="868680" cy="17970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4A4" w:rsidRDefault="00A024AE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za </w:t>
                            </w:r>
                            <w:r>
                              <w:rPr>
                                <w:rStyle w:val="Zkladntext"/>
                              </w:rPr>
                              <w:t>Podnájemce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54.60000000000002pt;margin-top:26.400000000000002pt;width:68.400000000000006pt;height:14.15pt;z-index:-125829361;mso-wrap-distance-left:0;mso-wrap-distance-top:26.400000000000002pt;mso-wrap-distance-right:0;mso-wrap-distance-bottom:44.39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za Podnájemce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52145" distB="57785" distL="0" distR="0" simplePos="0" relativeHeight="125829394" behindDoc="0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652145</wp:posOffset>
                </wp:positionV>
                <wp:extent cx="953770" cy="3689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4A4" w:rsidRDefault="008164A4">
                            <w:pPr>
                              <w:pStyle w:val="Nadpis10"/>
                              <w:keepNext/>
                              <w:keepLines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66.35pt;margin-top:51.35pt;width:75.1pt;height:29.05pt;z-index:125829394;visibility:visible;mso-wrap-style:none;mso-wrap-distance-left:0;mso-wrap-distance-top:51.35pt;mso-wrap-distance-right:0;mso-wrap-distance-bottom: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" filled="f" stroked="f">
                <v:textbox inset="0,0,0,0">
                  <w:txbxContent>
                    <w:p w:rsidR="008164A4" w:rsidRDefault="008164A4">
                      <w:pPr>
                        <w:pStyle w:val="Nadpis10"/>
                        <w:keepNext/>
                        <w:keepLines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64A4" w:rsidRDefault="00A024AE">
      <w:pPr>
        <w:pStyle w:val="Zkladntext1"/>
        <w:spacing w:after="0"/>
      </w:pPr>
      <w:r>
        <w:rPr>
          <w:rStyle w:val="Zkladntext"/>
        </w:rPr>
        <w:t>Jiří Filip</w:t>
      </w:r>
    </w:p>
    <w:p w:rsidR="008164A4" w:rsidRDefault="00A024AE">
      <w:pPr>
        <w:pStyle w:val="Zkladntext1"/>
        <w:spacing w:after="0"/>
        <w:sectPr w:rsidR="008164A4">
          <w:type w:val="continuous"/>
          <w:pgSz w:w="11900" w:h="16840"/>
          <w:pgMar w:top="1412" w:right="1112" w:bottom="8897" w:left="1385" w:header="0" w:footer="3" w:gutter="0"/>
          <w:cols w:space="720"/>
          <w:noEndnote/>
          <w:docGrid w:linePitch="360"/>
        </w:sectPr>
      </w:pPr>
      <w:r>
        <w:rPr>
          <w:rStyle w:val="Zkladntext"/>
        </w:rPr>
        <w:t>člen představenstva za Nájemce</w:t>
      </w:r>
    </w:p>
    <w:p w:rsidR="008164A4" w:rsidRDefault="00A024AE">
      <w:pPr>
        <w:pStyle w:val="Nadpis50"/>
        <w:keepNext/>
        <w:keepLines/>
        <w:spacing w:after="0"/>
        <w:jc w:val="left"/>
        <w:rPr>
          <w:sz w:val="19"/>
          <w:szCs w:val="19"/>
        </w:rPr>
      </w:pPr>
      <w:bookmarkStart w:id="6" w:name="bookmark17"/>
      <w:r>
        <w:rPr>
          <w:rStyle w:val="Nadpis5"/>
          <w:rFonts w:ascii="Arial" w:eastAsia="Arial" w:hAnsi="Arial" w:cs="Arial"/>
          <w:b/>
          <w:bCs/>
          <w:sz w:val="19"/>
          <w:szCs w:val="19"/>
        </w:rPr>
        <w:lastRenderedPageBreak/>
        <w:t>Příloha č. 5</w:t>
      </w:r>
      <w:bookmarkEnd w:id="6"/>
    </w:p>
    <w:p w:rsidR="008164A4" w:rsidRDefault="00A024AE">
      <w:pPr>
        <w:pStyle w:val="Zkladntext20"/>
        <w:spacing w:after="200"/>
      </w:pPr>
      <w:r>
        <w:rPr>
          <w:rStyle w:val="Zkladntext2"/>
        </w:rPr>
        <w:t>dodatku č. 2 ke Smlouvě o podnájmu nemovitých věcí a poskytování služe 21.12.2020</w:t>
      </w:r>
    </w:p>
    <w:p w:rsidR="008164A4" w:rsidRDefault="00A024AE">
      <w:pPr>
        <w:pStyle w:val="Nadpis40"/>
        <w:keepNext/>
        <w:keepLines/>
        <w:tabs>
          <w:tab w:val="left" w:pos="5866"/>
        </w:tabs>
        <w:rPr>
          <w:sz w:val="17"/>
          <w:szCs w:val="17"/>
        </w:rPr>
        <w:sectPr w:rsidR="008164A4">
          <w:pgSz w:w="16840" w:h="11900" w:orient="landscape"/>
          <w:pgMar w:top="1143" w:right="1321" w:bottom="237" w:left="999" w:header="715" w:footer="3" w:gutter="0"/>
          <w:cols w:space="720"/>
          <w:noEndnote/>
          <w:docGrid w:linePitch="360"/>
        </w:sectPr>
      </w:pPr>
      <w:bookmarkStart w:id="7" w:name="bookmark19"/>
      <w:r>
        <w:rPr>
          <w:rStyle w:val="Nadpis4"/>
          <w:b/>
          <w:bCs/>
        </w:rPr>
        <w:t>Splátkový kalendář_specifikace podnájmu, posk</w:t>
      </w:r>
      <w:r>
        <w:rPr>
          <w:rStyle w:val="Nadpis4"/>
          <w:b/>
          <w:bCs/>
        </w:rPr>
        <w:t>ytovaných služeb a platební kalendář na období 1.11.2025 - 31.12.2025</w:t>
      </w:r>
      <w:r>
        <w:rPr>
          <w:rStyle w:val="Nadpis4"/>
          <w:b/>
          <w:bCs/>
        </w:rPr>
        <w:br/>
      </w:r>
      <w:r>
        <w:rPr>
          <w:rStyle w:val="Nadpis4"/>
          <w:i/>
          <w:iCs/>
          <w:sz w:val="14"/>
          <w:szCs w:val="14"/>
        </w:rPr>
        <w:t>dle §31 resp. 31a) zák.235/2004 Sb.v platném znění</w:t>
      </w:r>
      <w:r>
        <w:rPr>
          <w:rStyle w:val="Nadpis4"/>
          <w:i/>
          <w:iCs/>
          <w:sz w:val="14"/>
          <w:szCs w:val="14"/>
        </w:rPr>
        <w:br/>
      </w:r>
      <w:r>
        <w:rPr>
          <w:rStyle w:val="Nadpis4"/>
          <w:i/>
          <w:iCs/>
          <w:sz w:val="17"/>
          <w:szCs w:val="17"/>
        </w:rPr>
        <w:t>č.</w:t>
      </w:r>
      <w:r>
        <w:rPr>
          <w:rStyle w:val="Nadpis4"/>
          <w:sz w:val="17"/>
          <w:szCs w:val="17"/>
        </w:rPr>
        <w:tab/>
        <w:t>2025048 /2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12"/>
        <w:gridCol w:w="5270"/>
        <w:gridCol w:w="572"/>
      </w:tblGrid>
      <w:tr w:rsidR="008164A4">
        <w:tblPrEx>
          <w:tblCellMar>
            <w:top w:w="0" w:type="dxa"/>
            <w:bottom w:w="0" w:type="dxa"/>
          </w:tblCellMar>
        </w:tblPrEx>
        <w:trPr>
          <w:gridAfter w:val="1"/>
          <w:wAfter w:w="572" w:type="dxa"/>
          <w:trHeight w:hRule="exact" w:val="221"/>
          <w:jc w:val="center"/>
        </w:trPr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8164A4" w:rsidRDefault="00A024AE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LETIŠTĚ BRNO a.s.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gridAfter w:val="1"/>
          <w:wAfter w:w="572" w:type="dxa"/>
          <w:trHeight w:hRule="exact" w:val="19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both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se sídlem: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Letiště Brno-Tuřany 904/1, Tuřany, 627 00 Brno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gridAfter w:val="1"/>
          <w:wAfter w:w="572" w:type="dxa"/>
          <w:trHeight w:hRule="exact" w:val="192"/>
          <w:jc w:val="center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IČO:</w:t>
            </w:r>
          </w:p>
        </w:tc>
        <w:tc>
          <w:tcPr>
            <w:tcW w:w="558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26237920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gridAfter w:val="1"/>
          <w:wAfter w:w="572" w:type="dxa"/>
          <w:trHeight w:hRule="exact" w:val="192"/>
          <w:jc w:val="center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DIČ:</w:t>
            </w:r>
          </w:p>
        </w:tc>
        <w:tc>
          <w:tcPr>
            <w:tcW w:w="558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CZ26237920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gridAfter w:val="1"/>
          <w:wAfter w:w="572" w:type="dxa"/>
          <w:trHeight w:hRule="exact" w:val="197"/>
          <w:jc w:val="center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č.ú.:</w:t>
            </w:r>
          </w:p>
        </w:tc>
        <w:tc>
          <w:tcPr>
            <w:tcW w:w="558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5080135783/5500,Raiffeisenbank a.s.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gridAfter w:val="1"/>
          <w:wAfter w:w="572" w:type="dxa"/>
          <w:trHeight w:hRule="exact" w:val="192"/>
          <w:jc w:val="center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OR: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Krajský soud v Brně, oddíl B, vložka 3546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gridAfter w:val="1"/>
          <w:wAfter w:w="572" w:type="dxa"/>
          <w:trHeight w:hRule="exact" w:val="202"/>
          <w:jc w:val="center"/>
        </w:trPr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„nájemce"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8164A4" w:rsidRDefault="00A024AE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Zdravotnická záchranná služba Jihomoravského kraje, příspěvková organizace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se sídlem/bytem: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Kamenice 798/1d, Bohunice, 625 00 Brno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13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IČO:</w:t>
            </w:r>
          </w:p>
        </w:tc>
        <w:tc>
          <w:tcPr>
            <w:tcW w:w="5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00346292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3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DIČ:</w:t>
            </w:r>
          </w:p>
        </w:tc>
        <w:tc>
          <w:tcPr>
            <w:tcW w:w="5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CZ00346292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13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č.ú.:</w:t>
            </w:r>
          </w:p>
        </w:tc>
        <w:tc>
          <w:tcPr>
            <w:tcW w:w="584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117203514/0600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3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OR:</w:t>
            </w:r>
          </w:p>
        </w:tc>
        <w:tc>
          <w:tcPr>
            <w:tcW w:w="584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Krajský soud v Brně, spisová značka Pr 1245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„podnájemce“</w:t>
            </w:r>
          </w:p>
        </w:tc>
      </w:tr>
    </w:tbl>
    <w:p w:rsidR="008164A4" w:rsidRDefault="008164A4">
      <w:pPr>
        <w:sectPr w:rsidR="008164A4">
          <w:type w:val="continuous"/>
          <w:pgSz w:w="16840" w:h="11900" w:orient="landscape"/>
          <w:pgMar w:top="1143" w:right="1321" w:bottom="237" w:left="999" w:header="0" w:footer="3" w:gutter="0"/>
          <w:cols w:num="2" w:space="562"/>
          <w:noEndnote/>
          <w:docGrid w:linePitch="360"/>
        </w:sectPr>
      </w:pPr>
    </w:p>
    <w:p w:rsidR="008164A4" w:rsidRDefault="008164A4">
      <w:pPr>
        <w:spacing w:line="112" w:lineRule="exact"/>
        <w:rPr>
          <w:sz w:val="9"/>
          <w:szCs w:val="9"/>
        </w:rPr>
      </w:pPr>
    </w:p>
    <w:p w:rsidR="008164A4" w:rsidRDefault="008164A4">
      <w:pPr>
        <w:spacing w:line="1" w:lineRule="exact"/>
        <w:sectPr w:rsidR="008164A4">
          <w:type w:val="continuous"/>
          <w:pgSz w:w="16840" w:h="11900" w:orient="landscape"/>
          <w:pgMar w:top="1143" w:right="0" w:bottom="237" w:left="0" w:header="0" w:footer="3" w:gutter="0"/>
          <w:cols w:space="720"/>
          <w:noEndnote/>
          <w:docGrid w:linePitch="360"/>
        </w:sectPr>
      </w:pPr>
    </w:p>
    <w:p w:rsidR="008164A4" w:rsidRDefault="00A024AE">
      <w:pPr>
        <w:pStyle w:val="Zkladntext20"/>
        <w:spacing w:after="100"/>
      </w:pPr>
      <w:r>
        <w:rPr>
          <w:rStyle w:val="Zkladntext2"/>
          <w:b/>
          <w:bCs/>
        </w:rPr>
        <w:t>Datum vystavení: 8.10.2025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5"/>
        <w:gridCol w:w="965"/>
        <w:gridCol w:w="826"/>
        <w:gridCol w:w="1013"/>
        <w:gridCol w:w="1157"/>
        <w:gridCol w:w="456"/>
        <w:gridCol w:w="835"/>
        <w:gridCol w:w="1282"/>
        <w:gridCol w:w="2102"/>
        <w:gridCol w:w="2290"/>
      </w:tblGrid>
      <w:tr w:rsidR="008164A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podnájem/služba/energie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60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cena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jedn.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počet jedn.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celkem za období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DPH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DPH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celkem vč.DPH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datum usk.zdanitel.plnění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splatnost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44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Kč/jedn.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4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Kč bez DPH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7"/>
                <w:szCs w:val="17"/>
              </w:rPr>
              <w:t>Splátkový kalendář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podnájem*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areál pro VZ LZS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213 597,08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44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měsíc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213 597,08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44 855,39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258 452,47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celkem za období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213 597,08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44 855,39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258</w:t>
            </w: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 xml:space="preserve"> 452,47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30.11.,31.12.2025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30.11.,31.12.2025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služby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úklid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ind w:firstLine="60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11,50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m</w:t>
            </w:r>
            <w:r>
              <w:rPr>
                <w:rStyle w:val="Jin"/>
                <w:rFonts w:ascii="Arial" w:eastAsia="Arial" w:hAnsi="Arial" w:cs="Arial"/>
                <w:sz w:val="8"/>
                <w:szCs w:val="8"/>
                <w:vertAlign w:val="superscript"/>
              </w:rPr>
              <w:t>2</w:t>
            </w: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/měsíc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192,95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2 218,93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465,97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2 684,90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odvoz a likvidace komunálního odpadu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650,00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44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měsíc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650,00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136,50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786,50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podnájem el.rozvodného zařízení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500"/>
              <w:jc w:val="both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528,00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44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měsíc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528,00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110,88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638,88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celkem za období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3 396,93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713,35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4 110,28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30.11.,31.12.2025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30.11.,31.12.2025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</w:tbl>
    <w:p w:rsidR="008164A4" w:rsidRDefault="008164A4">
      <w:pPr>
        <w:spacing w:after="159" w:line="1" w:lineRule="exact"/>
      </w:pPr>
    </w:p>
    <w:p w:rsidR="008164A4" w:rsidRDefault="008164A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2578"/>
        <w:gridCol w:w="965"/>
        <w:gridCol w:w="826"/>
        <w:gridCol w:w="1013"/>
        <w:gridCol w:w="1157"/>
        <w:gridCol w:w="456"/>
        <w:gridCol w:w="835"/>
        <w:gridCol w:w="1282"/>
        <w:gridCol w:w="2102"/>
        <w:gridCol w:w="2290"/>
      </w:tblGrid>
      <w:tr w:rsidR="008164A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A024AE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7"/>
                <w:szCs w:val="17"/>
              </w:rPr>
              <w:t>Platební kalendář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energie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el.energie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záloha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360"/>
              <w:jc w:val="both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16 700,00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44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měsíc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16 700,00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3 507,00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20 207,00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voda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záloha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44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1 250,00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ind w:firstLine="44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měsíc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1 250,00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150,00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1 400,00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bottom"/>
          </w:tcPr>
          <w:p w:rsidR="008164A4" w:rsidRDefault="00A024AE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celkem za období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17 950,00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3 657,00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  <w:t>21 607,00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A4" w:rsidRDefault="00A024AE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30.11.,31.12.2025</w:t>
            </w:r>
          </w:p>
        </w:tc>
      </w:tr>
      <w:tr w:rsidR="008164A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A4" w:rsidRDefault="008164A4">
            <w:pPr>
              <w:rPr>
                <w:sz w:val="10"/>
                <w:szCs w:val="10"/>
              </w:rPr>
            </w:pPr>
          </w:p>
        </w:tc>
      </w:tr>
    </w:tbl>
    <w:p w:rsidR="008164A4" w:rsidRDefault="00A024AE">
      <w:pPr>
        <w:pStyle w:val="Titulektabulky0"/>
        <w:tabs>
          <w:tab w:val="left" w:pos="1003"/>
        </w:tabs>
        <w:spacing w:after="40"/>
        <w:ind w:left="0"/>
        <w:jc w:val="both"/>
      </w:pPr>
      <w:r>
        <w:rPr>
          <w:rStyle w:val="Titulektabulky"/>
          <w:b/>
          <w:bCs/>
          <w:i/>
          <w:iCs/>
          <w:sz w:val="14"/>
          <w:szCs w:val="14"/>
        </w:rPr>
        <w:t>Pozn.:</w:t>
      </w:r>
      <w:r>
        <w:rPr>
          <w:rStyle w:val="Titulektabulky"/>
        </w:rPr>
        <w:tab/>
        <w:t xml:space="preserve">1.LETIŠTĚ BRNO a.s. upozorňuje, že při nedodržení termínů splatnosti má právo účtovat podnájemci </w:t>
      </w:r>
      <w:r>
        <w:rPr>
          <w:rStyle w:val="Titulektabulky"/>
        </w:rPr>
        <w:t>samostatně smluvní pokutu ve výši 0,05 % z dlužné částky za každý den prodlení.</w:t>
      </w:r>
    </w:p>
    <w:p w:rsidR="008164A4" w:rsidRDefault="00A024AE">
      <w:pPr>
        <w:pStyle w:val="Titulektabulky0"/>
        <w:spacing w:after="0"/>
        <w:ind w:left="0"/>
        <w:jc w:val="both"/>
      </w:pPr>
      <w:r>
        <w:rPr>
          <w:rStyle w:val="Titulektabulky"/>
        </w:rPr>
        <w:t>2. Platební kalendář záloh energií je daňovým dokladem v případě, že osoba, pro niž je uskutečňováno zdanitelné plnění, provádí platby před uskutečněním zdanitelného plnění.</w:t>
      </w:r>
    </w:p>
    <w:p w:rsidR="008164A4" w:rsidRDefault="008164A4">
      <w:pPr>
        <w:spacing w:after="99" w:line="1" w:lineRule="exact"/>
      </w:pPr>
    </w:p>
    <w:p w:rsidR="008164A4" w:rsidRDefault="00A024AE">
      <w:pPr>
        <w:pStyle w:val="Zkladntext20"/>
        <w:spacing w:after="100"/>
        <w:ind w:left="1040"/>
      </w:pPr>
      <w:r>
        <w:rPr>
          <w:rStyle w:val="Zkladntext2"/>
        </w:rPr>
        <w:t>*Splátkový kalendář bude ze strany nájemce upraven u podnájmu o index inflace za uplynulý rok, který je zveřejněn Českým statistickým úřadem.</w:t>
      </w:r>
    </w:p>
    <w:p w:rsidR="008164A4" w:rsidRDefault="00A024AE">
      <w:pPr>
        <w:pStyle w:val="Zkladntext20"/>
        <w:ind w:left="6340"/>
        <w:sectPr w:rsidR="008164A4">
          <w:type w:val="continuous"/>
          <w:pgSz w:w="16840" w:h="11900" w:orient="landscape"/>
          <w:pgMar w:top="1143" w:right="1321" w:bottom="237" w:left="99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12700</wp:posOffset>
                </wp:positionV>
                <wp:extent cx="938530" cy="133985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4A4" w:rsidRDefault="00A024A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za nájemce vystavil: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1.149999999999999pt;margin-top:1.pt;width:73.900000000000006pt;height:10.550000000000001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za nájemce vystavil: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2"/>
        </w:rPr>
        <w:t>za podnájemce odsouhlasil:</w:t>
      </w:r>
    </w:p>
    <w:p w:rsidR="008164A4" w:rsidRDefault="008164A4">
      <w:pPr>
        <w:spacing w:before="119" w:after="119" w:line="240" w:lineRule="exact"/>
        <w:rPr>
          <w:sz w:val="19"/>
          <w:szCs w:val="19"/>
        </w:rPr>
      </w:pPr>
    </w:p>
    <w:p w:rsidR="008164A4" w:rsidRDefault="008164A4">
      <w:pPr>
        <w:spacing w:line="1" w:lineRule="exact"/>
        <w:sectPr w:rsidR="008164A4">
          <w:type w:val="continuous"/>
          <w:pgSz w:w="16840" w:h="11900" w:orient="landscape"/>
          <w:pgMar w:top="1143" w:right="0" w:bottom="237" w:left="0" w:header="0" w:footer="3" w:gutter="0"/>
          <w:cols w:space="720"/>
          <w:noEndnote/>
          <w:docGrid w:linePitch="360"/>
        </w:sectPr>
      </w:pPr>
      <w:bookmarkStart w:id="8" w:name="_GoBack"/>
    </w:p>
    <w:p w:rsidR="008164A4" w:rsidRDefault="00A024AE">
      <w:pPr>
        <w:pStyle w:val="Zkladntext40"/>
        <w:framePr w:w="1766" w:h="734" w:wrap="none" w:vAnchor="text" w:hAnchor="page" w:x="995" w:y="21"/>
      </w:pPr>
      <w:r>
        <w:rPr>
          <w:rStyle w:val="Zkladntext4"/>
        </w:rPr>
        <w:t xml:space="preserve">LETIŠTĚ </w:t>
      </w:r>
      <w:r>
        <w:rPr>
          <w:rStyle w:val="Zkladntext4"/>
        </w:rPr>
        <w:t>BRNO a.s.</w:t>
      </w:r>
    </w:p>
    <w:p w:rsidR="008164A4" w:rsidRDefault="00A024AE">
      <w:pPr>
        <w:pStyle w:val="Zkladntext40"/>
        <w:framePr w:w="5549" w:h="230" w:wrap="none" w:vAnchor="text" w:hAnchor="page" w:x="9016" w:y="44"/>
      </w:pPr>
      <w:r>
        <w:rPr>
          <w:rStyle w:val="Zkladntext4"/>
        </w:rPr>
        <w:t>Zdravotnická záchranná služba Jihomoravského kraje, příspěvková organizace</w:t>
      </w:r>
    </w:p>
    <w:p w:rsidR="008164A4" w:rsidRDefault="008164A4" w:rsidP="00CA29BA">
      <w:pPr>
        <w:pStyle w:val="Zkladntext30"/>
        <w:framePr w:w="3797" w:h="470" w:wrap="none" w:vAnchor="text" w:hAnchor="page" w:x="9559" w:y="553"/>
      </w:pPr>
    </w:p>
    <w:p w:rsidR="008164A4" w:rsidRDefault="008164A4">
      <w:pPr>
        <w:spacing w:line="360" w:lineRule="exact"/>
      </w:pPr>
    </w:p>
    <w:bookmarkEnd w:id="8"/>
    <w:p w:rsidR="008164A4" w:rsidRDefault="008164A4">
      <w:pPr>
        <w:spacing w:line="360" w:lineRule="exact"/>
      </w:pPr>
    </w:p>
    <w:p w:rsidR="008164A4" w:rsidRDefault="008164A4">
      <w:pPr>
        <w:spacing w:after="474" w:line="1" w:lineRule="exact"/>
      </w:pPr>
    </w:p>
    <w:p w:rsidR="008164A4" w:rsidRDefault="008164A4">
      <w:pPr>
        <w:spacing w:line="1" w:lineRule="exact"/>
      </w:pPr>
    </w:p>
    <w:sectPr w:rsidR="008164A4">
      <w:type w:val="continuous"/>
      <w:pgSz w:w="16840" w:h="11900" w:orient="landscape"/>
      <w:pgMar w:top="1143" w:right="1320" w:bottom="237" w:left="9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AE" w:rsidRDefault="00A024AE">
      <w:r>
        <w:separator/>
      </w:r>
    </w:p>
  </w:endnote>
  <w:endnote w:type="continuationSeparator" w:id="0">
    <w:p w:rsidR="00A024AE" w:rsidRDefault="00A0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AE" w:rsidRDefault="00A024AE"/>
  </w:footnote>
  <w:footnote w:type="continuationSeparator" w:id="0">
    <w:p w:rsidR="00A024AE" w:rsidRDefault="00A024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24C5"/>
    <w:multiLevelType w:val="multilevel"/>
    <w:tmpl w:val="A3163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21700E"/>
    <w:multiLevelType w:val="multilevel"/>
    <w:tmpl w:val="31169F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241EBC"/>
    <w:multiLevelType w:val="multilevel"/>
    <w:tmpl w:val="AAB44A2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4B4950"/>
    <w:multiLevelType w:val="multilevel"/>
    <w:tmpl w:val="AD7C0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A4"/>
    <w:rsid w:val="008164A4"/>
    <w:rsid w:val="00A024AE"/>
    <w:rsid w:val="00CA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1DDE"/>
  <w15:docId w15:val="{573696F4-965C-46FB-BA00-6C69312A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40">
    <w:name w:val="Nadpis #4"/>
    <w:basedOn w:val="Normln"/>
    <w:link w:val="Nadpis4"/>
    <w:pPr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pacing w:after="240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Arial" w:eastAsia="Arial" w:hAnsi="Arial" w:cs="Arial"/>
      <w:sz w:val="32"/>
      <w:szCs w:val="3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ind w:left="1460"/>
    </w:pPr>
    <w:rPr>
      <w:rFonts w:ascii="Segoe UI" w:eastAsia="Segoe UI" w:hAnsi="Segoe UI" w:cs="Segoe UI"/>
      <w:sz w:val="13"/>
      <w:szCs w:val="13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sz w:val="42"/>
      <w:szCs w:val="42"/>
    </w:rPr>
  </w:style>
  <w:style w:type="paragraph" w:customStyle="1" w:styleId="Jin0">
    <w:name w:val="Jiné"/>
    <w:basedOn w:val="Normln"/>
    <w:link w:val="Jin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pacing w:after="20"/>
      <w:ind w:left="510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rPr>
      <w:rFonts w:ascii="Calibri" w:eastAsia="Calibri" w:hAnsi="Calibri" w:cs="Calibri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pacing w:line="343" w:lineRule="auto"/>
    </w:pPr>
    <w:rPr>
      <w:rFonts w:ascii="Arial" w:eastAsia="Arial" w:hAnsi="Arial" w:cs="Arial"/>
      <w:i/>
      <w:iCs/>
      <w:sz w:val="12"/>
      <w:szCs w:val="1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sz w:val="36"/>
      <w:szCs w:val="36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1123</Words>
  <Characters>6628</Characters>
  <Application>Microsoft Office Word</Application>
  <DocSecurity>0</DocSecurity>
  <Lines>55</Lines>
  <Paragraphs>15</Paragraphs>
  <ScaleCrop>false</ScaleCrop>
  <Company>HP Inc.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Alice Jandorová</dc:creator>
  <cp:keywords/>
  <cp:lastModifiedBy>SEDLÁČKOVÁ Radmila, DiS.</cp:lastModifiedBy>
  <cp:revision>2</cp:revision>
  <dcterms:created xsi:type="dcterms:W3CDTF">2025-11-27T14:24:00Z</dcterms:created>
  <dcterms:modified xsi:type="dcterms:W3CDTF">2025-11-27T14:27:00Z</dcterms:modified>
</cp:coreProperties>
</file>