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88D7" w14:textId="4EA31A9F" w:rsidR="00A83B84" w:rsidRDefault="009C3D94" w:rsidP="009C3D94">
      <w:pPr>
        <w:pStyle w:val="Nzev"/>
        <w:tabs>
          <w:tab w:val="right" w:pos="9781"/>
        </w:tabs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sml.ev.č</w:t>
      </w:r>
      <w:proofErr w:type="spellEnd"/>
      <w:r>
        <w:rPr>
          <w:rFonts w:ascii="Arial" w:hAnsi="Arial" w:cs="Arial"/>
          <w:sz w:val="20"/>
        </w:rPr>
        <w:t>. 52/2025/ZP/BVB</w:t>
      </w:r>
    </w:p>
    <w:p w14:paraId="624114BC" w14:textId="77777777" w:rsidR="009C3D94" w:rsidRDefault="009C3D94" w:rsidP="009C3D94">
      <w:pPr>
        <w:pStyle w:val="Nzev"/>
        <w:tabs>
          <w:tab w:val="right" w:pos="9781"/>
        </w:tabs>
        <w:jc w:val="right"/>
        <w:rPr>
          <w:sz w:val="24"/>
          <w:szCs w:val="24"/>
        </w:rPr>
      </w:pPr>
    </w:p>
    <w:p w14:paraId="43759D29" w14:textId="77777777" w:rsidR="0083727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415065" w:rsidRPr="00415065">
        <w:rPr>
          <w:rFonts w:ascii="Arial Black" w:hAnsi="Arial Black" w:cs="Arial"/>
          <w:b/>
          <w:sz w:val="36"/>
          <w:szCs w:val="36"/>
        </w:rPr>
        <w:t>PR-0010</w:t>
      </w:r>
      <w:r w:rsidR="00816902">
        <w:rPr>
          <w:rFonts w:ascii="Arial Black" w:hAnsi="Arial Black" w:cs="Arial"/>
          <w:b/>
          <w:sz w:val="36"/>
          <w:szCs w:val="36"/>
        </w:rPr>
        <w:t>3</w:t>
      </w:r>
      <w:r w:rsidR="00AB1F54">
        <w:rPr>
          <w:rFonts w:ascii="Arial Black" w:hAnsi="Arial Black" w:cs="Arial"/>
          <w:b/>
          <w:sz w:val="36"/>
          <w:szCs w:val="36"/>
        </w:rPr>
        <w:t>0095290</w:t>
      </w:r>
      <w:r w:rsidR="00816902">
        <w:rPr>
          <w:rFonts w:ascii="Arial Black" w:hAnsi="Arial Black" w:cs="Arial"/>
          <w:b/>
          <w:sz w:val="36"/>
          <w:szCs w:val="36"/>
        </w:rPr>
        <w:t>/00</w:t>
      </w:r>
      <w:r w:rsidR="00AB1F54">
        <w:rPr>
          <w:rFonts w:ascii="Arial Black" w:hAnsi="Arial Black" w:cs="Arial"/>
          <w:b/>
          <w:sz w:val="36"/>
          <w:szCs w:val="36"/>
        </w:rPr>
        <w:t>2</w:t>
      </w:r>
      <w:r w:rsidR="00816902">
        <w:rPr>
          <w:rFonts w:ascii="Arial Black" w:hAnsi="Arial Black" w:cs="Arial"/>
          <w:b/>
          <w:sz w:val="36"/>
          <w:szCs w:val="36"/>
        </w:rPr>
        <w:t>-</w:t>
      </w:r>
      <w:r w:rsidR="00AB1F54">
        <w:rPr>
          <w:rFonts w:ascii="Arial Black" w:hAnsi="Arial Black" w:cs="Arial"/>
          <w:b/>
          <w:sz w:val="36"/>
          <w:szCs w:val="36"/>
        </w:rPr>
        <w:t>MOPR</w:t>
      </w:r>
    </w:p>
    <w:p w14:paraId="121B0DE1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32F03E5D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45955684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0D24F2E7" w14:textId="77777777" w:rsidR="00C51F94" w:rsidRPr="0073229B" w:rsidRDefault="00C51F94" w:rsidP="00C51F94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>Město Vyškov</w:t>
      </w:r>
    </w:p>
    <w:p w14:paraId="5D873F70" w14:textId="77777777" w:rsidR="00C51F94" w:rsidRPr="0073229B" w:rsidRDefault="00C51F94" w:rsidP="00C51F94">
      <w:pPr>
        <w:pStyle w:val="Zkladntext21"/>
        <w:tabs>
          <w:tab w:val="left" w:pos="2268"/>
        </w:tabs>
        <w:spacing w:line="240" w:lineRule="auto"/>
        <w:ind w:firstLine="426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>sídlo:</w:t>
      </w:r>
      <w:r>
        <w:rPr>
          <w:rFonts w:ascii="Arial" w:hAnsi="Arial" w:cs="Arial"/>
          <w:sz w:val="20"/>
        </w:rPr>
        <w:tab/>
      </w:r>
      <w:r w:rsidRPr="0073229B">
        <w:rPr>
          <w:rFonts w:ascii="Arial" w:hAnsi="Arial" w:cs="Arial"/>
          <w:sz w:val="20"/>
        </w:rPr>
        <w:t>Masarykovo náměstí 108/1, Vyškov - Město, 682 01 Vyškov</w:t>
      </w:r>
    </w:p>
    <w:p w14:paraId="28999C62" w14:textId="77777777" w:rsidR="00C51F94" w:rsidRPr="0073229B" w:rsidRDefault="00C51F94" w:rsidP="00C51F94">
      <w:pPr>
        <w:pStyle w:val="Zkladntext21"/>
        <w:tabs>
          <w:tab w:val="left" w:pos="2268"/>
        </w:tabs>
        <w:spacing w:line="240" w:lineRule="auto"/>
        <w:ind w:firstLine="426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 w:rsidRPr="0073229B">
        <w:rPr>
          <w:rFonts w:ascii="Arial" w:hAnsi="Arial" w:cs="Arial"/>
          <w:sz w:val="20"/>
        </w:rPr>
        <w:t>00292427</w:t>
      </w:r>
    </w:p>
    <w:p w14:paraId="28111646" w14:textId="77777777" w:rsidR="00C51F94" w:rsidRPr="0073229B" w:rsidRDefault="00C51F94" w:rsidP="00C51F94">
      <w:pPr>
        <w:pStyle w:val="Zkladntext21"/>
        <w:tabs>
          <w:tab w:val="left" w:pos="2268"/>
        </w:tabs>
        <w:spacing w:line="240" w:lineRule="auto"/>
        <w:ind w:firstLine="426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 w:rsidRPr="0073229B">
        <w:rPr>
          <w:rFonts w:ascii="Arial" w:hAnsi="Arial" w:cs="Arial"/>
          <w:sz w:val="20"/>
        </w:rPr>
        <w:t>CZ00292427</w:t>
      </w:r>
    </w:p>
    <w:p w14:paraId="32903786" w14:textId="77777777" w:rsidR="00C51F94" w:rsidRPr="0073229B" w:rsidRDefault="00C51F94" w:rsidP="00C51F94">
      <w:pPr>
        <w:pStyle w:val="Zkladntext21"/>
        <w:tabs>
          <w:tab w:val="left" w:pos="2268"/>
        </w:tabs>
        <w:spacing w:line="240" w:lineRule="auto"/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73229B">
        <w:rPr>
          <w:rFonts w:ascii="Arial" w:hAnsi="Arial" w:cs="Arial"/>
          <w:sz w:val="20"/>
        </w:rPr>
        <w:t>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61AEDD14" w14:textId="77777777" w:rsidR="00C51F94" w:rsidRPr="0073229B" w:rsidRDefault="00C51F94" w:rsidP="00C51F94">
      <w:pPr>
        <w:pStyle w:val="Zkladntext21"/>
        <w:tabs>
          <w:tab w:val="left" w:pos="2268"/>
        </w:tabs>
        <w:spacing w:line="240" w:lineRule="auto"/>
        <w:ind w:firstLine="426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>vlastnický podíl:</w:t>
      </w:r>
      <w:r>
        <w:rPr>
          <w:rFonts w:ascii="Arial" w:hAnsi="Arial" w:cs="Arial"/>
          <w:sz w:val="20"/>
        </w:rPr>
        <w:tab/>
      </w:r>
      <w:r w:rsidRPr="0073229B">
        <w:rPr>
          <w:rFonts w:ascii="Arial" w:hAnsi="Arial" w:cs="Arial"/>
          <w:sz w:val="20"/>
        </w:rPr>
        <w:t xml:space="preserve">1/1 </w:t>
      </w:r>
    </w:p>
    <w:p w14:paraId="0C643A76" w14:textId="77777777" w:rsidR="00C51F94" w:rsidRPr="0073229B" w:rsidRDefault="00C51F94" w:rsidP="00C51F94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7C236D72" w14:textId="77777777" w:rsidR="00C51F94" w:rsidRPr="0073229B" w:rsidRDefault="00C51F94" w:rsidP="00C51F94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762AB189" w14:textId="77777777" w:rsidR="00C51F94" w:rsidRPr="0073229B" w:rsidRDefault="00C51F94" w:rsidP="00C51F94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5EE9D02D" w14:textId="77777777" w:rsidR="00C51F94" w:rsidRPr="0073229B" w:rsidRDefault="00C51F94" w:rsidP="00C51F94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4AE42E7B" w14:textId="77777777" w:rsidR="00C51F94" w:rsidRPr="0073229B" w:rsidRDefault="00C51F94" w:rsidP="00C51F94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Pr="0073229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s.r.o.</w:t>
      </w:r>
    </w:p>
    <w:p w14:paraId="2ED8003F" w14:textId="77777777" w:rsidR="00C51F94" w:rsidRPr="0073229B" w:rsidRDefault="00C51F94" w:rsidP="00C51F94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Lidická 1873/36, Černá Pole, 602 00 Brno</w:t>
      </w:r>
    </w:p>
    <w:p w14:paraId="2F8E4961" w14:textId="77777777" w:rsidR="00C51F94" w:rsidRPr="0073229B" w:rsidRDefault="00C51F94" w:rsidP="00C51F94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>
        <w:rPr>
          <w:rFonts w:ascii="Arial" w:hAnsi="Arial" w:cs="Arial"/>
          <w:i/>
        </w:rPr>
        <w:t>10 55 050</w:t>
      </w:r>
    </w:p>
    <w:p w14:paraId="00A1D593" w14:textId="77777777" w:rsidR="00C51F94" w:rsidRPr="0073229B" w:rsidRDefault="00C51F94" w:rsidP="00C51F94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>
        <w:rPr>
          <w:rFonts w:ascii="Arial" w:hAnsi="Arial" w:cs="Arial"/>
          <w:i/>
        </w:rPr>
        <w:t>10 55 050</w:t>
      </w:r>
    </w:p>
    <w:p w14:paraId="5B8B18E1" w14:textId="77777777" w:rsidR="00C51F94" w:rsidRPr="0073229B" w:rsidRDefault="00C51F94" w:rsidP="00C51F94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Pr="00500D8D">
        <w:rPr>
          <w:rFonts w:ascii="Arial" w:hAnsi="Arial" w:cs="Arial"/>
          <w:i/>
        </w:rPr>
        <w:t>C 142374</w:t>
      </w:r>
    </w:p>
    <w:p w14:paraId="02465D97" w14:textId="14B3C9C4" w:rsidR="00C51F94" w:rsidRPr="0073229B" w:rsidRDefault="00C51F94" w:rsidP="00C51F94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</w:r>
      <w:r w:rsidR="00527127">
        <w:rPr>
          <w:rFonts w:ascii="Arial" w:hAnsi="Arial" w:cs="Arial"/>
          <w:i/>
        </w:rPr>
        <w:t>XXX</w:t>
      </w:r>
      <w:bookmarkStart w:id="0" w:name="_GoBack"/>
      <w:bookmarkEnd w:id="0"/>
    </w:p>
    <w:p w14:paraId="60810D5F" w14:textId="1558B6DD" w:rsidR="00C51F94" w:rsidRPr="0073229B" w:rsidRDefault="00C51F94" w:rsidP="00C51F94">
      <w:pPr>
        <w:tabs>
          <w:tab w:val="left" w:pos="2268"/>
        </w:tabs>
        <w:ind w:left="426"/>
        <w:rPr>
          <w:rFonts w:ascii="Arial" w:hAnsi="Arial" w:cs="Arial"/>
          <w:i/>
        </w:rPr>
      </w:pPr>
      <w:bookmarkStart w:id="1" w:name="_Hlk188434599"/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</w:r>
      <w:r w:rsidR="00527127">
        <w:rPr>
          <w:rFonts w:ascii="Arial" w:hAnsi="Arial" w:cs="Arial"/>
          <w:i/>
        </w:rPr>
        <w:t>XXX</w:t>
      </w:r>
    </w:p>
    <w:p w14:paraId="51EAD319" w14:textId="77777777" w:rsidR="00C51F94" w:rsidRPr="0073229B" w:rsidRDefault="00C51F94" w:rsidP="00C51F94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38B151E8" w14:textId="77777777" w:rsidR="00C51F94" w:rsidRPr="0073229B" w:rsidRDefault="00C51F94" w:rsidP="00C51F94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059FF35F" w14:textId="1AF59680" w:rsidR="00C51F94" w:rsidRDefault="00C51F94" w:rsidP="00C51F94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361A28">
        <w:rPr>
          <w:rFonts w:ascii="Arial" w:hAnsi="Arial" w:cs="Arial"/>
          <w:b/>
          <w:i/>
        </w:rPr>
        <w:t>XXX</w:t>
      </w:r>
    </w:p>
    <w:p w14:paraId="64483EEE" w14:textId="77777777" w:rsidR="00C51F94" w:rsidRPr="0073229B" w:rsidRDefault="00C51F94" w:rsidP="00C51F94">
      <w:pPr>
        <w:tabs>
          <w:tab w:val="left" w:pos="2268"/>
        </w:tabs>
        <w:spacing w:before="120"/>
        <w:rPr>
          <w:rFonts w:ascii="Arial" w:hAnsi="Arial" w:cs="Arial"/>
          <w:b/>
          <w:i/>
        </w:rPr>
      </w:pPr>
      <w:r w:rsidRPr="007C504B">
        <w:rPr>
          <w:rFonts w:ascii="Arial" w:hAnsi="Arial" w:cs="Arial"/>
          <w:b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42A30BE0" w14:textId="77777777" w:rsidR="00C51F94" w:rsidRPr="0073229B" w:rsidRDefault="00C51F94" w:rsidP="00C51F94">
      <w:pPr>
        <w:tabs>
          <w:tab w:val="left" w:pos="2268"/>
        </w:tabs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040B5AEF" w14:textId="77777777" w:rsidR="00C51F94" w:rsidRPr="0073229B" w:rsidRDefault="00C51F94" w:rsidP="00C51F94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bookmarkEnd w:id="1"/>
    <w:p w14:paraId="42AC2C09" w14:textId="77777777"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62222B5C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53E65D4F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47968753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74D25D01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5518C6" w:rsidRPr="005C1ED8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5518C6" w:rsidRPr="005C1ED8">
        <w:rPr>
          <w:rFonts w:ascii="Arial" w:hAnsi="Arial" w:cs="Arial"/>
          <w:b/>
          <w:sz w:val="20"/>
          <w:szCs w:val="20"/>
        </w:rPr>
        <w:t xml:space="preserve">. </w:t>
      </w:r>
      <w:r w:rsidR="00AB1F54" w:rsidRPr="00AB1F54">
        <w:rPr>
          <w:rFonts w:ascii="Arial" w:hAnsi="Arial" w:cs="Arial"/>
          <w:b/>
          <w:sz w:val="20"/>
          <w:szCs w:val="20"/>
        </w:rPr>
        <w:t xml:space="preserve">1851/3, 1851/4, 1852/3, 1853/4, 1853/7, 1853/8, 1853/9, 1854/12, 1854/166 </w:t>
      </w:r>
      <w:r w:rsidR="00837271">
        <w:rPr>
          <w:rFonts w:ascii="Arial" w:hAnsi="Arial" w:cs="Arial"/>
          <w:b/>
          <w:sz w:val="20"/>
          <w:szCs w:val="20"/>
        </w:rPr>
        <w:t xml:space="preserve">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E07BF0" w:rsidRPr="005C1ED8">
        <w:rPr>
          <w:rFonts w:ascii="Arial" w:hAnsi="Arial" w:cs="Arial"/>
          <w:b/>
          <w:sz w:val="20"/>
          <w:szCs w:val="20"/>
        </w:rPr>
        <w:t>Vyškov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Vyškov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4546F81B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4EA910AE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837271">
        <w:rPr>
          <w:rFonts w:ascii="Arial" w:hAnsi="Arial" w:cs="Arial"/>
          <w:b/>
          <w:color w:val="000000"/>
          <w:spacing w:val="-4"/>
          <w:sz w:val="20"/>
        </w:rPr>
        <w:t xml:space="preserve">Vyškov, rozšíření DS NN, </w:t>
      </w:r>
      <w:r w:rsidR="00AB1F54">
        <w:rPr>
          <w:rFonts w:ascii="Arial" w:hAnsi="Arial" w:cs="Arial"/>
          <w:b/>
          <w:color w:val="000000"/>
          <w:spacing w:val="-4"/>
          <w:sz w:val="20"/>
        </w:rPr>
        <w:t>7xRD, Klement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46F1BA21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14:paraId="427E5270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032D7359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01AEDCF3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2C5F11ED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563F6BB0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5A1312C8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28C46650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1195D4DF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3C141F44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6B004CA4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058920B9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78B91778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6FC6549F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26A945AF" w14:textId="223D65A5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</w:t>
      </w:r>
      <w:r w:rsidR="001C26E6">
        <w:rPr>
          <w:rFonts w:ascii="Arial" w:hAnsi="Arial" w:cs="Arial"/>
        </w:rPr>
        <w:t>,</w:t>
      </w:r>
      <w:r w:rsidRPr="0073229B">
        <w:rPr>
          <w:rFonts w:ascii="Arial" w:hAnsi="Arial" w:cs="Arial"/>
        </w:rPr>
        <w:t xml:space="preserve">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46E31008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0FEAEB5C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14:paraId="4253E3D7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27588A85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smlouvu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14:paraId="0AC6DAE0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09C76C97" w14:textId="4D9CA9F4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AB1F54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18.8.2025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986DC6">
        <w:rPr>
          <w:rFonts w:ascii="Arial" w:hAnsi="Arial" w:cs="Arial"/>
        </w:rPr>
        <w:t>63989/2025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986DC6">
        <w:rPr>
          <w:rFonts w:ascii="Arial" w:hAnsi="Arial" w:cs="Arial"/>
        </w:rPr>
        <w:t>MOPRE</w:t>
      </w:r>
      <w:r w:rsidR="00BA4CEE">
        <w:rPr>
          <w:rFonts w:ascii="Arial" w:hAnsi="Arial" w:cs="Arial"/>
        </w:rPr>
        <w:t xml:space="preserve"> s.r.o.</w:t>
      </w:r>
      <w:r w:rsidR="00E60DB9">
        <w:rPr>
          <w:rFonts w:ascii="Arial" w:hAnsi="Arial" w:cs="Arial"/>
        </w:rPr>
        <w:t xml:space="preserve">, </w:t>
      </w:r>
      <w:r w:rsidR="00361A28">
        <w:rPr>
          <w:rFonts w:ascii="Arial" w:hAnsi="Arial" w:cs="Arial"/>
        </w:rPr>
        <w:t>XXX</w:t>
      </w:r>
      <w:r w:rsidR="00D375B7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429D8C96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AD45F7">
        <w:rPr>
          <w:rFonts w:ascii="Arial" w:hAnsi="Arial" w:cs="Arial"/>
          <w:iCs/>
        </w:rPr>
        <w:t>5</w:t>
      </w:r>
      <w:r w:rsidRPr="00AD45F7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31272505" w14:textId="77777777" w:rsidR="004031A7" w:rsidRPr="007C272C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45C3F214" w14:textId="77777777" w:rsidR="00F80A3A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lang w:eastAsia="en-US"/>
        </w:rPr>
        <w:t>Budoucí oprávněná se zavazuje, že v případě opravy nebo rekonstrukce stavby ve vlastnictví Budoucího povinného nacházející se</w:t>
      </w:r>
      <w:r w:rsidRPr="0073229B">
        <w:rPr>
          <w:rFonts w:ascii="Arial" w:hAnsi="Arial" w:cs="Arial"/>
          <w:lang w:eastAsia="en-US"/>
        </w:rPr>
        <w:t xml:space="preserve"> na </w:t>
      </w:r>
      <w:r w:rsidR="00740749" w:rsidRPr="00740749">
        <w:rPr>
          <w:rFonts w:ascii="Arial" w:hAnsi="Arial" w:cs="Arial"/>
          <w:lang w:eastAsia="en-US"/>
        </w:rPr>
        <w:t xml:space="preserve">zatížené nemovitosti </w:t>
      </w:r>
      <w:r w:rsidRPr="0073229B">
        <w:rPr>
          <w:rFonts w:ascii="Arial" w:hAnsi="Arial" w:cs="Arial"/>
          <w:lang w:eastAsia="en-US"/>
        </w:rPr>
        <w:t>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092ACB20" w14:textId="77777777" w:rsidR="00986DC6" w:rsidRDefault="004031A7" w:rsidP="00986DC6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Budoucí oprávněná</w:t>
      </w:r>
      <w:r w:rsidRPr="000120C3">
        <w:rPr>
          <w:rFonts w:ascii="Arial" w:hAnsi="Arial" w:cs="Arial"/>
        </w:rPr>
        <w:t xml:space="preserve"> se zavazuj</w:t>
      </w:r>
      <w:r>
        <w:rPr>
          <w:rFonts w:ascii="Arial" w:hAnsi="Arial" w:cs="Arial"/>
        </w:rPr>
        <w:t>e</w:t>
      </w:r>
      <w:r w:rsidRPr="000120C3">
        <w:rPr>
          <w:rFonts w:ascii="Arial" w:hAnsi="Arial" w:cs="Arial"/>
        </w:rPr>
        <w:t xml:space="preserve"> pro případ, že poruší závazek uvedený</w:t>
      </w:r>
      <w:r w:rsidR="00B745AB">
        <w:rPr>
          <w:rFonts w:ascii="Arial" w:hAnsi="Arial" w:cs="Arial"/>
        </w:rPr>
        <w:t xml:space="preserve"> v čl. V. odst. 2, 3</w:t>
      </w:r>
      <w:r w:rsidR="007C2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zaplatit </w:t>
      </w:r>
      <w:r w:rsidRPr="000120C3">
        <w:rPr>
          <w:rFonts w:ascii="Arial" w:hAnsi="Arial" w:cs="Arial"/>
        </w:rPr>
        <w:t xml:space="preserve">smluvní pokutu ve výši </w:t>
      </w:r>
      <w:r>
        <w:rPr>
          <w:rFonts w:ascii="Arial" w:hAnsi="Arial" w:cs="Arial"/>
        </w:rPr>
        <w:t>2</w:t>
      </w:r>
      <w:r w:rsidRPr="000120C3">
        <w:rPr>
          <w:rFonts w:ascii="Arial" w:hAnsi="Arial" w:cs="Arial"/>
        </w:rPr>
        <w:t xml:space="preserve">0 000 Kč za každé jednotlivé porušení smlouvy, a to i opakovaně,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49BF46A4" w14:textId="77777777" w:rsidR="00986DC6" w:rsidRPr="00986DC6" w:rsidRDefault="00986DC6" w:rsidP="00986DC6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986DC6">
        <w:rPr>
          <w:rFonts w:ascii="Arial" w:hAnsi="Arial" w:cs="Arial"/>
          <w:lang w:eastAsia="en-US"/>
        </w:rPr>
        <w:t xml:space="preserve">Tato smlouva nabývá platnosti dnem podpisu a účinnosti dnem uveřejnění v registru smluv v souladu s </w:t>
      </w:r>
      <w:proofErr w:type="spellStart"/>
      <w:r w:rsidRPr="00986DC6">
        <w:rPr>
          <w:rFonts w:ascii="Arial" w:hAnsi="Arial" w:cs="Arial"/>
          <w:lang w:eastAsia="en-US"/>
        </w:rPr>
        <w:t>ust</w:t>
      </w:r>
      <w:proofErr w:type="spellEnd"/>
      <w:r w:rsidRPr="00986DC6">
        <w:rPr>
          <w:rFonts w:ascii="Arial" w:hAnsi="Arial" w:cs="Arial"/>
          <w:lang w:eastAsia="en-US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4A05EE60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6096A8D2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0ED7793A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 </w:t>
      </w:r>
      <w:r w:rsidR="00AD45F7" w:rsidRPr="00AD45F7">
        <w:rPr>
          <w:rFonts w:ascii="Arial" w:hAnsi="Arial" w:cs="Arial"/>
          <w:lang w:eastAsia="en-US"/>
        </w:rPr>
        <w:t>tříleté</w:t>
      </w:r>
      <w:r>
        <w:rPr>
          <w:rFonts w:ascii="Arial" w:hAnsi="Arial" w:cs="Arial"/>
          <w:lang w:eastAsia="en-US"/>
        </w:rPr>
        <w:t xml:space="preserve"> 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>udoucímu 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>udoucímu povinnému doručeno písemné sdělení, má se za to</w:t>
      </w:r>
      <w:r w:rsidR="00986DC6">
        <w:rPr>
          <w:rFonts w:ascii="Arial" w:hAnsi="Arial" w:cs="Arial"/>
          <w:lang w:eastAsia="en-US"/>
        </w:rPr>
        <w:t xml:space="preserve">,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7B525FFD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lastRenderedPageBreak/>
        <w:t>Smluvní strany mohou měnit, doplňovat a upřesňovat tuto smlouvu pouze oboustranně odsouhlasenými a běžně číslovanými písemnými dodatky.</w:t>
      </w:r>
    </w:p>
    <w:p w14:paraId="22395669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0CB4CA65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500D8D">
        <w:rPr>
          <w:rFonts w:ascii="Arial" w:hAnsi="Arial" w:cs="Arial"/>
          <w:sz w:val="20"/>
          <w:lang w:eastAsia="en-US"/>
        </w:rPr>
        <w:t>s.r.o</w:t>
      </w:r>
      <w:r w:rsidR="005B6570">
        <w:rPr>
          <w:rFonts w:ascii="Arial" w:hAnsi="Arial" w:cs="Arial"/>
          <w:sz w:val="20"/>
          <w:lang w:eastAsia="en-US"/>
        </w:rPr>
        <w:t xml:space="preserve">.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0EC54CC7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421F17BB" w14:textId="68877045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Uzavření této smlouvy bylo schváleno usnesením Rady města Vyškova č</w:t>
      </w:r>
      <w:r w:rsidR="009C3D94">
        <w:rPr>
          <w:rFonts w:ascii="Arial" w:hAnsi="Arial" w:cs="Arial"/>
          <w:lang w:eastAsia="en-US"/>
        </w:rPr>
        <w:t xml:space="preserve">. 3706-02 </w:t>
      </w:r>
      <w:r w:rsidRPr="0073229B">
        <w:rPr>
          <w:rFonts w:ascii="Arial" w:hAnsi="Arial" w:cs="Arial"/>
          <w:lang w:eastAsia="en-US"/>
        </w:rPr>
        <w:t xml:space="preserve">ze dne </w:t>
      </w:r>
      <w:r w:rsidR="00004985">
        <w:rPr>
          <w:rFonts w:ascii="Arial" w:hAnsi="Arial" w:cs="Arial"/>
          <w:lang w:eastAsia="en-US"/>
        </w:rPr>
        <w:t>17.9.</w:t>
      </w:r>
      <w:r w:rsidR="00500D8D">
        <w:rPr>
          <w:rFonts w:ascii="Arial" w:hAnsi="Arial" w:cs="Arial"/>
          <w:lang w:eastAsia="en-US"/>
        </w:rPr>
        <w:t>2025</w:t>
      </w:r>
      <w:r w:rsidRPr="0073229B">
        <w:rPr>
          <w:rFonts w:ascii="Arial" w:hAnsi="Arial" w:cs="Arial"/>
          <w:lang w:eastAsia="en-US"/>
        </w:rPr>
        <w:t>.</w:t>
      </w:r>
    </w:p>
    <w:p w14:paraId="3DDE2592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0E541434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C58AF">
        <w:rPr>
          <w:rFonts w:ascii="Arial" w:hAnsi="Arial" w:cs="Arial"/>
          <w:sz w:val="20"/>
          <w:lang w:eastAsia="en-US"/>
        </w:rPr>
        <w:t>Koordinační</w:t>
      </w:r>
      <w:r w:rsidR="003A27BE">
        <w:rPr>
          <w:rFonts w:ascii="Arial" w:hAnsi="Arial" w:cs="Arial"/>
          <w:sz w:val="20"/>
          <w:lang w:eastAsia="en-US"/>
        </w:rPr>
        <w:t xml:space="preserve"> 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4A97D147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14:paraId="06C9CFCA" w14:textId="77777777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3D446816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0459DEED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14:paraId="5288C229" w14:textId="77777777" w:rsidTr="00617FA1">
        <w:trPr>
          <w:cantSplit/>
          <w:trHeight w:val="480"/>
        </w:trPr>
        <w:tc>
          <w:tcPr>
            <w:tcW w:w="5103" w:type="dxa"/>
            <w:gridSpan w:val="2"/>
          </w:tcPr>
          <w:p w14:paraId="073539E0" w14:textId="1EC87162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 w:rsidR="00361A28">
              <w:rPr>
                <w:rFonts w:ascii="Arial" w:hAnsi="Arial" w:cs="Arial"/>
              </w:rPr>
              <w:t>11.11.2025</w:t>
            </w:r>
          </w:p>
        </w:tc>
        <w:tc>
          <w:tcPr>
            <w:tcW w:w="5103" w:type="dxa"/>
            <w:gridSpan w:val="2"/>
          </w:tcPr>
          <w:p w14:paraId="1FF9F069" w14:textId="749CEFF1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361A28">
              <w:rPr>
                <w:rFonts w:ascii="Arial" w:hAnsi="Arial" w:cs="Arial"/>
              </w:rPr>
              <w:t>27.10.2025</w:t>
            </w:r>
          </w:p>
        </w:tc>
      </w:tr>
      <w:tr w:rsidR="000A1ED2" w:rsidRPr="0073229B" w14:paraId="2405FF2F" w14:textId="77777777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638D8CD0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485FF34F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14:paraId="7082702D" w14:textId="77777777" w:rsidTr="00617FA1">
        <w:trPr>
          <w:cantSplit/>
          <w:trHeight w:val="836"/>
        </w:trPr>
        <w:tc>
          <w:tcPr>
            <w:tcW w:w="4820" w:type="dxa"/>
          </w:tcPr>
          <w:p w14:paraId="151B6D9E" w14:textId="77777777"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5848FB12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2D4D5FB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A21BC00" w14:textId="77777777"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500D8D">
              <w:rPr>
                <w:rFonts w:ascii="Arial" w:hAnsi="Arial" w:cs="Arial"/>
                <w:b/>
                <w:iCs/>
              </w:rPr>
              <w:t>s.r.o.</w:t>
            </w:r>
          </w:p>
          <w:p w14:paraId="3B362039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267EFB7B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14:paraId="3DD8F9AE" w14:textId="77777777" w:rsidTr="00617FA1">
        <w:trPr>
          <w:cantSplit/>
          <w:trHeight w:val="821"/>
        </w:trPr>
        <w:tc>
          <w:tcPr>
            <w:tcW w:w="4820" w:type="dxa"/>
          </w:tcPr>
          <w:p w14:paraId="57166E06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1287C9CE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7E558D58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331C5AF0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61D9674D" w14:textId="77777777"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6C5CE510" w14:textId="77777777"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42CC8CD3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C4357CA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7E8BB1C0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502F1CFE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3A781B0F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2CB2DFAC" w14:textId="3AFF9C28" w:rsidR="002817CE" w:rsidRDefault="00361A28" w:rsidP="00B77915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653B9F6D" w14:textId="77777777" w:rsidR="00B77915" w:rsidRPr="006D2C6C" w:rsidRDefault="002817CE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77915" w:rsidRPr="006D2C6C">
              <w:rPr>
                <w:rFonts w:ascii="Arial" w:hAnsi="Arial" w:cs="Arial"/>
              </w:rPr>
              <w:t xml:space="preserve">echnik </w:t>
            </w:r>
            <w:r>
              <w:rPr>
                <w:rFonts w:ascii="Arial" w:hAnsi="Arial" w:cs="Arial"/>
              </w:rPr>
              <w:t>výstavby a obnovy DS</w:t>
            </w:r>
          </w:p>
          <w:p w14:paraId="3B5FFF8D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CDB8DBA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47EF4B46" w14:textId="77777777"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422785B6" w14:textId="77777777" w:rsidR="00B058A9" w:rsidRPr="00391CB3" w:rsidRDefault="00B058A9" w:rsidP="00B058A9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01416353" w14:textId="77777777" w:rsidR="007F7E9C" w:rsidRDefault="007F7E9C" w:rsidP="00CE2437">
      <w:pPr>
        <w:jc w:val="both"/>
        <w:rPr>
          <w:sz w:val="24"/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0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0498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5ADB"/>
    <w:rsid w:val="00127580"/>
    <w:rsid w:val="00140EF0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26E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E5C"/>
    <w:rsid w:val="002A792A"/>
    <w:rsid w:val="002B0D56"/>
    <w:rsid w:val="002B1747"/>
    <w:rsid w:val="002B5BC6"/>
    <w:rsid w:val="002B60D9"/>
    <w:rsid w:val="002C2E69"/>
    <w:rsid w:val="002C3386"/>
    <w:rsid w:val="002D59EC"/>
    <w:rsid w:val="002E0569"/>
    <w:rsid w:val="002E0B3C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5B1D"/>
    <w:rsid w:val="00341CE4"/>
    <w:rsid w:val="0034475A"/>
    <w:rsid w:val="00353656"/>
    <w:rsid w:val="0035544C"/>
    <w:rsid w:val="00355A27"/>
    <w:rsid w:val="00361A28"/>
    <w:rsid w:val="00366B5B"/>
    <w:rsid w:val="00370EAE"/>
    <w:rsid w:val="0037224F"/>
    <w:rsid w:val="0039212A"/>
    <w:rsid w:val="003929DB"/>
    <w:rsid w:val="00393AC0"/>
    <w:rsid w:val="00393E9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0D8D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27127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2DC8"/>
    <w:rsid w:val="00604E5F"/>
    <w:rsid w:val="00605781"/>
    <w:rsid w:val="0060670D"/>
    <w:rsid w:val="00607F2C"/>
    <w:rsid w:val="00616B7D"/>
    <w:rsid w:val="0062260E"/>
    <w:rsid w:val="00643DAB"/>
    <w:rsid w:val="006504AD"/>
    <w:rsid w:val="00653521"/>
    <w:rsid w:val="006547F4"/>
    <w:rsid w:val="00655EA5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6B16"/>
    <w:rsid w:val="006E06DC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0749"/>
    <w:rsid w:val="00741C2B"/>
    <w:rsid w:val="007434CD"/>
    <w:rsid w:val="007445E2"/>
    <w:rsid w:val="007471CB"/>
    <w:rsid w:val="00750F90"/>
    <w:rsid w:val="00751C88"/>
    <w:rsid w:val="00752326"/>
    <w:rsid w:val="00760920"/>
    <w:rsid w:val="007645EE"/>
    <w:rsid w:val="00765A15"/>
    <w:rsid w:val="007678F9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C58AF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9004C3"/>
    <w:rsid w:val="00906E83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86DC6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3D94"/>
    <w:rsid w:val="009C5F68"/>
    <w:rsid w:val="009C6607"/>
    <w:rsid w:val="009D0DDD"/>
    <w:rsid w:val="009D1F55"/>
    <w:rsid w:val="009D2B4B"/>
    <w:rsid w:val="009D34E3"/>
    <w:rsid w:val="009D56E9"/>
    <w:rsid w:val="009D6C65"/>
    <w:rsid w:val="009E32C8"/>
    <w:rsid w:val="009E41F8"/>
    <w:rsid w:val="009E696F"/>
    <w:rsid w:val="009E6C31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B84"/>
    <w:rsid w:val="00A84344"/>
    <w:rsid w:val="00AA3D24"/>
    <w:rsid w:val="00AA4B7D"/>
    <w:rsid w:val="00AA52D6"/>
    <w:rsid w:val="00AA5E6F"/>
    <w:rsid w:val="00AA69E9"/>
    <w:rsid w:val="00AB0960"/>
    <w:rsid w:val="00AB1F54"/>
    <w:rsid w:val="00AB3F2B"/>
    <w:rsid w:val="00AB4AF4"/>
    <w:rsid w:val="00AB512E"/>
    <w:rsid w:val="00AB7897"/>
    <w:rsid w:val="00AC3AD9"/>
    <w:rsid w:val="00AC48D0"/>
    <w:rsid w:val="00AC7425"/>
    <w:rsid w:val="00AD1226"/>
    <w:rsid w:val="00AD28C4"/>
    <w:rsid w:val="00AD393B"/>
    <w:rsid w:val="00AD45F7"/>
    <w:rsid w:val="00AD6149"/>
    <w:rsid w:val="00AE53A6"/>
    <w:rsid w:val="00AE6186"/>
    <w:rsid w:val="00AE7411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516A6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C07D0"/>
    <w:rsid w:val="00BD16DD"/>
    <w:rsid w:val="00BD307F"/>
    <w:rsid w:val="00BD34F8"/>
    <w:rsid w:val="00BD5CCB"/>
    <w:rsid w:val="00BE196B"/>
    <w:rsid w:val="00BE2BEE"/>
    <w:rsid w:val="00BE55BE"/>
    <w:rsid w:val="00BE6D3E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1F94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52E2"/>
    <w:rsid w:val="00DF49DE"/>
    <w:rsid w:val="00DF61AA"/>
    <w:rsid w:val="00E07BF0"/>
    <w:rsid w:val="00E12579"/>
    <w:rsid w:val="00E131B3"/>
    <w:rsid w:val="00E2331B"/>
    <w:rsid w:val="00E23977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08A5"/>
    <w:rsid w:val="00F33CDB"/>
    <w:rsid w:val="00F358F9"/>
    <w:rsid w:val="00F400E8"/>
    <w:rsid w:val="00F46BD3"/>
    <w:rsid w:val="00F46D7D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2C8C6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0C09-40E8-4B93-AFEE-A04AB2E0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0</TotalTime>
  <Pages>4</Pages>
  <Words>1784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3</cp:revision>
  <cp:lastPrinted>2025-09-26T06:06:00Z</cp:lastPrinted>
  <dcterms:created xsi:type="dcterms:W3CDTF">2025-11-24T16:12:00Z</dcterms:created>
  <dcterms:modified xsi:type="dcterms:W3CDTF">2025-11-26T15:50:00Z</dcterms:modified>
</cp:coreProperties>
</file>