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591CEA">
        <w:t>372</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r w:rsidR="00591CEA">
        <w:rPr>
          <w:b/>
          <w:sz w:val="24"/>
        </w:rPr>
        <w:t xml:space="preserve">FEM </w:t>
      </w:r>
      <w:proofErr w:type="spellStart"/>
      <w:r w:rsidR="00591CEA">
        <w:rPr>
          <w:b/>
          <w:sz w:val="24"/>
        </w:rPr>
        <w:t>consulting</w:t>
      </w:r>
      <w:proofErr w:type="spellEnd"/>
      <w:r w:rsidR="00591CEA">
        <w:rPr>
          <w:b/>
          <w:sz w:val="24"/>
        </w:rPr>
        <w:t>, s.r.o.</w:t>
      </w:r>
    </w:p>
    <w:p w:rsidR="00402AFA" w:rsidRDefault="00402AFA" w:rsidP="00410070">
      <w:pPr>
        <w:tabs>
          <w:tab w:val="left" w:pos="1985"/>
        </w:tabs>
        <w:spacing w:line="230" w:lineRule="exact"/>
        <w:rPr>
          <w:b/>
          <w:bCs/>
          <w:sz w:val="24"/>
        </w:rPr>
      </w:pPr>
      <w:r>
        <w:rPr>
          <w:sz w:val="24"/>
        </w:rPr>
        <w:t>se sídlem:</w:t>
      </w:r>
      <w:r>
        <w:rPr>
          <w:b/>
          <w:bCs/>
          <w:sz w:val="24"/>
        </w:rPr>
        <w:tab/>
      </w:r>
      <w:r w:rsidR="00591CEA">
        <w:rPr>
          <w:b/>
          <w:bCs/>
          <w:sz w:val="24"/>
        </w:rPr>
        <w:t xml:space="preserve">Veveří 331/95, Veveří, </w:t>
      </w:r>
      <w:proofErr w:type="gramStart"/>
      <w:r w:rsidR="00591CEA">
        <w:rPr>
          <w:b/>
          <w:bCs/>
          <w:sz w:val="24"/>
        </w:rPr>
        <w:t>602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591CEA">
        <w:rPr>
          <w:sz w:val="24"/>
        </w:rPr>
        <w:t>449 61 464</w:t>
      </w:r>
    </w:p>
    <w:p w:rsidR="00402AFA" w:rsidRPr="001124B3" w:rsidRDefault="003D0091" w:rsidP="001124B3">
      <w:pPr>
        <w:pStyle w:val="Nadpis4"/>
        <w:rPr>
          <w:bCs/>
        </w:rPr>
      </w:pPr>
      <w:r>
        <w:t>DIČ:</w:t>
      </w:r>
      <w:r w:rsidR="00402AFA">
        <w:rPr>
          <w:b/>
          <w:bCs/>
        </w:rPr>
        <w:tab/>
      </w:r>
      <w:r w:rsidR="001124B3">
        <w:rPr>
          <w:bCs/>
        </w:rPr>
        <w:t xml:space="preserve">                     </w:t>
      </w:r>
      <w:r w:rsidR="00591CEA">
        <w:rPr>
          <w:bCs/>
        </w:rPr>
        <w:t>CZ 449 61 464</w:t>
      </w:r>
      <w:r w:rsidR="001124B3">
        <w:rPr>
          <w:bCs/>
        </w:rPr>
        <w:t xml:space="preserve"> </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591CEA">
        <w:rPr>
          <w:sz w:val="24"/>
        </w:rPr>
        <w:t>Brně</w:t>
      </w:r>
      <w:r w:rsidR="00410070">
        <w:rPr>
          <w:sz w:val="24"/>
        </w:rPr>
        <w:t>,</w:t>
      </w:r>
      <w:r>
        <w:rPr>
          <w:sz w:val="24"/>
        </w:rPr>
        <w:t xml:space="preserve"> oddíl</w:t>
      </w:r>
      <w:r w:rsidR="00591CEA">
        <w:rPr>
          <w:sz w:val="24"/>
        </w:rPr>
        <w:t xml:space="preserve"> C</w:t>
      </w:r>
      <w:r>
        <w:rPr>
          <w:sz w:val="24"/>
        </w:rPr>
        <w:t>,</w:t>
      </w:r>
      <w:r w:rsidR="00D74815">
        <w:rPr>
          <w:sz w:val="24"/>
        </w:rPr>
        <w:t xml:space="preserve"> </w:t>
      </w:r>
      <w:r>
        <w:rPr>
          <w:sz w:val="24"/>
        </w:rPr>
        <w:t xml:space="preserve">vložka </w:t>
      </w:r>
      <w:r w:rsidR="00591CEA">
        <w:rPr>
          <w:sz w:val="24"/>
        </w:rPr>
        <w:t>4025</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591CEA">
        <w:rPr>
          <w:b/>
          <w:sz w:val="24"/>
        </w:rPr>
        <w:t>Doc. Ing. Ivanem Němcem, CSc.</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591CEA">
        <w:rPr>
          <w:sz w:val="24"/>
        </w:rPr>
        <w:t>jednatelem</w:t>
      </w:r>
      <w:proofErr w:type="gramEnd"/>
      <w:r w:rsidR="00591CEA">
        <w:rPr>
          <w:sz w:val="24"/>
        </w:rPr>
        <w:t xml:space="preserve"> společnosti</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591CEA">
        <w:rPr>
          <w:b/>
          <w:sz w:val="24"/>
        </w:rPr>
        <w:t>372</w:t>
      </w:r>
      <w:r w:rsidRPr="00410070">
        <w:rPr>
          <w:b/>
          <w:sz w:val="24"/>
        </w:rPr>
        <w:t xml:space="preserve"> „</w:t>
      </w:r>
      <w:r w:rsidR="00591CEA">
        <w:rPr>
          <w:b/>
          <w:sz w:val="24"/>
        </w:rPr>
        <w:t>Softwarový nástroj pro nelineární analýzu betonových konstrukcí u rychlých dynamických dějů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0A20C9" w:rsidRPr="00992FBC" w:rsidRDefault="000A20C9">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0A20C9">
        <w:rPr>
          <w:b/>
          <w:bCs/>
        </w:rPr>
        <w:t>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0A20C9">
        <w:rPr>
          <w:b/>
          <w:bCs/>
        </w:rPr>
        <w:t xml:space="preserve">Antonínská 548/1, </w:t>
      </w:r>
      <w:proofErr w:type="gramStart"/>
      <w:r w:rsidR="000A20C9">
        <w:rPr>
          <w:b/>
          <w:bCs/>
        </w:rPr>
        <w:t>602 00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0A20C9">
        <w:rPr>
          <w:b/>
          <w:bCs/>
        </w:rPr>
        <w:t>002 16 305</w:t>
      </w:r>
    </w:p>
    <w:p w:rsidR="00402AFA" w:rsidRPr="00992FBC" w:rsidRDefault="00402AFA">
      <w:pPr>
        <w:pStyle w:val="Zkladntext"/>
        <w:tabs>
          <w:tab w:val="left" w:pos="1843"/>
        </w:tabs>
        <w:ind w:right="-227"/>
        <w:rPr>
          <w:b/>
          <w:bCs/>
          <w:color w:val="FFC000"/>
        </w:rPr>
      </w:pPr>
    </w:p>
    <w:p w:rsidR="003D775D" w:rsidRDefault="003D775D" w:rsidP="00992FBC">
      <w:pPr>
        <w:pStyle w:val="Zkladntext"/>
        <w:tabs>
          <w:tab w:val="left" w:pos="1843"/>
        </w:tabs>
        <w:ind w:right="-227"/>
        <w:rPr>
          <w:b/>
          <w:bCs/>
        </w:rPr>
      </w:pPr>
    </w:p>
    <w:p w:rsidR="000A20C9" w:rsidRDefault="000A20C9"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0A20C9">
        <w:rPr>
          <w:b/>
          <w:sz w:val="24"/>
        </w:rPr>
        <w:t>10/2017 – 09/2020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0A20C9"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0A20C9">
        <w:rPr>
          <w:b/>
          <w:bCs/>
        </w:rPr>
        <w:t>279822764/0300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0A20C9">
        <w:t>ČSOB, a.s.</w:t>
      </w:r>
    </w:p>
    <w:p w:rsidR="003D775D" w:rsidRDefault="003D775D" w:rsidP="00410070">
      <w:pPr>
        <w:pStyle w:val="Zkladntext"/>
        <w:tabs>
          <w:tab w:val="left" w:pos="5387"/>
        </w:tabs>
        <w:jc w:val="left"/>
      </w:pPr>
      <w:r>
        <w:tab/>
      </w:r>
      <w:r w:rsidR="00410070">
        <w:t xml:space="preserve">             </w:t>
      </w:r>
      <w:r w:rsidR="000A20C9">
        <w:t>Veveří 111, Brno</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0A20C9">
        <w:rPr>
          <w:b/>
          <w:bCs/>
          <w:iCs/>
          <w:sz w:val="18"/>
          <w:szCs w:val="18"/>
        </w:rPr>
        <w:t xml:space="preserve">            </w:t>
      </w:r>
      <w:r>
        <w:rPr>
          <w:b/>
          <w:bCs/>
          <w:iCs/>
          <w:sz w:val="18"/>
          <w:szCs w:val="18"/>
        </w:rPr>
        <w:t xml:space="preserve"> </w:t>
      </w:r>
      <w:r w:rsidR="000A20C9">
        <w:rPr>
          <w:b/>
          <w:bCs/>
          <w:iCs/>
          <w:sz w:val="18"/>
          <w:szCs w:val="18"/>
        </w:rPr>
        <w:t xml:space="preserve">FEM </w:t>
      </w:r>
      <w:proofErr w:type="spellStart"/>
      <w:r w:rsidR="000A20C9">
        <w:rPr>
          <w:b/>
          <w:bCs/>
          <w:iCs/>
          <w:sz w:val="18"/>
          <w:szCs w:val="18"/>
        </w:rPr>
        <w:t>consulting</w:t>
      </w:r>
      <w:proofErr w:type="spellEnd"/>
      <w:r w:rsidR="000A20C9">
        <w:rPr>
          <w:b/>
          <w:bCs/>
          <w:iCs/>
          <w:sz w:val="18"/>
          <w:szCs w:val="18"/>
        </w:rPr>
        <w:t>, s.r.o.</w:t>
      </w:r>
    </w:p>
    <w:p w:rsidR="00012F66" w:rsidRPr="00410070" w:rsidRDefault="00410070" w:rsidP="00410070">
      <w:pPr>
        <w:tabs>
          <w:tab w:val="left" w:pos="5812"/>
        </w:tabs>
        <w:rPr>
          <w:b/>
          <w:bCs/>
          <w:iCs/>
          <w:sz w:val="18"/>
          <w:szCs w:val="18"/>
        </w:rPr>
      </w:pPr>
      <w:r>
        <w:rPr>
          <w:b/>
          <w:bCs/>
          <w:iCs/>
          <w:sz w:val="18"/>
          <w:szCs w:val="18"/>
        </w:rPr>
        <w:t xml:space="preserve">                                                                                                                                             </w:t>
      </w:r>
      <w:r w:rsidR="000A20C9">
        <w:rPr>
          <w:b/>
          <w:bCs/>
          <w:iCs/>
          <w:sz w:val="18"/>
          <w:szCs w:val="18"/>
        </w:rPr>
        <w:t xml:space="preserve">Veveří 331/95, Veveří, </w:t>
      </w:r>
      <w:proofErr w:type="gramStart"/>
      <w:r w:rsidR="000A20C9">
        <w:rPr>
          <w:b/>
          <w:bCs/>
          <w:iCs/>
          <w:sz w:val="18"/>
          <w:szCs w:val="18"/>
        </w:rPr>
        <w:t>602 00  Brno</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0A20C9" w:rsidRDefault="000A20C9">
      <w:pPr>
        <w:tabs>
          <w:tab w:val="left" w:pos="993"/>
          <w:tab w:val="left" w:pos="5387"/>
        </w:tabs>
        <w:jc w:val="both"/>
        <w:rPr>
          <w:bCs/>
          <w:sz w:val="24"/>
        </w:rPr>
      </w:pPr>
    </w:p>
    <w:p w:rsidR="000A20C9" w:rsidRPr="00DA7174" w:rsidRDefault="000A20C9">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0A20C9">
        <w:rPr>
          <w:b/>
          <w:bCs/>
          <w:sz w:val="24"/>
        </w:rPr>
        <w:t xml:space="preserve">       Doc. Ing. Ivan Němec, CSc.</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0A20C9">
        <w:rPr>
          <w:bCs/>
        </w:rPr>
        <w:t xml:space="preserve">           </w:t>
      </w:r>
      <w:bookmarkStart w:id="0" w:name="_GoBack"/>
      <w:bookmarkEnd w:id="0"/>
      <w:r w:rsidR="000A20C9">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0A20C9">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591CEA">
      <w:rPr>
        <w:sz w:val="16"/>
        <w:szCs w:val="16"/>
      </w:rPr>
      <w:t>372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20C9"/>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91CEA"/>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4CD3-7794-4E00-81C5-0C49FD2A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F006C369.dotm</Template>
  <TotalTime>37</TotalTime>
  <Pages>11</Pages>
  <Words>4801</Words>
  <Characters>28995</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2017-06-26T11:14:00Z</cp:lastPrinted>
  <dcterms:created xsi:type="dcterms:W3CDTF">2017-06-07T08:15:00Z</dcterms:created>
  <dcterms:modified xsi:type="dcterms:W3CDTF">2017-06-26T11:15:00Z</dcterms:modified>
</cp:coreProperties>
</file>