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CD25" w14:textId="77777777" w:rsidR="00E02FFC" w:rsidRPr="00827953" w:rsidRDefault="00E02FFC" w:rsidP="00E02FFC">
      <w:pPr>
        <w:pStyle w:val="StylDoprava"/>
        <w:rPr>
          <w:rFonts w:cs="Arial"/>
          <w:b/>
          <w:bCs/>
          <w:sz w:val="22"/>
          <w:szCs w:val="22"/>
        </w:rPr>
      </w:pPr>
      <w:r w:rsidRPr="00827953">
        <w:rPr>
          <w:rFonts w:cs="Arial"/>
          <w:b/>
          <w:bCs/>
          <w:sz w:val="22"/>
          <w:szCs w:val="22"/>
        </w:rPr>
        <w:t>Č.j. SPU 465100/2025</w:t>
      </w:r>
    </w:p>
    <w:p w14:paraId="3595CCF9" w14:textId="547373C8" w:rsidR="00E02FFC" w:rsidRDefault="00E02FFC" w:rsidP="00E02FFC">
      <w:pPr>
        <w:pStyle w:val="StylDoprava"/>
        <w:rPr>
          <w:rFonts w:cs="Arial"/>
          <w:sz w:val="22"/>
          <w:szCs w:val="22"/>
        </w:rPr>
      </w:pPr>
      <w:r w:rsidRPr="00827953">
        <w:rPr>
          <w:rFonts w:cs="Arial"/>
          <w:b/>
          <w:bCs/>
          <w:sz w:val="22"/>
          <w:szCs w:val="22"/>
        </w:rPr>
        <w:t>UID:</w:t>
      </w:r>
      <w:r w:rsidR="00827953" w:rsidRPr="00827953">
        <w:rPr>
          <w:rFonts w:cs="Arial"/>
          <w:b/>
          <w:bCs/>
          <w:sz w:val="22"/>
          <w:szCs w:val="22"/>
        </w:rPr>
        <w:t xml:space="preserve"> </w:t>
      </w:r>
      <w:r w:rsidRPr="00827953">
        <w:rPr>
          <w:rFonts w:cs="Arial"/>
          <w:b/>
          <w:bCs/>
          <w:sz w:val="22"/>
          <w:szCs w:val="22"/>
        </w:rPr>
        <w:t>spuess9804df62</w:t>
      </w:r>
    </w:p>
    <w:p w14:paraId="4EE53FB4"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4BC9AEA9"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133E742C"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5DFB693D"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11013E47"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77BED998" w14:textId="6DCDC023"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6FAE9813"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180CF47C"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440BFBF5"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1ACDC7B7"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1054672501</w:t>
      </w:r>
    </w:p>
    <w:p w14:paraId="6373658F"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5D0C13FC" w14:textId="77777777" w:rsidR="00F40520" w:rsidRPr="008A7AC0" w:rsidRDefault="00F40520">
      <w:pPr>
        <w:widowControl/>
        <w:rPr>
          <w:rFonts w:ascii="Arial" w:hAnsi="Arial" w:cs="Arial"/>
          <w:color w:val="000000"/>
          <w:sz w:val="22"/>
          <w:szCs w:val="22"/>
        </w:rPr>
      </w:pPr>
    </w:p>
    <w:p w14:paraId="3367A01C"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29762BCA" w14:textId="77777777" w:rsidR="00F40520" w:rsidRPr="008A7AC0" w:rsidRDefault="00F40520">
      <w:pPr>
        <w:widowControl/>
        <w:tabs>
          <w:tab w:val="left" w:pos="120"/>
        </w:tabs>
        <w:jc w:val="both"/>
        <w:rPr>
          <w:rFonts w:ascii="Arial" w:hAnsi="Arial" w:cs="Arial"/>
          <w:i/>
          <w:iCs/>
          <w:sz w:val="22"/>
          <w:szCs w:val="22"/>
        </w:rPr>
      </w:pPr>
    </w:p>
    <w:p w14:paraId="357AA127" w14:textId="6EE0A3E6"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Hazuková Alena</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74</w:t>
      </w:r>
      <w:r w:rsidR="00476622">
        <w:rPr>
          <w:rFonts w:ascii="Arial" w:hAnsi="Arial" w:cs="Arial"/>
          <w:color w:val="000000"/>
          <w:sz w:val="22"/>
          <w:szCs w:val="22"/>
        </w:rPr>
        <w:t>xxxx</w:t>
      </w:r>
      <w:r w:rsidRPr="008A7AC0">
        <w:rPr>
          <w:rFonts w:ascii="Arial" w:hAnsi="Arial" w:cs="Arial"/>
          <w:color w:val="000000"/>
          <w:sz w:val="22"/>
          <w:szCs w:val="22"/>
        </w:rPr>
        <w:t>/</w:t>
      </w:r>
      <w:proofErr w:type="spellStart"/>
      <w:r w:rsidR="00476622">
        <w:rPr>
          <w:rFonts w:ascii="Arial" w:hAnsi="Arial" w:cs="Arial"/>
          <w:color w:val="000000"/>
          <w:sz w:val="22"/>
          <w:szCs w:val="22"/>
        </w:rPr>
        <w:t>xxxx</w:t>
      </w:r>
      <w:proofErr w:type="spellEnd"/>
      <w:r w:rsidRPr="008A7AC0">
        <w:rPr>
          <w:rFonts w:ascii="Arial" w:hAnsi="Arial" w:cs="Arial"/>
          <w:color w:val="000000"/>
          <w:sz w:val="22"/>
          <w:szCs w:val="22"/>
        </w:rPr>
        <w:t xml:space="preserve">, trvale bytem </w:t>
      </w:r>
      <w:proofErr w:type="spellStart"/>
      <w:r w:rsidR="00476622">
        <w:rPr>
          <w:rFonts w:ascii="Arial" w:hAnsi="Arial" w:cs="Arial"/>
          <w:color w:val="000000"/>
          <w:sz w:val="22"/>
          <w:szCs w:val="22"/>
        </w:rPr>
        <w:t>xxxxxxxxxxxxxxxxx</w:t>
      </w:r>
      <w:proofErr w:type="spellEnd"/>
      <w:r w:rsidRPr="008A7AC0">
        <w:rPr>
          <w:rFonts w:ascii="Arial" w:hAnsi="Arial" w:cs="Arial"/>
          <w:color w:val="000000"/>
          <w:sz w:val="22"/>
          <w:szCs w:val="22"/>
        </w:rPr>
        <w:t xml:space="preserve">, Praha 9 Letňany, </w:t>
      </w:r>
      <w:r w:rsidR="00827953">
        <w:rPr>
          <w:rFonts w:ascii="Arial" w:hAnsi="Arial" w:cs="Arial"/>
          <w:color w:val="000000"/>
          <w:sz w:val="22"/>
          <w:szCs w:val="22"/>
        </w:rPr>
        <w:br/>
      </w:r>
      <w:r w:rsidRPr="008A7AC0">
        <w:rPr>
          <w:rFonts w:ascii="Arial" w:hAnsi="Arial" w:cs="Arial"/>
          <w:color w:val="000000"/>
          <w:sz w:val="22"/>
          <w:szCs w:val="22"/>
        </w:rPr>
        <w:t>PSČ 199 00</w:t>
      </w:r>
    </w:p>
    <w:p w14:paraId="3C85148F"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58727F0D"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3B80EC0A"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5BEC1F10" w14:textId="77777777" w:rsidR="00F40520" w:rsidRDefault="00F40520">
      <w:pPr>
        <w:widowControl/>
        <w:rPr>
          <w:rFonts w:ascii="Arial" w:hAnsi="Arial" w:cs="Arial"/>
          <w:color w:val="000000"/>
          <w:sz w:val="22"/>
          <w:szCs w:val="22"/>
        </w:rPr>
      </w:pPr>
      <w:r w:rsidRPr="008A7AC0">
        <w:rPr>
          <w:rFonts w:ascii="Arial" w:hAnsi="Arial" w:cs="Arial"/>
          <w:color w:val="000000"/>
          <w:sz w:val="22"/>
          <w:szCs w:val="22"/>
        </w:rPr>
        <w:t>uzavírají tuto:</w:t>
      </w:r>
    </w:p>
    <w:p w14:paraId="24697485" w14:textId="77777777" w:rsidR="00827953" w:rsidRPr="008A7AC0" w:rsidRDefault="00827953">
      <w:pPr>
        <w:widowControl/>
        <w:rPr>
          <w:rFonts w:ascii="Arial" w:hAnsi="Arial" w:cs="Arial"/>
          <w:sz w:val="22"/>
          <w:szCs w:val="22"/>
        </w:rPr>
      </w:pPr>
    </w:p>
    <w:p w14:paraId="0C708414"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5387AFE2" w14:textId="77777777" w:rsidR="00F40520" w:rsidRPr="008A7AC0" w:rsidRDefault="00F40520">
      <w:pPr>
        <w:widowControl/>
        <w:rPr>
          <w:rFonts w:ascii="Arial" w:hAnsi="Arial" w:cs="Arial"/>
          <w:b/>
          <w:bCs/>
          <w:sz w:val="22"/>
          <w:szCs w:val="22"/>
        </w:rPr>
      </w:pPr>
    </w:p>
    <w:p w14:paraId="177348E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1054672501</w:t>
      </w:r>
    </w:p>
    <w:p w14:paraId="3CC134B7" w14:textId="77777777" w:rsidR="00F40520" w:rsidRDefault="00F40520">
      <w:pPr>
        <w:widowControl/>
        <w:rPr>
          <w:rFonts w:ascii="Arial" w:hAnsi="Arial" w:cs="Arial"/>
          <w:sz w:val="22"/>
          <w:szCs w:val="22"/>
        </w:rPr>
      </w:pPr>
    </w:p>
    <w:p w14:paraId="4C50236D" w14:textId="77777777" w:rsidR="00827953" w:rsidRPr="008A7AC0" w:rsidRDefault="00827953">
      <w:pPr>
        <w:widowControl/>
        <w:rPr>
          <w:rFonts w:ascii="Arial" w:hAnsi="Arial" w:cs="Arial"/>
          <w:sz w:val="22"/>
          <w:szCs w:val="22"/>
        </w:rPr>
      </w:pPr>
    </w:p>
    <w:p w14:paraId="5B10260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159084D6" w14:textId="649603FB"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827953">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827953" w:rsidRPr="008A7AC0">
        <w:rPr>
          <w:rFonts w:ascii="Arial" w:hAnsi="Arial" w:cs="Arial"/>
          <w:sz w:val="22"/>
          <w:szCs w:val="22"/>
        </w:rPr>
        <w:t>Praha na</w:t>
      </w:r>
      <w:r w:rsidR="00F40520" w:rsidRPr="008A7AC0">
        <w:rPr>
          <w:rFonts w:ascii="Arial" w:hAnsi="Arial" w:cs="Arial"/>
          <w:sz w:val="22"/>
          <w:szCs w:val="22"/>
        </w:rPr>
        <w:t xml:space="preserve"> LV 10 002:</w:t>
      </w:r>
    </w:p>
    <w:p w14:paraId="6444BD7D"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3C2643A5"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22FDE59D"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015E7541"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1FC50174"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4648/64</w:t>
      </w:r>
      <w:r w:rsidRPr="008A7AC0">
        <w:rPr>
          <w:rFonts w:ascii="Arial" w:hAnsi="Arial" w:cs="Arial"/>
          <w:sz w:val="18"/>
          <w:szCs w:val="18"/>
        </w:rPr>
        <w:tab/>
        <w:t>zastavěná plocha a nádvoří</w:t>
      </w:r>
    </w:p>
    <w:p w14:paraId="63D57384" w14:textId="77777777" w:rsidR="00F40520" w:rsidRPr="008A7AC0" w:rsidRDefault="00F40520">
      <w:pPr>
        <w:pStyle w:val="obec1"/>
        <w:widowControl/>
        <w:rPr>
          <w:rFonts w:ascii="Arial" w:hAnsi="Arial" w:cs="Arial"/>
          <w:sz w:val="18"/>
          <w:szCs w:val="18"/>
        </w:rPr>
      </w:pPr>
    </w:p>
    <w:p w14:paraId="0EBD7306"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14F263BB"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4648/274</w:t>
      </w:r>
      <w:r w:rsidRPr="008A7AC0">
        <w:rPr>
          <w:rFonts w:ascii="Arial" w:hAnsi="Arial" w:cs="Arial"/>
          <w:sz w:val="18"/>
          <w:szCs w:val="18"/>
        </w:rPr>
        <w:tab/>
        <w:t>ostatní plocha</w:t>
      </w:r>
    </w:p>
    <w:p w14:paraId="31E8B967"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481D6E4C" w14:textId="77777777"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7AA531AB" w14:textId="77777777" w:rsidR="00827953" w:rsidRDefault="00827953">
      <w:pPr>
        <w:widowControl/>
        <w:rPr>
          <w:rFonts w:ascii="Arial" w:hAnsi="Arial" w:cs="Arial"/>
          <w:sz w:val="22"/>
          <w:szCs w:val="22"/>
        </w:rPr>
      </w:pPr>
    </w:p>
    <w:p w14:paraId="0229AD44" w14:textId="77777777" w:rsidR="00827953" w:rsidRPr="008A7AC0" w:rsidRDefault="00827953">
      <w:pPr>
        <w:widowControl/>
        <w:rPr>
          <w:rFonts w:ascii="Arial" w:hAnsi="Arial" w:cs="Arial"/>
          <w:sz w:val="22"/>
          <w:szCs w:val="22"/>
        </w:rPr>
      </w:pPr>
    </w:p>
    <w:p w14:paraId="2C1D3732"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77DB4DFB" w14:textId="6751B5C1"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3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w:t>
      </w:r>
      <w:r w:rsidR="00827953" w:rsidRPr="008A7AC0">
        <w:rPr>
          <w:rFonts w:ascii="Arial" w:hAnsi="Arial" w:cs="Arial"/>
          <w:sz w:val="22"/>
          <w:szCs w:val="22"/>
        </w:rPr>
        <w:t xml:space="preserve">účinném </w:t>
      </w:r>
      <w:r w:rsidR="00827953" w:rsidRPr="00C03BBA">
        <w:rPr>
          <w:rFonts w:ascii="Arial" w:hAnsi="Arial" w:cs="Arial"/>
          <w:sz w:val="22"/>
          <w:szCs w:val="22"/>
        </w:rPr>
        <w:t>do</w:t>
      </w:r>
      <w:r w:rsidR="00F10AB0">
        <w:rPr>
          <w:rFonts w:ascii="Arial" w:hAnsi="Arial" w:cs="Arial"/>
          <w:sz w:val="22"/>
          <w:szCs w:val="22"/>
        </w:rPr>
        <w:t xml:space="preserve"> 31.12.2013</w:t>
      </w:r>
      <w:r w:rsidR="00F10AB0" w:rsidRPr="00F935EF">
        <w:rPr>
          <w:rFonts w:ascii="Arial" w:hAnsi="Arial" w:cs="Arial"/>
          <w:sz w:val="22"/>
          <w:szCs w:val="22"/>
        </w:rPr>
        <w:t xml:space="preserve"> (viz. přechodná ustanovení</w:t>
      </w:r>
      <w:r w:rsidR="00F10AB0">
        <w:rPr>
          <w:rFonts w:ascii="Arial" w:hAnsi="Arial" w:cs="Arial"/>
          <w:sz w:val="22"/>
          <w:szCs w:val="22"/>
        </w:rPr>
        <w:t xml:space="preserve"> </w:t>
      </w:r>
      <w:r w:rsidR="00F10AB0" w:rsidRPr="004C3A4A">
        <w:rPr>
          <w:rFonts w:ascii="Arial" w:hAnsi="Arial" w:cs="Arial"/>
          <w:sz w:val="22"/>
          <w:szCs w:val="22"/>
        </w:rPr>
        <w:t>§ 22 odst. 11</w:t>
      </w:r>
      <w:r w:rsidR="00F10AB0" w:rsidRPr="00F935EF">
        <w:rPr>
          <w:rFonts w:ascii="Arial" w:hAnsi="Arial" w:cs="Arial"/>
          <w:sz w:val="22"/>
          <w:szCs w:val="22"/>
        </w:rPr>
        <w:t>)</w:t>
      </w:r>
      <w:r w:rsidR="00F10AB0" w:rsidRPr="00CC06C7">
        <w:rPr>
          <w:rFonts w:ascii="Arial" w:hAnsi="Arial" w:cs="Arial"/>
          <w:sz w:val="22"/>
          <w:szCs w:val="22"/>
        </w:rPr>
        <w:t>.</w:t>
      </w:r>
    </w:p>
    <w:p w14:paraId="2AFF1DD2" w14:textId="77777777" w:rsidR="00827953" w:rsidRPr="008A7AC0" w:rsidRDefault="00827953" w:rsidP="00FE02E0">
      <w:pPr>
        <w:widowControl/>
        <w:ind w:firstLine="426"/>
        <w:jc w:val="both"/>
        <w:rPr>
          <w:rFonts w:ascii="Arial" w:hAnsi="Arial" w:cs="Arial"/>
          <w:b/>
          <w:bCs/>
          <w:sz w:val="22"/>
          <w:szCs w:val="22"/>
        </w:rPr>
      </w:pPr>
    </w:p>
    <w:p w14:paraId="334B87B3"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73A1BF0F"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14:paraId="1F2B84E8" w14:textId="77777777" w:rsidR="00F40520" w:rsidRDefault="00F40520">
      <w:pPr>
        <w:widowControl/>
        <w:ind w:firstLine="426"/>
        <w:jc w:val="both"/>
        <w:rPr>
          <w:rFonts w:ascii="Arial" w:hAnsi="Arial" w:cs="Arial"/>
          <w:sz w:val="22"/>
          <w:szCs w:val="22"/>
        </w:rPr>
      </w:pPr>
    </w:p>
    <w:p w14:paraId="651E2352" w14:textId="77777777" w:rsidR="00827953" w:rsidRDefault="00827953">
      <w:pPr>
        <w:widowControl/>
        <w:ind w:firstLine="426"/>
        <w:jc w:val="both"/>
        <w:rPr>
          <w:rFonts w:ascii="Arial" w:hAnsi="Arial" w:cs="Arial"/>
          <w:sz w:val="22"/>
          <w:szCs w:val="22"/>
        </w:rPr>
      </w:pPr>
    </w:p>
    <w:p w14:paraId="719151CB" w14:textId="77777777" w:rsidR="00827953" w:rsidRPr="008A7AC0" w:rsidRDefault="00827953">
      <w:pPr>
        <w:widowControl/>
        <w:ind w:firstLine="426"/>
        <w:jc w:val="both"/>
        <w:rPr>
          <w:rFonts w:ascii="Arial" w:hAnsi="Arial" w:cs="Arial"/>
          <w:sz w:val="22"/>
          <w:szCs w:val="22"/>
        </w:rPr>
      </w:pPr>
    </w:p>
    <w:p w14:paraId="639685D5"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t>IV.</w:t>
      </w:r>
    </w:p>
    <w:p w14:paraId="20991625" w14:textId="4D37C59D"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827953"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1FB4A825" w14:textId="77777777">
        <w:tc>
          <w:tcPr>
            <w:tcW w:w="2150" w:type="dxa"/>
            <w:tcBorders>
              <w:top w:val="single" w:sz="6" w:space="0" w:color="auto"/>
              <w:left w:val="single" w:sz="6" w:space="0" w:color="auto"/>
              <w:bottom w:val="single" w:sz="6" w:space="0" w:color="auto"/>
              <w:right w:val="single" w:sz="6" w:space="0" w:color="auto"/>
            </w:tcBorders>
          </w:tcPr>
          <w:p w14:paraId="2BF35425" w14:textId="77777777" w:rsidR="00BC0356" w:rsidRPr="004514FC" w:rsidRDefault="00BC0356">
            <w:pPr>
              <w:widowControl/>
              <w:jc w:val="center"/>
              <w:rPr>
                <w:rFonts w:ascii="Arial" w:hAnsi="Arial" w:cs="Arial"/>
                <w:sz w:val="18"/>
                <w:szCs w:val="18"/>
              </w:rPr>
            </w:pPr>
          </w:p>
          <w:p w14:paraId="30EFECF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7F621A7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719F230B" w14:textId="77777777" w:rsidR="00BC0356" w:rsidRPr="004514FC" w:rsidRDefault="00BC0356">
            <w:pPr>
              <w:widowControl/>
              <w:jc w:val="center"/>
              <w:rPr>
                <w:rFonts w:ascii="Arial" w:hAnsi="Arial" w:cs="Arial"/>
                <w:sz w:val="18"/>
                <w:szCs w:val="18"/>
              </w:rPr>
            </w:pPr>
          </w:p>
          <w:p w14:paraId="01106419"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6CDCB360" w14:textId="77777777" w:rsidR="00BC0356" w:rsidRPr="004514FC" w:rsidRDefault="00BC0356">
            <w:pPr>
              <w:widowControl/>
              <w:jc w:val="center"/>
              <w:rPr>
                <w:rFonts w:ascii="Arial" w:hAnsi="Arial" w:cs="Arial"/>
                <w:sz w:val="18"/>
                <w:szCs w:val="18"/>
              </w:rPr>
            </w:pPr>
          </w:p>
          <w:p w14:paraId="69DA4EBA"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770B2DA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02E44C93"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0B5A474C" w14:textId="77777777" w:rsidR="00BC0356" w:rsidRPr="004514FC" w:rsidRDefault="00BC0356">
            <w:pPr>
              <w:widowControl/>
              <w:jc w:val="center"/>
              <w:rPr>
                <w:rFonts w:ascii="Arial" w:hAnsi="Arial" w:cs="Arial"/>
                <w:sz w:val="18"/>
                <w:szCs w:val="18"/>
              </w:rPr>
            </w:pPr>
          </w:p>
          <w:p w14:paraId="216DE250"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0F8FEE46"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531E1F4B" w14:textId="77777777">
        <w:tc>
          <w:tcPr>
            <w:tcW w:w="2150" w:type="dxa"/>
            <w:tcBorders>
              <w:top w:val="single" w:sz="6" w:space="0" w:color="auto"/>
              <w:left w:val="single" w:sz="6" w:space="0" w:color="auto"/>
              <w:bottom w:val="single" w:sz="6" w:space="0" w:color="auto"/>
              <w:right w:val="single" w:sz="6" w:space="0" w:color="auto"/>
            </w:tcBorders>
          </w:tcPr>
          <w:p w14:paraId="70A351D1"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4486B43A"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4648/64</w:t>
            </w:r>
          </w:p>
        </w:tc>
        <w:tc>
          <w:tcPr>
            <w:tcW w:w="2016" w:type="dxa"/>
            <w:tcBorders>
              <w:top w:val="single" w:sz="6" w:space="0" w:color="auto"/>
              <w:left w:val="single" w:sz="6" w:space="0" w:color="auto"/>
              <w:bottom w:val="single" w:sz="6" w:space="0" w:color="auto"/>
              <w:right w:val="single" w:sz="6" w:space="0" w:color="auto"/>
            </w:tcBorders>
          </w:tcPr>
          <w:p w14:paraId="7EBCE983" w14:textId="77777777" w:rsidR="00BC0356" w:rsidRPr="004514FC" w:rsidRDefault="00BC0356" w:rsidP="00827953">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40 520,00 Kč</w:t>
            </w:r>
          </w:p>
        </w:tc>
        <w:tc>
          <w:tcPr>
            <w:tcW w:w="1882" w:type="dxa"/>
            <w:tcBorders>
              <w:top w:val="single" w:sz="6" w:space="0" w:color="auto"/>
              <w:left w:val="single" w:sz="6" w:space="0" w:color="auto"/>
              <w:bottom w:val="single" w:sz="6" w:space="0" w:color="auto"/>
              <w:right w:val="single" w:sz="6" w:space="0" w:color="auto"/>
            </w:tcBorders>
          </w:tcPr>
          <w:p w14:paraId="30573BA1" w14:textId="77777777" w:rsidR="00BC0356" w:rsidRPr="004514FC" w:rsidRDefault="00BC0356" w:rsidP="00827953">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4 052,00 Kč</w:t>
            </w:r>
          </w:p>
        </w:tc>
        <w:tc>
          <w:tcPr>
            <w:tcW w:w="1882" w:type="dxa"/>
            <w:tcBorders>
              <w:top w:val="single" w:sz="6" w:space="0" w:color="auto"/>
              <w:left w:val="single" w:sz="6" w:space="0" w:color="auto"/>
              <w:bottom w:val="single" w:sz="6" w:space="0" w:color="auto"/>
              <w:right w:val="single" w:sz="6" w:space="0" w:color="auto"/>
            </w:tcBorders>
          </w:tcPr>
          <w:p w14:paraId="1D975ED7" w14:textId="77777777" w:rsidR="00BC0356" w:rsidRPr="004514FC" w:rsidRDefault="00BC0356" w:rsidP="00827953">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36 468,00 Kč</w:t>
            </w:r>
          </w:p>
        </w:tc>
      </w:tr>
      <w:tr w:rsidR="00BC0356" w:rsidRPr="004514FC" w14:paraId="124A2C11" w14:textId="77777777">
        <w:tc>
          <w:tcPr>
            <w:tcW w:w="2150" w:type="dxa"/>
            <w:tcBorders>
              <w:top w:val="single" w:sz="6" w:space="0" w:color="auto"/>
              <w:left w:val="single" w:sz="6" w:space="0" w:color="auto"/>
              <w:bottom w:val="single" w:sz="6" w:space="0" w:color="auto"/>
              <w:right w:val="single" w:sz="6" w:space="0" w:color="auto"/>
            </w:tcBorders>
          </w:tcPr>
          <w:p w14:paraId="45A35B2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26EC0DD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4648/274</w:t>
            </w:r>
          </w:p>
        </w:tc>
        <w:tc>
          <w:tcPr>
            <w:tcW w:w="2016" w:type="dxa"/>
            <w:tcBorders>
              <w:top w:val="single" w:sz="6" w:space="0" w:color="auto"/>
              <w:left w:val="single" w:sz="6" w:space="0" w:color="auto"/>
              <w:bottom w:val="single" w:sz="6" w:space="0" w:color="auto"/>
              <w:right w:val="single" w:sz="6" w:space="0" w:color="auto"/>
            </w:tcBorders>
          </w:tcPr>
          <w:p w14:paraId="48DC509E" w14:textId="77777777" w:rsidR="00BC0356" w:rsidRPr="004514FC" w:rsidRDefault="00BC0356" w:rsidP="00827953">
            <w:pPr>
              <w:widowControl/>
              <w:jc w:val="right"/>
              <w:rPr>
                <w:rFonts w:ascii="Arial" w:hAnsi="Arial" w:cs="Arial"/>
                <w:sz w:val="18"/>
                <w:szCs w:val="18"/>
              </w:rPr>
            </w:pPr>
            <w:r w:rsidRPr="004514FC">
              <w:rPr>
                <w:rFonts w:ascii="Arial" w:hAnsi="Arial" w:cs="Arial"/>
                <w:sz w:val="18"/>
                <w:szCs w:val="18"/>
              </w:rPr>
              <w:t>806 348,00 Kč</w:t>
            </w:r>
          </w:p>
        </w:tc>
        <w:tc>
          <w:tcPr>
            <w:tcW w:w="1882" w:type="dxa"/>
            <w:tcBorders>
              <w:top w:val="single" w:sz="6" w:space="0" w:color="auto"/>
              <w:left w:val="single" w:sz="6" w:space="0" w:color="auto"/>
              <w:bottom w:val="single" w:sz="6" w:space="0" w:color="auto"/>
              <w:right w:val="single" w:sz="6" w:space="0" w:color="auto"/>
            </w:tcBorders>
          </w:tcPr>
          <w:p w14:paraId="470D90DE" w14:textId="77777777" w:rsidR="00BC0356" w:rsidRPr="004514FC" w:rsidRDefault="00BC0356" w:rsidP="00827953">
            <w:pPr>
              <w:widowControl/>
              <w:jc w:val="right"/>
              <w:rPr>
                <w:rFonts w:ascii="Arial" w:hAnsi="Arial" w:cs="Arial"/>
                <w:sz w:val="18"/>
                <w:szCs w:val="18"/>
              </w:rPr>
            </w:pPr>
            <w:r w:rsidRPr="004514FC">
              <w:rPr>
                <w:rFonts w:ascii="Arial" w:hAnsi="Arial" w:cs="Arial"/>
                <w:sz w:val="18"/>
                <w:szCs w:val="18"/>
              </w:rPr>
              <w:t>80 635,00 Kč</w:t>
            </w:r>
          </w:p>
        </w:tc>
        <w:tc>
          <w:tcPr>
            <w:tcW w:w="1882" w:type="dxa"/>
            <w:tcBorders>
              <w:top w:val="single" w:sz="6" w:space="0" w:color="auto"/>
              <w:left w:val="single" w:sz="6" w:space="0" w:color="auto"/>
              <w:bottom w:val="single" w:sz="6" w:space="0" w:color="auto"/>
              <w:right w:val="single" w:sz="6" w:space="0" w:color="auto"/>
            </w:tcBorders>
          </w:tcPr>
          <w:p w14:paraId="6E7B7BD2" w14:textId="77777777" w:rsidR="00BC0356" w:rsidRPr="004514FC" w:rsidRDefault="00BC0356" w:rsidP="00827953">
            <w:pPr>
              <w:widowControl/>
              <w:jc w:val="right"/>
              <w:rPr>
                <w:rFonts w:ascii="Arial" w:hAnsi="Arial" w:cs="Arial"/>
                <w:sz w:val="18"/>
                <w:szCs w:val="18"/>
              </w:rPr>
            </w:pPr>
            <w:r w:rsidRPr="004514FC">
              <w:rPr>
                <w:rFonts w:ascii="Arial" w:hAnsi="Arial" w:cs="Arial"/>
                <w:sz w:val="18"/>
                <w:szCs w:val="18"/>
              </w:rPr>
              <w:t>725 713,00 Kč</w:t>
            </w:r>
          </w:p>
        </w:tc>
      </w:tr>
    </w:tbl>
    <w:p w14:paraId="4289368E"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758F0D0B" w14:textId="77777777">
        <w:tc>
          <w:tcPr>
            <w:tcW w:w="3292" w:type="dxa"/>
            <w:tcBorders>
              <w:top w:val="single" w:sz="6" w:space="0" w:color="auto"/>
              <w:left w:val="single" w:sz="6" w:space="0" w:color="auto"/>
              <w:bottom w:val="single" w:sz="6" w:space="0" w:color="auto"/>
              <w:right w:val="single" w:sz="6" w:space="0" w:color="auto"/>
            </w:tcBorders>
          </w:tcPr>
          <w:p w14:paraId="24FED023"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5E838D6E" w14:textId="77777777" w:rsidR="00BC0356" w:rsidRPr="004514FC" w:rsidRDefault="00BC0356" w:rsidP="00827953">
            <w:pPr>
              <w:widowControl/>
              <w:jc w:val="right"/>
              <w:rPr>
                <w:rFonts w:ascii="Arial" w:hAnsi="Arial" w:cs="Arial"/>
                <w:sz w:val="18"/>
                <w:szCs w:val="18"/>
              </w:rPr>
            </w:pPr>
            <w:r w:rsidRPr="004514FC">
              <w:rPr>
                <w:rFonts w:ascii="Arial" w:hAnsi="Arial" w:cs="Arial"/>
                <w:sz w:val="18"/>
                <w:szCs w:val="18"/>
              </w:rPr>
              <w:t>846 868,00 Kč</w:t>
            </w:r>
          </w:p>
        </w:tc>
        <w:tc>
          <w:tcPr>
            <w:tcW w:w="1882" w:type="dxa"/>
            <w:tcBorders>
              <w:top w:val="single" w:sz="6" w:space="0" w:color="auto"/>
              <w:left w:val="single" w:sz="6" w:space="0" w:color="auto"/>
              <w:bottom w:val="single" w:sz="6" w:space="0" w:color="auto"/>
              <w:right w:val="single" w:sz="6" w:space="0" w:color="auto"/>
            </w:tcBorders>
          </w:tcPr>
          <w:p w14:paraId="77D59012" w14:textId="77777777" w:rsidR="00BC0356" w:rsidRPr="004514FC" w:rsidRDefault="00BC0356" w:rsidP="00827953">
            <w:pPr>
              <w:widowControl/>
              <w:jc w:val="right"/>
              <w:rPr>
                <w:rFonts w:ascii="Arial" w:hAnsi="Arial" w:cs="Arial"/>
                <w:sz w:val="18"/>
                <w:szCs w:val="18"/>
              </w:rPr>
            </w:pPr>
            <w:r w:rsidRPr="004514FC">
              <w:rPr>
                <w:rFonts w:ascii="Arial" w:hAnsi="Arial" w:cs="Arial"/>
                <w:sz w:val="18"/>
                <w:szCs w:val="18"/>
              </w:rPr>
              <w:t>84 687,00 Kč</w:t>
            </w:r>
          </w:p>
        </w:tc>
        <w:tc>
          <w:tcPr>
            <w:tcW w:w="1882" w:type="dxa"/>
            <w:tcBorders>
              <w:top w:val="single" w:sz="6" w:space="0" w:color="auto"/>
              <w:left w:val="single" w:sz="6" w:space="0" w:color="auto"/>
              <w:bottom w:val="single" w:sz="6" w:space="0" w:color="auto"/>
              <w:right w:val="single" w:sz="6" w:space="0" w:color="auto"/>
            </w:tcBorders>
          </w:tcPr>
          <w:p w14:paraId="5704FDF2" w14:textId="77777777" w:rsidR="00BC0356" w:rsidRPr="004514FC" w:rsidRDefault="00BC0356" w:rsidP="00827953">
            <w:pPr>
              <w:widowControl/>
              <w:jc w:val="right"/>
              <w:rPr>
                <w:rFonts w:ascii="Arial" w:hAnsi="Arial" w:cs="Arial"/>
                <w:sz w:val="18"/>
                <w:szCs w:val="18"/>
              </w:rPr>
            </w:pPr>
            <w:r w:rsidRPr="004514FC">
              <w:rPr>
                <w:rFonts w:ascii="Arial" w:hAnsi="Arial" w:cs="Arial"/>
                <w:sz w:val="18"/>
                <w:szCs w:val="18"/>
              </w:rPr>
              <w:t>762 181,00 Kč</w:t>
            </w:r>
          </w:p>
        </w:tc>
      </w:tr>
    </w:tbl>
    <w:p w14:paraId="0BF460ED" w14:textId="77777777" w:rsidR="00BC0356" w:rsidRPr="004514FC" w:rsidRDefault="00BC0356" w:rsidP="00BC0356">
      <w:pPr>
        <w:widowControl/>
        <w:ind w:left="-142"/>
        <w:rPr>
          <w:rFonts w:ascii="Arial" w:hAnsi="Arial" w:cs="Arial"/>
          <w:sz w:val="18"/>
          <w:szCs w:val="18"/>
        </w:rPr>
      </w:pPr>
    </w:p>
    <w:p w14:paraId="39371660" w14:textId="7502448E"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84 687,00 Kč (slovy: osmdesát čtyři tisíce šest set osmdesát sedm korun českých) kupující zaplatil prodávajícímu před podpisem této smlouvy formou zálohy na úhradu kupní ceny, zbývající část, to jest částka ve výši 762 181,00 Kč (slovy: sedm set šedesát dva tisíce jedno sto osmdesát jedna koruna česká)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827953"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11623626" w14:textId="5543B932"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 xml:space="preserve">Nedodrží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 </w:t>
      </w:r>
      <w:r w:rsidR="00827953">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827953">
        <w:rPr>
          <w:rFonts w:ascii="Arial" w:hAnsi="Arial" w:cs="Arial"/>
          <w:sz w:val="22"/>
          <w:szCs w:val="22"/>
        </w:rPr>
        <w:br/>
      </w:r>
      <w:r w:rsidRPr="004514FC">
        <w:rPr>
          <w:rFonts w:ascii="Arial" w:hAnsi="Arial" w:cs="Arial"/>
          <w:sz w:val="22"/>
          <w:szCs w:val="22"/>
        </w:rPr>
        <w:t>z prodlení.</w:t>
      </w:r>
    </w:p>
    <w:p w14:paraId="7FC3F80A"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1C0F863B"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1A9D3CCF"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1D328D98" w14:textId="22249D7D"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827953">
        <w:rPr>
          <w:rFonts w:ascii="Arial" w:hAnsi="Arial" w:cs="Arial"/>
          <w:sz w:val="22"/>
          <w:szCs w:val="22"/>
        </w:rPr>
        <w:br/>
      </w:r>
      <w:r w:rsidRPr="004514FC">
        <w:rPr>
          <w:rFonts w:ascii="Arial" w:hAnsi="Arial" w:cs="Arial"/>
          <w:sz w:val="22"/>
          <w:szCs w:val="22"/>
        </w:rPr>
        <w:t>z kupní ceny.</w:t>
      </w:r>
    </w:p>
    <w:p w14:paraId="376EC321"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2F40AAB2"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02D857DA" w14:textId="77777777" w:rsidR="00827953" w:rsidRDefault="00827953">
      <w:pPr>
        <w:widowControl/>
      </w:pPr>
    </w:p>
    <w:p w14:paraId="40AEEF08"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1214DF87"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45CFEB73"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14:paraId="5488777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125BDE29"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69667AC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w:t>
      </w:r>
      <w:r w:rsidRPr="008A7AC0">
        <w:rPr>
          <w:rFonts w:ascii="Arial" w:hAnsi="Arial" w:cs="Arial"/>
          <w:sz w:val="22"/>
          <w:szCs w:val="22"/>
        </w:rPr>
        <w:lastRenderedPageBreak/>
        <w:t xml:space="preserve">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1B80DA65" w14:textId="77777777" w:rsidR="00F40520" w:rsidRPr="008A7AC0" w:rsidRDefault="00F40520">
      <w:pPr>
        <w:widowControl/>
        <w:ind w:firstLine="426"/>
        <w:jc w:val="both"/>
        <w:rPr>
          <w:rFonts w:ascii="Arial" w:hAnsi="Arial" w:cs="Arial"/>
          <w:sz w:val="22"/>
          <w:szCs w:val="22"/>
        </w:rPr>
      </w:pPr>
    </w:p>
    <w:p w14:paraId="39470DB6"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75E5E1B8"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0F11518C"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6722B8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04FC67FC"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622DD9C7" w14:textId="77777777" w:rsidR="00F40520" w:rsidRPr="008A7AC0" w:rsidRDefault="00F40520">
      <w:pPr>
        <w:widowControl/>
        <w:ind w:firstLine="426"/>
        <w:jc w:val="both"/>
        <w:rPr>
          <w:rFonts w:ascii="Arial" w:hAnsi="Arial" w:cs="Arial"/>
          <w:sz w:val="22"/>
          <w:szCs w:val="22"/>
        </w:rPr>
      </w:pPr>
    </w:p>
    <w:p w14:paraId="29F1F19D" w14:textId="2874B14E" w:rsidR="00F40520" w:rsidRPr="008A7AC0" w:rsidRDefault="00F40520" w:rsidP="00827953">
      <w:pPr>
        <w:pStyle w:val="para"/>
        <w:widowControl/>
        <w:rPr>
          <w:rFonts w:ascii="Arial" w:hAnsi="Arial" w:cs="Arial"/>
          <w:sz w:val="22"/>
          <w:szCs w:val="22"/>
        </w:rPr>
      </w:pPr>
      <w:r w:rsidRPr="008A7AC0">
        <w:rPr>
          <w:rFonts w:ascii="Arial" w:hAnsi="Arial" w:cs="Arial"/>
          <w:sz w:val="22"/>
          <w:szCs w:val="22"/>
        </w:rPr>
        <w:t>VII.</w:t>
      </w:r>
    </w:p>
    <w:p w14:paraId="41CEDF6A" w14:textId="0A9C0F88"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w:t>
      </w:r>
      <w:r w:rsidR="00F10AB0">
        <w:rPr>
          <w:rFonts w:ascii="Arial" w:hAnsi="Arial" w:cs="Arial"/>
          <w:sz w:val="22"/>
          <w:szCs w:val="22"/>
        </w:rPr>
        <w:t xml:space="preserve">společně s kupujícím </w:t>
      </w:r>
      <w:r w:rsidRPr="008A7AC0">
        <w:rPr>
          <w:rFonts w:ascii="Arial" w:hAnsi="Arial" w:cs="Arial"/>
          <w:sz w:val="22"/>
          <w:szCs w:val="22"/>
        </w:rPr>
        <w:t xml:space="preserve">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w:t>
      </w:r>
      <w:r w:rsidR="00827953">
        <w:rPr>
          <w:rFonts w:ascii="Arial" w:hAnsi="Arial" w:cs="Arial"/>
          <w:sz w:val="22"/>
          <w:szCs w:val="22"/>
        </w:rPr>
        <w:br/>
      </w:r>
      <w:r w:rsidRPr="008A7AC0">
        <w:rPr>
          <w:rFonts w:ascii="Arial" w:hAnsi="Arial" w:cs="Arial"/>
          <w:sz w:val="22"/>
          <w:szCs w:val="22"/>
        </w:rPr>
        <w:t>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385DB502"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DF5DCD9"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C2669D7"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48B7446E" w14:textId="77777777" w:rsidR="00F40520" w:rsidRPr="008A7AC0" w:rsidRDefault="00F40520">
      <w:pPr>
        <w:widowControl/>
        <w:ind w:firstLine="426"/>
        <w:jc w:val="both"/>
        <w:rPr>
          <w:rFonts w:ascii="Arial" w:hAnsi="Arial" w:cs="Arial"/>
          <w:sz w:val="22"/>
          <w:szCs w:val="22"/>
        </w:rPr>
      </w:pPr>
    </w:p>
    <w:p w14:paraId="39C91C4F"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734FCF33"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57CCC2D3" w14:textId="62733EE8"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827953" w:rsidRPr="008A7AC0">
        <w:rPr>
          <w:rFonts w:ascii="Arial" w:hAnsi="Arial" w:cs="Arial"/>
          <w:color w:val="000000"/>
          <w:sz w:val="22"/>
          <w:szCs w:val="22"/>
        </w:rPr>
        <w:t>3</w:t>
      </w:r>
      <w:r w:rsidR="00827953" w:rsidRPr="008A7AC0">
        <w:rPr>
          <w:rFonts w:ascii="Arial" w:hAnsi="Arial" w:cs="Arial"/>
          <w:sz w:val="22"/>
          <w:szCs w:val="22"/>
        </w:rPr>
        <w:t xml:space="preserve"> stejnopisech</w:t>
      </w:r>
      <w:r w:rsidRPr="008A7AC0">
        <w:rPr>
          <w:rFonts w:ascii="Arial" w:hAnsi="Arial" w:cs="Arial"/>
          <w:sz w:val="22"/>
          <w:szCs w:val="22"/>
        </w:rPr>
        <w:t>, z nichž každý má platnost originálu. Kupující obdrží 1 stejnopis(y) a ostatní jsou určeny pro prodávajícího.</w:t>
      </w:r>
    </w:p>
    <w:p w14:paraId="655AF6AF"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6DB69633" w14:textId="33E1FF18"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827953"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4916F619" w14:textId="0004053A" w:rsidR="00F40520" w:rsidRPr="008A7AC0" w:rsidRDefault="00820F12" w:rsidP="00827953">
      <w:pPr>
        <w:widowControl/>
        <w:ind w:firstLine="426"/>
        <w:jc w:val="both"/>
        <w:rPr>
          <w:rFonts w:ascii="Arial" w:hAnsi="Arial" w:cs="Arial"/>
          <w:sz w:val="22"/>
          <w:szCs w:val="22"/>
        </w:rPr>
      </w:pPr>
      <w:r>
        <w:rPr>
          <w:rFonts w:ascii="Arial" w:hAnsi="Arial" w:cs="Arial"/>
          <w:sz w:val="22"/>
          <w:szCs w:val="22"/>
        </w:rPr>
        <w:t xml:space="preserve">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Pr>
          <w:rFonts w:ascii="Arial" w:hAnsi="Arial" w:cs="Arial"/>
          <w:sz w:val="22"/>
          <w:szCs w:val="22"/>
        </w:rPr>
        <w:lastRenderedPageBreak/>
        <w:t>č. 499/2004 Sb. o archivnictví a spisové službě a o změně některých zákonů, ve znění pozdějších předpisů.</w:t>
      </w:r>
    </w:p>
    <w:p w14:paraId="10EC084F"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4A076F67"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bookmarkStart w:id="0" w:name="_Hlk212801826"/>
      <w:r w:rsidR="00F10AB0">
        <w:rPr>
          <w:rFonts w:ascii="Arial" w:hAnsi="Arial" w:cs="Arial"/>
          <w:sz w:val="22"/>
          <w:szCs w:val="22"/>
        </w:rPr>
        <w:t>31.12.2013</w:t>
      </w:r>
      <w:bookmarkEnd w:id="0"/>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10AB0">
        <w:rPr>
          <w:rFonts w:ascii="Arial" w:hAnsi="Arial" w:cs="Arial"/>
          <w:sz w:val="22"/>
          <w:szCs w:val="22"/>
        </w:rPr>
        <w:t>31.12.2013</w:t>
      </w:r>
      <w:r w:rsidRPr="008A7AC0">
        <w:rPr>
          <w:rFonts w:ascii="Arial" w:hAnsi="Arial" w:cs="Arial"/>
          <w:sz w:val="22"/>
          <w:szCs w:val="22"/>
        </w:rPr>
        <w:t>.</w:t>
      </w:r>
    </w:p>
    <w:p w14:paraId="1A499ECF" w14:textId="77777777"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10AB0">
        <w:rPr>
          <w:rFonts w:ascii="Arial" w:hAnsi="Arial" w:cs="Arial"/>
          <w:sz w:val="22"/>
          <w:szCs w:val="22"/>
        </w:rPr>
        <w:t>31.12.2013</w:t>
      </w:r>
      <w:r w:rsidRPr="008A7AC0">
        <w:rPr>
          <w:rFonts w:ascii="Arial" w:hAnsi="Arial" w:cs="Arial"/>
          <w:sz w:val="22"/>
          <w:szCs w:val="22"/>
        </w:rPr>
        <w:t>, převedeny.</w:t>
      </w:r>
      <w:r w:rsidR="00FE02E0" w:rsidRPr="008A7AC0">
        <w:rPr>
          <w:rFonts w:ascii="Arial" w:hAnsi="Arial" w:cs="Arial"/>
          <w:sz w:val="22"/>
          <w:szCs w:val="22"/>
        </w:rPr>
        <w:t xml:space="preserve"> </w:t>
      </w:r>
    </w:p>
    <w:p w14:paraId="155E1D41"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 xml:space="preserve">Smluvní strany prohlašují, že byly splněny zákonné podmínky pro uplatnění nároku na převod </w:t>
      </w:r>
      <w:r w:rsidR="00F10AB0">
        <w:rPr>
          <w:rFonts w:ascii="Arial" w:hAnsi="Arial" w:cs="Arial"/>
          <w:sz w:val="22"/>
          <w:szCs w:val="22"/>
        </w:rPr>
        <w:t>ke dni 31.12.2013</w:t>
      </w:r>
      <w:r w:rsidRPr="008A7AC0">
        <w:rPr>
          <w:rFonts w:ascii="Arial" w:hAnsi="Arial" w:cs="Arial"/>
          <w:sz w:val="22"/>
          <w:szCs w:val="22"/>
        </w:rPr>
        <w:t xml:space="preserve">, které jsou stanoveny zákonem č. 503/2012 Sb., ve znění účinném do </w:t>
      </w:r>
      <w:r w:rsidR="00F10AB0">
        <w:rPr>
          <w:rFonts w:ascii="Arial" w:hAnsi="Arial" w:cs="Arial"/>
          <w:sz w:val="22"/>
          <w:szCs w:val="22"/>
        </w:rPr>
        <w:t>31.12.2013</w:t>
      </w:r>
      <w:r w:rsidRPr="008A7AC0">
        <w:rPr>
          <w:rFonts w:ascii="Arial" w:hAnsi="Arial" w:cs="Arial"/>
          <w:sz w:val="22"/>
          <w:szCs w:val="22"/>
        </w:rPr>
        <w:t>.</w:t>
      </w:r>
    </w:p>
    <w:p w14:paraId="569506FA"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56B2F8ED" w14:textId="77777777" w:rsidR="00335BCB" w:rsidRPr="008A7AC0" w:rsidRDefault="00335BCB" w:rsidP="00827953">
      <w:pPr>
        <w:widowControl/>
        <w:jc w:val="both"/>
        <w:rPr>
          <w:rFonts w:ascii="Arial" w:hAnsi="Arial" w:cs="Arial"/>
          <w:sz w:val="22"/>
          <w:szCs w:val="22"/>
        </w:rPr>
      </w:pPr>
    </w:p>
    <w:p w14:paraId="2B046FF2"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64475434"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1F763F10" w14:textId="77777777" w:rsidR="00F40520" w:rsidRPr="008A7AC0" w:rsidRDefault="00F40520">
      <w:pPr>
        <w:widowControl/>
        <w:jc w:val="both"/>
        <w:rPr>
          <w:rFonts w:ascii="Arial" w:hAnsi="Arial" w:cs="Arial"/>
          <w:sz w:val="22"/>
          <w:szCs w:val="22"/>
        </w:rPr>
      </w:pPr>
    </w:p>
    <w:p w14:paraId="1849C9F9" w14:textId="77777777" w:rsidR="00827953" w:rsidRDefault="00827953">
      <w:pPr>
        <w:widowControl/>
        <w:tabs>
          <w:tab w:val="left" w:pos="5103"/>
        </w:tabs>
        <w:jc w:val="both"/>
        <w:rPr>
          <w:rFonts w:ascii="Arial" w:hAnsi="Arial" w:cs="Arial"/>
          <w:sz w:val="22"/>
          <w:szCs w:val="22"/>
        </w:rPr>
      </w:pPr>
    </w:p>
    <w:p w14:paraId="6E0CE8DE" w14:textId="77777777" w:rsidR="00827953" w:rsidRDefault="00827953">
      <w:pPr>
        <w:widowControl/>
        <w:tabs>
          <w:tab w:val="left" w:pos="5103"/>
        </w:tabs>
        <w:jc w:val="both"/>
        <w:rPr>
          <w:rFonts w:ascii="Arial" w:hAnsi="Arial" w:cs="Arial"/>
          <w:sz w:val="22"/>
          <w:szCs w:val="22"/>
        </w:rPr>
      </w:pPr>
    </w:p>
    <w:p w14:paraId="165DF912" w14:textId="24D144D4"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476622">
        <w:rPr>
          <w:rFonts w:ascii="Arial" w:hAnsi="Arial" w:cs="Arial"/>
          <w:sz w:val="22"/>
          <w:szCs w:val="22"/>
        </w:rPr>
        <w:t xml:space="preserve"> 13.11.2025</w:t>
      </w:r>
      <w:r w:rsidRPr="008A7AC0">
        <w:rPr>
          <w:rFonts w:ascii="Arial" w:hAnsi="Arial" w:cs="Arial"/>
          <w:sz w:val="22"/>
          <w:szCs w:val="22"/>
        </w:rPr>
        <w:tab/>
      </w:r>
      <w:r w:rsidR="00827953" w:rsidRPr="008A7AC0">
        <w:rPr>
          <w:rFonts w:ascii="Arial" w:hAnsi="Arial" w:cs="Arial"/>
          <w:sz w:val="22"/>
          <w:szCs w:val="22"/>
        </w:rPr>
        <w:t>V Praze dne</w:t>
      </w:r>
      <w:r w:rsidR="00476622">
        <w:rPr>
          <w:rFonts w:ascii="Arial" w:hAnsi="Arial" w:cs="Arial"/>
          <w:sz w:val="22"/>
          <w:szCs w:val="22"/>
        </w:rPr>
        <w:t xml:space="preserve"> 13.11.2025</w:t>
      </w:r>
    </w:p>
    <w:p w14:paraId="2E28DA1E" w14:textId="77777777" w:rsidR="00F40520" w:rsidRPr="008A7AC0" w:rsidRDefault="00F40520">
      <w:pPr>
        <w:widowControl/>
        <w:rPr>
          <w:rFonts w:ascii="Arial" w:hAnsi="Arial" w:cs="Arial"/>
          <w:sz w:val="22"/>
          <w:szCs w:val="22"/>
        </w:rPr>
      </w:pPr>
    </w:p>
    <w:p w14:paraId="70447BAD" w14:textId="77777777" w:rsidR="00F40520" w:rsidRPr="008A7AC0" w:rsidRDefault="00F40520">
      <w:pPr>
        <w:widowControl/>
        <w:rPr>
          <w:rFonts w:ascii="Arial" w:hAnsi="Arial" w:cs="Arial"/>
          <w:sz w:val="22"/>
          <w:szCs w:val="22"/>
        </w:rPr>
      </w:pPr>
    </w:p>
    <w:p w14:paraId="0E498054" w14:textId="77777777" w:rsidR="00F40520" w:rsidRDefault="00F40520">
      <w:pPr>
        <w:widowControl/>
        <w:rPr>
          <w:rFonts w:ascii="Arial" w:hAnsi="Arial" w:cs="Arial"/>
          <w:sz w:val="22"/>
          <w:szCs w:val="22"/>
        </w:rPr>
      </w:pPr>
    </w:p>
    <w:p w14:paraId="60D49510" w14:textId="77777777" w:rsidR="00827953" w:rsidRPr="008A7AC0" w:rsidRDefault="00827953">
      <w:pPr>
        <w:widowControl/>
        <w:rPr>
          <w:rFonts w:ascii="Arial" w:hAnsi="Arial" w:cs="Arial"/>
          <w:sz w:val="22"/>
          <w:szCs w:val="22"/>
        </w:rPr>
      </w:pPr>
    </w:p>
    <w:p w14:paraId="34CCE052" w14:textId="77777777" w:rsidR="00F40520" w:rsidRPr="008A7AC0" w:rsidRDefault="00F40520">
      <w:pPr>
        <w:widowControl/>
        <w:rPr>
          <w:rFonts w:ascii="Arial" w:hAnsi="Arial" w:cs="Arial"/>
          <w:sz w:val="22"/>
          <w:szCs w:val="22"/>
        </w:rPr>
      </w:pPr>
    </w:p>
    <w:p w14:paraId="32C68068"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0438EEBA"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Hazuková Alena</w:t>
      </w:r>
    </w:p>
    <w:p w14:paraId="172AF9FD"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66C51D06"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32F75F46"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570ED014"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6E516C53" w14:textId="77777777" w:rsidR="00F40520" w:rsidRDefault="00F40520">
      <w:pPr>
        <w:widowControl/>
        <w:ind w:left="5104" w:hanging="5104"/>
        <w:rPr>
          <w:rFonts w:ascii="Arial" w:hAnsi="Arial" w:cs="Arial"/>
          <w:sz w:val="22"/>
          <w:szCs w:val="22"/>
        </w:rPr>
      </w:pPr>
    </w:p>
    <w:p w14:paraId="56A62A37" w14:textId="77777777" w:rsidR="00827953" w:rsidRPr="008A7AC0" w:rsidRDefault="00827953">
      <w:pPr>
        <w:widowControl/>
        <w:ind w:left="5104" w:hanging="5104"/>
        <w:rPr>
          <w:rFonts w:ascii="Arial" w:hAnsi="Arial" w:cs="Arial"/>
          <w:sz w:val="22"/>
          <w:szCs w:val="22"/>
        </w:rPr>
      </w:pPr>
    </w:p>
    <w:p w14:paraId="44B59CEB" w14:textId="77777777" w:rsidR="00F40520" w:rsidRPr="008A7AC0" w:rsidRDefault="00F40520">
      <w:pPr>
        <w:widowControl/>
        <w:rPr>
          <w:rFonts w:ascii="Arial" w:hAnsi="Arial" w:cs="Arial"/>
          <w:sz w:val="22"/>
          <w:szCs w:val="22"/>
        </w:rPr>
      </w:pPr>
    </w:p>
    <w:p w14:paraId="0651CB73" w14:textId="77777777"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1056001, 2199301</w:t>
      </w:r>
      <w:r w:rsidRPr="008A7AC0">
        <w:rPr>
          <w:rFonts w:ascii="Arial" w:hAnsi="Arial" w:cs="Arial"/>
          <w:color w:val="000000"/>
          <w:sz w:val="22"/>
          <w:szCs w:val="22"/>
        </w:rPr>
        <w:br/>
      </w:r>
    </w:p>
    <w:p w14:paraId="0AF6B9B8" w14:textId="77777777" w:rsidR="00F40520" w:rsidRPr="008A7AC0" w:rsidRDefault="00F40520">
      <w:pPr>
        <w:widowControl/>
        <w:rPr>
          <w:rFonts w:ascii="Arial" w:hAnsi="Arial" w:cs="Arial"/>
          <w:sz w:val="22"/>
          <w:szCs w:val="22"/>
        </w:rPr>
      </w:pPr>
    </w:p>
    <w:p w14:paraId="363F9180"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3FBDA42E"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695059E4"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4A957038" w14:textId="77777777" w:rsidR="004612CC" w:rsidRPr="008A7AC0" w:rsidRDefault="004612CC" w:rsidP="004612CC">
      <w:pPr>
        <w:widowControl/>
        <w:rPr>
          <w:rFonts w:ascii="Arial" w:hAnsi="Arial" w:cs="Arial"/>
          <w:sz w:val="22"/>
          <w:szCs w:val="22"/>
        </w:rPr>
      </w:pPr>
    </w:p>
    <w:p w14:paraId="61FEFFDD"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0EAAB43A"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45D0E0F9" w14:textId="77777777" w:rsidR="004612CC" w:rsidRPr="008A7AC0" w:rsidRDefault="004612CC">
      <w:pPr>
        <w:widowControl/>
        <w:jc w:val="both"/>
        <w:rPr>
          <w:rFonts w:ascii="Arial" w:hAnsi="Arial" w:cs="Arial"/>
          <w:sz w:val="22"/>
          <w:szCs w:val="22"/>
        </w:rPr>
      </w:pPr>
    </w:p>
    <w:p w14:paraId="79538A5E"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14F03728" w14:textId="77777777" w:rsidR="00F40520" w:rsidRPr="008A7AC0" w:rsidRDefault="00F40520">
      <w:pPr>
        <w:widowControl/>
        <w:jc w:val="both"/>
        <w:rPr>
          <w:rFonts w:ascii="Arial" w:hAnsi="Arial" w:cs="Arial"/>
          <w:sz w:val="22"/>
          <w:szCs w:val="22"/>
        </w:rPr>
      </w:pPr>
    </w:p>
    <w:p w14:paraId="5E80A882"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08CD7F29"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4E940C01" w14:textId="77777777" w:rsidR="000A639E" w:rsidRPr="008A7AC0" w:rsidRDefault="000A639E" w:rsidP="000A639E">
      <w:pPr>
        <w:widowControl/>
        <w:rPr>
          <w:rFonts w:ascii="Arial" w:hAnsi="Arial" w:cs="Arial"/>
          <w:sz w:val="22"/>
          <w:szCs w:val="22"/>
        </w:rPr>
      </w:pPr>
    </w:p>
    <w:p w14:paraId="209D607A" w14:textId="77777777" w:rsidR="000A639E" w:rsidRPr="008A7AC0" w:rsidRDefault="000A639E" w:rsidP="000A639E">
      <w:pPr>
        <w:widowControl/>
        <w:rPr>
          <w:rFonts w:ascii="Arial" w:hAnsi="Arial" w:cs="Arial"/>
          <w:sz w:val="22"/>
          <w:szCs w:val="22"/>
        </w:rPr>
      </w:pPr>
    </w:p>
    <w:p w14:paraId="508AE131" w14:textId="77777777" w:rsidR="000A639E" w:rsidRDefault="000A639E" w:rsidP="000A639E">
      <w:pPr>
        <w:widowControl/>
        <w:jc w:val="both"/>
        <w:rPr>
          <w:rFonts w:ascii="Arial" w:hAnsi="Arial" w:cs="Arial"/>
          <w:sz w:val="22"/>
          <w:szCs w:val="22"/>
        </w:rPr>
      </w:pPr>
    </w:p>
    <w:p w14:paraId="231C8C66" w14:textId="77777777" w:rsidR="00827953" w:rsidRDefault="00827953" w:rsidP="000A639E">
      <w:pPr>
        <w:widowControl/>
        <w:jc w:val="both"/>
        <w:rPr>
          <w:rFonts w:ascii="Arial" w:hAnsi="Arial" w:cs="Arial"/>
          <w:sz w:val="22"/>
          <w:szCs w:val="22"/>
        </w:rPr>
      </w:pPr>
    </w:p>
    <w:p w14:paraId="34658BFC" w14:textId="77777777" w:rsidR="00827953" w:rsidRDefault="00827953" w:rsidP="000A639E">
      <w:pPr>
        <w:widowControl/>
        <w:jc w:val="both"/>
        <w:rPr>
          <w:rFonts w:ascii="Arial" w:hAnsi="Arial" w:cs="Arial"/>
          <w:sz w:val="22"/>
          <w:szCs w:val="22"/>
        </w:rPr>
      </w:pPr>
    </w:p>
    <w:p w14:paraId="4EA784D6" w14:textId="77777777" w:rsidR="00827953" w:rsidRDefault="00827953" w:rsidP="000A639E">
      <w:pPr>
        <w:widowControl/>
        <w:jc w:val="both"/>
        <w:rPr>
          <w:rFonts w:ascii="Arial" w:hAnsi="Arial" w:cs="Arial"/>
          <w:sz w:val="22"/>
          <w:szCs w:val="22"/>
        </w:rPr>
      </w:pPr>
    </w:p>
    <w:p w14:paraId="10E67692" w14:textId="77777777" w:rsidR="00827953" w:rsidRPr="008A7AC0" w:rsidRDefault="00827953" w:rsidP="000A639E">
      <w:pPr>
        <w:widowControl/>
        <w:jc w:val="both"/>
        <w:rPr>
          <w:rFonts w:ascii="Arial" w:hAnsi="Arial" w:cs="Arial"/>
          <w:sz w:val="22"/>
          <w:szCs w:val="22"/>
        </w:rPr>
      </w:pPr>
    </w:p>
    <w:p w14:paraId="7AEDE977"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14:paraId="1422842D"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0B357543"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1CE046AF" w14:textId="77777777" w:rsidR="000A639E" w:rsidRPr="008A7AC0" w:rsidRDefault="000A639E" w:rsidP="000A639E">
      <w:pPr>
        <w:jc w:val="both"/>
        <w:rPr>
          <w:rFonts w:ascii="Arial" w:hAnsi="Arial" w:cs="Arial"/>
          <w:sz w:val="22"/>
          <w:szCs w:val="22"/>
        </w:rPr>
      </w:pPr>
    </w:p>
    <w:p w14:paraId="63047C04"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3E169A7E"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0431A2FA" w14:textId="77777777" w:rsidR="000A639E" w:rsidRPr="008A7AC0" w:rsidRDefault="000A639E" w:rsidP="000A639E">
      <w:pPr>
        <w:jc w:val="both"/>
        <w:rPr>
          <w:rFonts w:ascii="Arial" w:hAnsi="Arial" w:cs="Arial"/>
          <w:i/>
          <w:sz w:val="22"/>
          <w:szCs w:val="22"/>
        </w:rPr>
      </w:pPr>
    </w:p>
    <w:p w14:paraId="7F460411"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3C1709AB"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5ADACAF3" w14:textId="77777777" w:rsidR="004F26F7" w:rsidRDefault="004F26F7" w:rsidP="004F26F7">
      <w:pPr>
        <w:jc w:val="both"/>
        <w:rPr>
          <w:rFonts w:ascii="Arial" w:hAnsi="Arial" w:cs="Arial"/>
          <w:color w:val="FF0000"/>
          <w:sz w:val="22"/>
          <w:szCs w:val="22"/>
        </w:rPr>
      </w:pPr>
    </w:p>
    <w:p w14:paraId="16A8A05A" w14:textId="77777777" w:rsidR="004F26F7" w:rsidRDefault="004F26F7" w:rsidP="004F26F7">
      <w:pPr>
        <w:jc w:val="both"/>
        <w:rPr>
          <w:rFonts w:ascii="Arial" w:hAnsi="Arial" w:cs="Arial"/>
          <w:sz w:val="22"/>
          <w:szCs w:val="22"/>
        </w:rPr>
      </w:pPr>
      <w:r>
        <w:rPr>
          <w:rFonts w:ascii="Arial" w:hAnsi="Arial" w:cs="Arial"/>
          <w:sz w:val="22"/>
          <w:szCs w:val="22"/>
        </w:rPr>
        <w:t>………………………</w:t>
      </w:r>
    </w:p>
    <w:p w14:paraId="5E1C4887" w14:textId="77777777" w:rsidR="004F26F7" w:rsidRDefault="004F26F7" w:rsidP="004F26F7">
      <w:pPr>
        <w:jc w:val="both"/>
        <w:rPr>
          <w:rFonts w:ascii="Arial" w:hAnsi="Arial" w:cs="Arial"/>
          <w:sz w:val="22"/>
          <w:szCs w:val="22"/>
        </w:rPr>
      </w:pPr>
      <w:r>
        <w:rPr>
          <w:rFonts w:ascii="Arial" w:hAnsi="Arial" w:cs="Arial"/>
          <w:sz w:val="22"/>
          <w:szCs w:val="22"/>
        </w:rPr>
        <w:t>ID verze</w:t>
      </w:r>
    </w:p>
    <w:p w14:paraId="7E1746D8" w14:textId="77777777" w:rsidR="002D0563" w:rsidRPr="008A7AC0" w:rsidRDefault="002D0563" w:rsidP="002D0563">
      <w:pPr>
        <w:jc w:val="both"/>
        <w:rPr>
          <w:rFonts w:ascii="Arial" w:hAnsi="Arial" w:cs="Arial"/>
          <w:sz w:val="22"/>
          <w:szCs w:val="22"/>
        </w:rPr>
      </w:pPr>
    </w:p>
    <w:p w14:paraId="5E05CA92"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1F3937DB"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712086DA" w14:textId="77777777" w:rsidR="002D0563" w:rsidRPr="008A7AC0" w:rsidRDefault="002D0563" w:rsidP="002D0563">
      <w:pPr>
        <w:jc w:val="both"/>
        <w:rPr>
          <w:rFonts w:ascii="Arial" w:hAnsi="Arial" w:cs="Arial"/>
          <w:sz w:val="22"/>
          <w:szCs w:val="22"/>
        </w:rPr>
      </w:pPr>
    </w:p>
    <w:p w14:paraId="07E23F2D" w14:textId="77777777" w:rsidR="002D0563" w:rsidRPr="008A7AC0" w:rsidRDefault="002D0563" w:rsidP="002D0563">
      <w:pPr>
        <w:jc w:val="both"/>
        <w:rPr>
          <w:rFonts w:ascii="Arial" w:hAnsi="Arial" w:cs="Arial"/>
          <w:sz w:val="22"/>
          <w:szCs w:val="22"/>
        </w:rPr>
      </w:pPr>
    </w:p>
    <w:p w14:paraId="053D3208" w14:textId="5BCA41CF" w:rsidR="00F40520" w:rsidRPr="008A7AC0" w:rsidRDefault="00827953" w:rsidP="00827953">
      <w:pPr>
        <w:jc w:val="both"/>
        <w:rPr>
          <w:rFonts w:ascii="Arial" w:hAnsi="Arial" w:cs="Arial"/>
          <w:sz w:val="22"/>
          <w:szCs w:val="22"/>
        </w:rPr>
      </w:pPr>
      <w:r w:rsidRPr="008A7AC0">
        <w:rPr>
          <w:rFonts w:ascii="Arial" w:hAnsi="Arial" w:cs="Arial"/>
          <w:sz w:val="22"/>
          <w:szCs w:val="22"/>
        </w:rPr>
        <w:t>V Praze dne</w:t>
      </w:r>
    </w:p>
    <w:sectPr w:rsidR="00F40520" w:rsidRPr="008A7AC0" w:rsidSect="00827953">
      <w:headerReference w:type="default" r:id="rId6"/>
      <w:footerReference w:type="default" r:id="rId7"/>
      <w:type w:val="continuous"/>
      <w:pgSz w:w="11907" w:h="16840"/>
      <w:pgMar w:top="56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E3FF" w14:textId="77777777" w:rsidR="00827953" w:rsidRDefault="00827953">
      <w:r>
        <w:separator/>
      </w:r>
    </w:p>
  </w:endnote>
  <w:endnote w:type="continuationSeparator" w:id="0">
    <w:p w14:paraId="4645FFD2" w14:textId="77777777" w:rsidR="00827953" w:rsidRDefault="0082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13C0" w14:textId="77777777" w:rsidR="00827953" w:rsidRDefault="00827953">
    <w:pPr>
      <w:pStyle w:val="Zpat"/>
      <w:jc w:val="center"/>
    </w:pPr>
    <w:r>
      <w:fldChar w:fldCharType="begin"/>
    </w:r>
    <w:r>
      <w:instrText>PAGE   \* MERGEFORMAT</w:instrText>
    </w:r>
    <w:r>
      <w:fldChar w:fldCharType="separate"/>
    </w:r>
    <w:r>
      <w:t>2</w:t>
    </w:r>
    <w:r>
      <w:fldChar w:fldCharType="end"/>
    </w:r>
  </w:p>
  <w:p w14:paraId="58E79F4C" w14:textId="77777777" w:rsidR="00827953" w:rsidRDefault="008279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300E" w14:textId="77777777" w:rsidR="00827953" w:rsidRDefault="00827953">
      <w:r>
        <w:separator/>
      </w:r>
    </w:p>
  </w:footnote>
  <w:footnote w:type="continuationSeparator" w:id="0">
    <w:p w14:paraId="49568D41" w14:textId="77777777" w:rsidR="00827953" w:rsidRDefault="0082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D546"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06618"/>
    <w:rsid w:val="00035BE1"/>
    <w:rsid w:val="00094167"/>
    <w:rsid w:val="000A2D71"/>
    <w:rsid w:val="000A639E"/>
    <w:rsid w:val="000D49C6"/>
    <w:rsid w:val="000E3E64"/>
    <w:rsid w:val="001121C3"/>
    <w:rsid w:val="00114E4E"/>
    <w:rsid w:val="001203CE"/>
    <w:rsid w:val="0014681B"/>
    <w:rsid w:val="00147334"/>
    <w:rsid w:val="001676B2"/>
    <w:rsid w:val="00192420"/>
    <w:rsid w:val="00197392"/>
    <w:rsid w:val="001A76F9"/>
    <w:rsid w:val="001B6553"/>
    <w:rsid w:val="001D58B7"/>
    <w:rsid w:val="001E49A9"/>
    <w:rsid w:val="002055A2"/>
    <w:rsid w:val="00211E04"/>
    <w:rsid w:val="00230658"/>
    <w:rsid w:val="00234120"/>
    <w:rsid w:val="00254CB2"/>
    <w:rsid w:val="002750DE"/>
    <w:rsid w:val="002C486C"/>
    <w:rsid w:val="002C6B88"/>
    <w:rsid w:val="002D0563"/>
    <w:rsid w:val="00307A3C"/>
    <w:rsid w:val="00335BCB"/>
    <w:rsid w:val="00346619"/>
    <w:rsid w:val="00365707"/>
    <w:rsid w:val="003740E2"/>
    <w:rsid w:val="00374E10"/>
    <w:rsid w:val="00381B12"/>
    <w:rsid w:val="003A77BB"/>
    <w:rsid w:val="003E1419"/>
    <w:rsid w:val="00427526"/>
    <w:rsid w:val="0043604A"/>
    <w:rsid w:val="00443E2B"/>
    <w:rsid w:val="004514FC"/>
    <w:rsid w:val="00454FF0"/>
    <w:rsid w:val="004612CC"/>
    <w:rsid w:val="00476622"/>
    <w:rsid w:val="00485315"/>
    <w:rsid w:val="00493B6A"/>
    <w:rsid w:val="004979E8"/>
    <w:rsid w:val="004B075C"/>
    <w:rsid w:val="004B6FF4"/>
    <w:rsid w:val="004C3A4A"/>
    <w:rsid w:val="004F26F7"/>
    <w:rsid w:val="0052326D"/>
    <w:rsid w:val="00530111"/>
    <w:rsid w:val="00560E2A"/>
    <w:rsid w:val="005713D7"/>
    <w:rsid w:val="005C0BFA"/>
    <w:rsid w:val="005D6433"/>
    <w:rsid w:val="00625710"/>
    <w:rsid w:val="00655B11"/>
    <w:rsid w:val="006777A1"/>
    <w:rsid w:val="006A4EDD"/>
    <w:rsid w:val="006C3440"/>
    <w:rsid w:val="006E2592"/>
    <w:rsid w:val="006E6856"/>
    <w:rsid w:val="006F1A35"/>
    <w:rsid w:val="00791CBF"/>
    <w:rsid w:val="007A2BD2"/>
    <w:rsid w:val="007E2B8B"/>
    <w:rsid w:val="007E3A0A"/>
    <w:rsid w:val="00820F12"/>
    <w:rsid w:val="00827953"/>
    <w:rsid w:val="00834605"/>
    <w:rsid w:val="00835D9F"/>
    <w:rsid w:val="00836116"/>
    <w:rsid w:val="008424E7"/>
    <w:rsid w:val="00874186"/>
    <w:rsid w:val="00875440"/>
    <w:rsid w:val="00896C79"/>
    <w:rsid w:val="0089721D"/>
    <w:rsid w:val="008A7AC0"/>
    <w:rsid w:val="008B5A67"/>
    <w:rsid w:val="008D5121"/>
    <w:rsid w:val="00911582"/>
    <w:rsid w:val="00984112"/>
    <w:rsid w:val="00A31C3B"/>
    <w:rsid w:val="00A44A4E"/>
    <w:rsid w:val="00A72063"/>
    <w:rsid w:val="00A7764F"/>
    <w:rsid w:val="00AA714E"/>
    <w:rsid w:val="00AD0CCD"/>
    <w:rsid w:val="00AF09D6"/>
    <w:rsid w:val="00B04592"/>
    <w:rsid w:val="00B070B5"/>
    <w:rsid w:val="00B56780"/>
    <w:rsid w:val="00BC0356"/>
    <w:rsid w:val="00C03BBA"/>
    <w:rsid w:val="00C2745D"/>
    <w:rsid w:val="00C65B71"/>
    <w:rsid w:val="00C70A46"/>
    <w:rsid w:val="00C92B9E"/>
    <w:rsid w:val="00C9419D"/>
    <w:rsid w:val="00CA6C41"/>
    <w:rsid w:val="00CC06C7"/>
    <w:rsid w:val="00CE526C"/>
    <w:rsid w:val="00D01C6E"/>
    <w:rsid w:val="00D04880"/>
    <w:rsid w:val="00D35DFD"/>
    <w:rsid w:val="00D53ED9"/>
    <w:rsid w:val="00D70F94"/>
    <w:rsid w:val="00D96CDE"/>
    <w:rsid w:val="00E02FFC"/>
    <w:rsid w:val="00E063B4"/>
    <w:rsid w:val="00E37428"/>
    <w:rsid w:val="00E76374"/>
    <w:rsid w:val="00EC28AB"/>
    <w:rsid w:val="00EC3E05"/>
    <w:rsid w:val="00F10AB0"/>
    <w:rsid w:val="00F168E6"/>
    <w:rsid w:val="00F21FF3"/>
    <w:rsid w:val="00F2334F"/>
    <w:rsid w:val="00F255B8"/>
    <w:rsid w:val="00F40520"/>
    <w:rsid w:val="00F66730"/>
    <w:rsid w:val="00F82692"/>
    <w:rsid w:val="00F935EF"/>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B13A6D"/>
  <w14:defaultImageDpi w14:val="0"/>
  <w15:docId w15:val="{867D0DC6-15FA-4C29-815B-5B2C00A8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694033">
      <w:marLeft w:val="0"/>
      <w:marRight w:val="0"/>
      <w:marTop w:val="0"/>
      <w:marBottom w:val="0"/>
      <w:divBdr>
        <w:top w:val="none" w:sz="0" w:space="0" w:color="auto"/>
        <w:left w:val="none" w:sz="0" w:space="0" w:color="auto"/>
        <w:bottom w:val="none" w:sz="0" w:space="0" w:color="auto"/>
        <w:right w:val="none" w:sz="0" w:space="0" w:color="auto"/>
      </w:divBdr>
    </w:div>
    <w:div w:id="1393694034">
      <w:marLeft w:val="0"/>
      <w:marRight w:val="0"/>
      <w:marTop w:val="0"/>
      <w:marBottom w:val="0"/>
      <w:divBdr>
        <w:top w:val="none" w:sz="0" w:space="0" w:color="auto"/>
        <w:left w:val="none" w:sz="0" w:space="0" w:color="auto"/>
        <w:bottom w:val="none" w:sz="0" w:space="0" w:color="auto"/>
        <w:right w:val="none" w:sz="0" w:space="0" w:color="auto"/>
      </w:divBdr>
    </w:div>
    <w:div w:id="1393694035">
      <w:marLeft w:val="0"/>
      <w:marRight w:val="0"/>
      <w:marTop w:val="0"/>
      <w:marBottom w:val="0"/>
      <w:divBdr>
        <w:top w:val="none" w:sz="0" w:space="0" w:color="auto"/>
        <w:left w:val="none" w:sz="0" w:space="0" w:color="auto"/>
        <w:bottom w:val="none" w:sz="0" w:space="0" w:color="auto"/>
        <w:right w:val="none" w:sz="0" w:space="0" w:color="auto"/>
      </w:divBdr>
    </w:div>
    <w:div w:id="1393694036">
      <w:marLeft w:val="0"/>
      <w:marRight w:val="0"/>
      <w:marTop w:val="0"/>
      <w:marBottom w:val="0"/>
      <w:divBdr>
        <w:top w:val="none" w:sz="0" w:space="0" w:color="auto"/>
        <w:left w:val="none" w:sz="0" w:space="0" w:color="auto"/>
        <w:bottom w:val="none" w:sz="0" w:space="0" w:color="auto"/>
        <w:right w:val="none" w:sz="0" w:space="0" w:color="auto"/>
      </w:divBdr>
    </w:div>
    <w:div w:id="1393694037">
      <w:marLeft w:val="0"/>
      <w:marRight w:val="0"/>
      <w:marTop w:val="0"/>
      <w:marBottom w:val="0"/>
      <w:divBdr>
        <w:top w:val="none" w:sz="0" w:space="0" w:color="auto"/>
        <w:left w:val="none" w:sz="0" w:space="0" w:color="auto"/>
        <w:bottom w:val="none" w:sz="0" w:space="0" w:color="auto"/>
        <w:right w:val="none" w:sz="0" w:space="0" w:color="auto"/>
      </w:divBdr>
    </w:div>
    <w:div w:id="1393694038">
      <w:marLeft w:val="0"/>
      <w:marRight w:val="0"/>
      <w:marTop w:val="0"/>
      <w:marBottom w:val="0"/>
      <w:divBdr>
        <w:top w:val="none" w:sz="0" w:space="0" w:color="auto"/>
        <w:left w:val="none" w:sz="0" w:space="0" w:color="auto"/>
        <w:bottom w:val="none" w:sz="0" w:space="0" w:color="auto"/>
        <w:right w:val="none" w:sz="0" w:space="0" w:color="auto"/>
      </w:divBdr>
    </w:div>
    <w:div w:id="1393694039">
      <w:marLeft w:val="0"/>
      <w:marRight w:val="0"/>
      <w:marTop w:val="0"/>
      <w:marBottom w:val="0"/>
      <w:divBdr>
        <w:top w:val="none" w:sz="0" w:space="0" w:color="auto"/>
        <w:left w:val="none" w:sz="0" w:space="0" w:color="auto"/>
        <w:bottom w:val="none" w:sz="0" w:space="0" w:color="auto"/>
        <w:right w:val="none" w:sz="0" w:space="0" w:color="auto"/>
      </w:divBdr>
    </w:div>
    <w:div w:id="1393694040">
      <w:marLeft w:val="0"/>
      <w:marRight w:val="0"/>
      <w:marTop w:val="0"/>
      <w:marBottom w:val="0"/>
      <w:divBdr>
        <w:top w:val="none" w:sz="0" w:space="0" w:color="auto"/>
        <w:left w:val="none" w:sz="0" w:space="0" w:color="auto"/>
        <w:bottom w:val="none" w:sz="0" w:space="0" w:color="auto"/>
        <w:right w:val="none" w:sz="0" w:space="0" w:color="auto"/>
      </w:divBdr>
    </w:div>
    <w:div w:id="1393694041">
      <w:marLeft w:val="0"/>
      <w:marRight w:val="0"/>
      <w:marTop w:val="0"/>
      <w:marBottom w:val="0"/>
      <w:divBdr>
        <w:top w:val="none" w:sz="0" w:space="0" w:color="auto"/>
        <w:left w:val="none" w:sz="0" w:space="0" w:color="auto"/>
        <w:bottom w:val="none" w:sz="0" w:space="0" w:color="auto"/>
        <w:right w:val="none" w:sz="0" w:space="0" w:color="auto"/>
      </w:divBdr>
    </w:div>
    <w:div w:id="13936940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1751</Words>
  <Characters>10337</Characters>
  <Application>Microsoft Office Word</Application>
  <DocSecurity>0</DocSecurity>
  <Lines>86</Lines>
  <Paragraphs>24</Paragraphs>
  <ScaleCrop>false</ScaleCrop>
  <Company>Pozemkový Fond ČR</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2025-11-12T16:45:00Z</cp:lastPrinted>
  <dcterms:created xsi:type="dcterms:W3CDTF">2025-11-27T12:47:00Z</dcterms:created>
  <dcterms:modified xsi:type="dcterms:W3CDTF">2025-11-27T12:48:00Z</dcterms:modified>
</cp:coreProperties>
</file>