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77301A50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7E775B">
        <w:rPr>
          <w:rFonts w:ascii="Arial" w:hAnsi="Arial" w:cs="Arial"/>
          <w:b/>
          <w:sz w:val="24"/>
          <w:szCs w:val="24"/>
        </w:rPr>
        <w:t>2025/5899/NM</w:t>
      </w:r>
    </w:p>
    <w:p w14:paraId="06B8D81D" w14:textId="255FA4F9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7E775B">
        <w:rPr>
          <w:rFonts w:ascii="Arial" w:hAnsi="Arial" w:cs="Arial"/>
          <w:b/>
          <w:sz w:val="24"/>
          <w:szCs w:val="24"/>
        </w:rPr>
        <w:t>2516</w:t>
      </w:r>
      <w:r w:rsidR="00DE058C">
        <w:rPr>
          <w:rFonts w:ascii="Arial" w:hAnsi="Arial" w:cs="Arial"/>
          <w:b/>
          <w:sz w:val="24"/>
          <w:szCs w:val="24"/>
        </w:rPr>
        <w:t>99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D4877D6" w14:textId="77777777" w:rsidR="008C0F36" w:rsidRPr="008C0F36" w:rsidRDefault="008C0F36" w:rsidP="008C0F36">
      <w:pPr>
        <w:jc w:val="both"/>
        <w:rPr>
          <w:rFonts w:ascii="Arial" w:hAnsi="Arial" w:cs="Arial"/>
          <w:b/>
          <w:sz w:val="24"/>
          <w:szCs w:val="24"/>
        </w:rPr>
      </w:pPr>
      <w:r w:rsidRPr="008C0F36">
        <w:rPr>
          <w:rFonts w:ascii="Arial" w:hAnsi="Arial" w:cs="Arial"/>
          <w:b/>
          <w:sz w:val="24"/>
          <w:szCs w:val="24"/>
        </w:rPr>
        <w:t>CSF, s.r.o.</w:t>
      </w:r>
    </w:p>
    <w:p w14:paraId="602A4CF1" w14:textId="77777777" w:rsidR="008C0F36" w:rsidRPr="008C0F36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se sídlem Střelecká 672, 50002 Hradec Králové</w:t>
      </w:r>
    </w:p>
    <w:p w14:paraId="51D6B1A9" w14:textId="77777777" w:rsidR="008C0F36" w:rsidRPr="008C0F36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IČ: 25289462, DIČ:CZ25289462</w:t>
      </w:r>
    </w:p>
    <w:p w14:paraId="346A80C1" w14:textId="66AC23F2" w:rsidR="008C0F36" w:rsidRPr="008C0F36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 xml:space="preserve">Bankovní účet: </w:t>
      </w:r>
      <w:r w:rsidR="00971C7E">
        <w:rPr>
          <w:rFonts w:ascii="Arial" w:hAnsi="Arial" w:cs="Arial"/>
          <w:bCs/>
          <w:sz w:val="24"/>
          <w:szCs w:val="24"/>
        </w:rPr>
        <w:t>xxxxxxxxxxxxxxxxxxxxxxxxxxxxxxxx</w:t>
      </w:r>
    </w:p>
    <w:p w14:paraId="74DA3637" w14:textId="77777777" w:rsidR="008C0F36" w:rsidRPr="008C0F36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Zastoupena: Tomášem Pavelkou, jednatelem</w:t>
      </w:r>
    </w:p>
    <w:p w14:paraId="3A23C06A" w14:textId="2F17EB6E" w:rsidR="008C0F36" w:rsidRPr="008C0F36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zapsaná v obchodním rejstříku vedeném u Krajského soudu v Hradci Králové oddíl C, vložka 13316</w:t>
      </w:r>
    </w:p>
    <w:p w14:paraId="4E77D3A7" w14:textId="77777777" w:rsidR="00A47530" w:rsidRDefault="008C0F36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(dále jen „prodávající“)</w:t>
      </w:r>
    </w:p>
    <w:p w14:paraId="162C8CCE" w14:textId="77777777" w:rsidR="00A47530" w:rsidRDefault="00A47530" w:rsidP="008C0F36">
      <w:pPr>
        <w:jc w:val="both"/>
        <w:rPr>
          <w:rFonts w:ascii="Arial" w:hAnsi="Arial" w:cs="Arial"/>
          <w:bCs/>
          <w:sz w:val="24"/>
          <w:szCs w:val="24"/>
        </w:rPr>
      </w:pPr>
    </w:p>
    <w:p w14:paraId="03EBA5FF" w14:textId="65FF8209" w:rsidR="00135BB1" w:rsidRPr="008C0F36" w:rsidRDefault="00135BB1" w:rsidP="008C0F36">
      <w:pPr>
        <w:jc w:val="both"/>
        <w:rPr>
          <w:rFonts w:ascii="Arial" w:hAnsi="Arial" w:cs="Arial"/>
          <w:bCs/>
          <w:sz w:val="24"/>
          <w:szCs w:val="24"/>
        </w:rPr>
      </w:pPr>
      <w:r w:rsidRPr="008C0F36">
        <w:rPr>
          <w:rFonts w:ascii="Arial" w:hAnsi="Arial" w:cs="Arial"/>
          <w:bCs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72CCFC5F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BD7D06">
        <w:rPr>
          <w:rFonts w:ascii="Arial" w:hAnsi="Arial" w:cs="Arial"/>
          <w:sz w:val="24"/>
          <w:szCs w:val="24"/>
        </w:rPr>
        <w:t xml:space="preserve">250319, </w:t>
      </w:r>
      <w:r w:rsidR="00A47530" w:rsidRPr="00A47530">
        <w:rPr>
          <w:rFonts w:ascii="Arial" w:hAnsi="Arial" w:cs="Arial"/>
          <w:sz w:val="24"/>
          <w:szCs w:val="24"/>
        </w:rPr>
        <w:t xml:space="preserve"> N006/25/V00036858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0F0A9261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BD7D06">
        <w:rPr>
          <w:rFonts w:cs="Arial"/>
          <w:szCs w:val="24"/>
        </w:rPr>
        <w:t>31.12.2025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570FA651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7D14A8">
        <w:rPr>
          <w:rFonts w:cs="Arial"/>
          <w:szCs w:val="24"/>
        </w:rPr>
        <w:t>722.091,00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7D14A8">
        <w:rPr>
          <w:rFonts w:cs="Arial"/>
          <w:szCs w:val="24"/>
        </w:rPr>
        <w:t>151.639,11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7D14A8">
        <w:rPr>
          <w:rFonts w:cs="Arial"/>
          <w:szCs w:val="24"/>
        </w:rPr>
        <w:t>873.730,11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0EAC5158" w:rsidR="006B0546" w:rsidRPr="00587D3E" w:rsidRDefault="00971C7E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9850D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71690800" w14:textId="77777777" w:rsidR="00971C7E" w:rsidRDefault="00971C7E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403DB7F9" w:rsidR="00971C7E" w:rsidRPr="00587D3E" w:rsidRDefault="00971C7E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807A650" w:rsidR="006B0546" w:rsidRPr="00587D3E" w:rsidRDefault="00EE4D7C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Tomáš Pavelka,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121645" w14:textId="3CCF9C5F" w:rsidR="00EE4D7C" w:rsidRPr="00EE4D7C" w:rsidRDefault="00EE4D7C" w:rsidP="00EE4D7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E4D7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Ing. Martin Souček, Ph.D., ředitel Odboru digitalizace a informačních systémů 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2A62A4" w14:textId="77777777" w:rsidR="00EE4D7C" w:rsidRDefault="00EE4D7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62129B" w14:textId="77777777" w:rsidR="00EE4D7C" w:rsidRDefault="00EE4D7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815436" w14:textId="77777777" w:rsidR="00EE4D7C" w:rsidRDefault="00EE4D7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0A49C2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DDA4DE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848815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3D3BD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54F80A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C404D3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54568F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460EEA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140DCC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0D4F1E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CF83FB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32A593" w14:textId="77777777" w:rsidR="007D2C52" w:rsidRDefault="007D2C5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820183" w14:textId="503BAD97" w:rsidR="00EE4D7C" w:rsidRPr="007D2C52" w:rsidRDefault="00EE4D7C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2C52">
        <w:rPr>
          <w:rFonts w:ascii="Arial" w:hAnsi="Arial" w:cs="Arial"/>
          <w:b/>
          <w:bCs/>
          <w:sz w:val="24"/>
          <w:szCs w:val="24"/>
        </w:rPr>
        <w:t>Příloha č.1</w:t>
      </w:r>
    </w:p>
    <w:p w14:paraId="7EA2C2E6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Technická specifikace Páskové knihovny a obsluhovacího serveru</w:t>
      </w:r>
    </w:p>
    <w:p w14:paraId="451BE565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Technická specifikace páskové mechaniky</w:t>
      </w:r>
    </w:p>
    <w:p w14:paraId="5A3C26A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</w:p>
    <w:p w14:paraId="50A317FA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s robotem , počet slotů minimálně 40</w:t>
      </w:r>
    </w:p>
    <w:p w14:paraId="1BDBA6B7" w14:textId="04AFD18D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 xml:space="preserve">Pásková knihovna musí umožňovat osazení minimálně 3ks Half-height LTO Ultrium      7 / 8 / 9 mechanik v základním modulu </w:t>
      </w:r>
    </w:p>
    <w:p w14:paraId="54978C9A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musí umožňovat případné rozšíření pomocí expanzních modulů až na 48 Half-height LTO Ultrium mechanik, resp. 640 slotů</w:t>
      </w:r>
    </w:p>
    <w:p w14:paraId="54F9CCC8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musí být osazena minimálně 2x LTO Ultrium 9 SAS mechanikami</w:t>
      </w:r>
    </w:p>
    <w:p w14:paraId="0E31F086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Součástí dodávky musí být minimálně 80ks LTO Ultrium 9 RW pásek včetně labelů s čárovým kódem</w:t>
      </w:r>
    </w:p>
    <w:p w14:paraId="2CE4EC51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Součástí dodávky musí být minimálně 1ks LTO Ultrium čistící pásky</w:t>
      </w:r>
    </w:p>
    <w:p w14:paraId="654ABCA2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Páskové mechaniky musí umožňovat připojení pomocí 12Gb SAS rozhraní, příslušná kabeláž pro připojení k adaptéru musí být součástí dodávky, délka kabelů min. 2 metry</w:t>
      </w:r>
    </w:p>
    <w:p w14:paraId="7F33918D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( bez exp. modulů ) musí umožňovat uložení minimálně 720 TB bez komprese</w:t>
      </w:r>
    </w:p>
    <w:p w14:paraId="7863D45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musí umožňovat „partitioning“</w:t>
      </w:r>
    </w:p>
    <w:p w14:paraId="28D61334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Správa knihovny musí být možná pomocí čelního LCD panelu a pomocí webového rozhraní</w:t>
      </w:r>
    </w:p>
    <w:p w14:paraId="37AB86A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Pásková knihovna musí být osazena redundantními napájecími zdroji</w:t>
      </w:r>
    </w:p>
    <w:p w14:paraId="4A58DF66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Knihovna může vyžadovat v racku prostor maximálně 3U (rack unit)</w:t>
      </w:r>
    </w:p>
    <w:p w14:paraId="4E7F3122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Knihovna musí umožňovat instalaci do standardních racků</w:t>
      </w:r>
    </w:p>
    <w:p w14:paraId="008CC078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5-letou servisní podporu na hardware a software s odezvou do druhého pracovního dne</w:t>
      </w:r>
    </w:p>
    <w:p w14:paraId="32C06A46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</w:p>
    <w:p w14:paraId="1AB9DF7E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 xml:space="preserve">Technická specifikace obsluhujícího serveru </w:t>
      </w:r>
    </w:p>
    <w:p w14:paraId="67BF9E81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Dvousoketový server o velikosti maximálně 1U včetně rackmount kitu</w:t>
      </w:r>
    </w:p>
    <w:p w14:paraId="3D30A620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Možnost osadit procesory 4. a 5. generace Intel Xeon</w:t>
      </w:r>
    </w:p>
    <w:p w14:paraId="0E61E0F6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 xml:space="preserve">Osazen 1x CPU , minimálně 12 jader, velikost cache min. 30 MB, nominální frekvence min. 2.4 GHz </w:t>
      </w:r>
    </w:p>
    <w:p w14:paraId="5BFFEDD8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Min. 32x DIMM slotů ( 16 per CPU ) s možností osazeni až 8TB</w:t>
      </w:r>
    </w:p>
    <w:p w14:paraId="04546551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Velikost osazené RAM minimálně 64GB pomocí DIMM modulů DDR5 5600 MT/s</w:t>
      </w:r>
    </w:p>
    <w:p w14:paraId="34BF92D8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 xml:space="preserve">Dva za chodu vyměnitelné napájecí zdroje s příkonem minimálně 1000W s certifikací Titanium </w:t>
      </w:r>
    </w:p>
    <w:p w14:paraId="347127B6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Větráky v serveru musí být vyměnitelné za provozu a redundantní</w:t>
      </w:r>
    </w:p>
    <w:p w14:paraId="740D304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Minimálně 2x interní USB konektory ( minimálně 1x USB 3.2 )</w:t>
      </w:r>
    </w:p>
    <w:p w14:paraId="390218B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Minimálně 3x externí USB 3.2 konektory</w:t>
      </w:r>
    </w:p>
    <w:p w14:paraId="207B0750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Prediktivní analýza poruch min. pro RAM, CPU, napájecí zdroje a ventilátor</w:t>
      </w:r>
    </w:p>
    <w:p w14:paraId="2AD451F2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Minimálně 2 sloty PCIe 5.0 x16/x16 součástí dodávky</w:t>
      </w:r>
    </w:p>
    <w:p w14:paraId="2E58682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Možnost rozšíření o třetí slot PCIe 5.0 x16/x16</w:t>
      </w:r>
    </w:p>
    <w:p w14:paraId="109FDB89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1x 4-portovou 1Gb síťovou kartu s podporou Large Send and Receive offload capability, VLAN tagging, MSI-X, jumbo frames, IEEE 1588, VMware NetQueue a Microsoft VMQ</w:t>
      </w:r>
    </w:p>
    <w:p w14:paraId="5FB5E1EC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1x 1Gb LAN port pro servisní procesor</w:t>
      </w:r>
    </w:p>
    <w:p w14:paraId="5FA8FBB1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1x 2-portovou 10/25Gb SFP+ síťovou kartu s podporou VXLAN, NVGRE, GENEVE, RoCEv1, RoCEv2, včetně 2 DAC kabelů 10G o délce 3m</w:t>
      </w:r>
    </w:p>
    <w:p w14:paraId="70CC90C9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Možnost osazení bootovacího zařízení s redundantními NVMe disky, které nezabírá diskové pozice ani PCIe slot</w:t>
      </w:r>
    </w:p>
    <w:p w14:paraId="72DB66E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 xml:space="preserve">Pozice pro osazení min. 8 SFF hot-swap SAS/SATA/NVMe SSD a HDD </w:t>
      </w:r>
    </w:p>
    <w:p w14:paraId="66079DBB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Možností rozšiření o 2 SFF hot-swap SAS/SATA/NVMe HDD</w:t>
      </w:r>
    </w:p>
    <w:p w14:paraId="4D3B0BD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osazení 2x hot-swap SSD o kapacitě min. 960GB</w:t>
      </w:r>
    </w:p>
    <w:p w14:paraId="6D42091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osazení minimálně 2x hot-swap HDD o kapacitě min. 2.4TB</w:t>
      </w:r>
    </w:p>
    <w:p w14:paraId="1963132B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lastRenderedPageBreak/>
        <w:t>•</w:t>
      </w:r>
      <w:r w:rsidRPr="00213652">
        <w:rPr>
          <w:rFonts w:ascii="Arial" w:hAnsi="Arial" w:cs="Arial"/>
        </w:rPr>
        <w:tab/>
        <w:t>Požadujeme RAID řadič s podporou RAID 0,1,5,10 , podpora SATA/SAS a NVMe disků, cache min. 4GB, nezabírající PCIe slot, možnost konfigurace v CLI , GUI a skriptování, zobrazování informací o SSD Wear Gauge, podpora SPDM (Security Protection Data Model)</w:t>
      </w:r>
    </w:p>
    <w:p w14:paraId="08E31671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dual portový řadič SAS 12Gb pro připojení páskové knihovny</w:t>
      </w:r>
    </w:p>
    <w:p w14:paraId="0AE09AE9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Podpora UEFI Secure Boot</w:t>
      </w:r>
    </w:p>
    <w:p w14:paraId="65A3966A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Podpora pro NVMe boot</w:t>
      </w:r>
    </w:p>
    <w:p w14:paraId="4FCE3C12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Podpora pro PXE boot IPv6</w:t>
      </w:r>
    </w:p>
    <w:p w14:paraId="35E35708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Podpora pro HTTP/HTTPS boot</w:t>
      </w:r>
    </w:p>
    <w:p w14:paraId="6D8E953C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Embedded TPM 2.0</w:t>
      </w:r>
    </w:p>
    <w:p w14:paraId="12001C01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Možnost plnohodnotné integrace do prostředí HPE OneView</w:t>
      </w:r>
    </w:p>
    <w:p w14:paraId="293F19EC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Integrovaný nezávislý procesor pro vzdálenou správu umožňující :</w:t>
      </w:r>
    </w:p>
    <w:p w14:paraId="74D2381D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Řízení přístupových práv k centrální části SW a k management nástrojům pomocí účtů Active Directory domény, dvoufaktorová autentizace uživatele PINem a certifikátem</w:t>
      </w:r>
    </w:p>
    <w:p w14:paraId="3FBFB861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Virtuální KVM (tj. převzetí textové i grafické konsole serveru a zajištění přenosu povelů z klávesnice a myši vzdáleného počítače), včetně možnosti sdílení až čtyřmi uživateli současně u plně grafické konsole</w:t>
      </w:r>
    </w:p>
    <w:p w14:paraId="3911473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Vzdálená grafická konsole s rozlišením min. 1600x1200</w:t>
      </w:r>
    </w:p>
    <w:p w14:paraId="66E5EAFC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GUI v HTML5 interface s možností využití běžných www prohlížečů integrovaných v desktopovém OS pro správu serverů (IE, Firefox)</w:t>
      </w:r>
    </w:p>
    <w:p w14:paraId="1D74B5DE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přesměrování terminálových služeb Windows na dedikovaný management port</w:t>
      </w:r>
    </w:p>
    <w:p w14:paraId="2171C3D7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záznamu a následného přehrání videozáznamu chybové obrazovky a následného restartu</w:t>
      </w:r>
    </w:p>
    <w:p w14:paraId="2472DFCE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Zapnutí, vypnutí a restart serveru na dálku</w:t>
      </w:r>
    </w:p>
    <w:p w14:paraId="6600AD5D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Namapování vzdálených medií Floppy/CD, image souborů a adresářů</w:t>
      </w:r>
    </w:p>
    <w:p w14:paraId="4307A639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Kódování Advanced Encryption Standard (AES) a Triple Data Encryption Standard (3DES) pro zabezpečení komunikace s běžnými www prohlížeči</w:t>
      </w:r>
    </w:p>
    <w:p w14:paraId="17809F98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RESTful API rozhraní pro skriptování</w:t>
      </w:r>
    </w:p>
    <w:p w14:paraId="3C773740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detekce otevření chassis serveru</w:t>
      </w:r>
    </w:p>
    <w:p w14:paraId="448F7275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Musí umožňovat stabilizaci nežádoucích fluktuací frekvence procesoru mezi nativní a Turbo frekvencí</w:t>
      </w:r>
    </w:p>
    <w:p w14:paraId="4E26D509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Musí umožňovat optimalizaci výkonu serveru v závislosti na zvoleném druhu zátěže</w:t>
      </w:r>
    </w:p>
    <w:p w14:paraId="42C78EA4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nastavit sdílenou komunikaci pro správu celého systému přes standardní integrovaný Ethernet port s možností využití technologie VPN</w:t>
      </w:r>
    </w:p>
    <w:p w14:paraId="7CB7F148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zasílání proaktivních hlášení o možných chybách v systému pomocí SNMP v3 a také na uživatelsky definovanou emailovou adresu</w:t>
      </w:r>
    </w:p>
    <w:p w14:paraId="37B050D7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Monitorování okamžité teploty a záznam hodnot do lokální db</w:t>
      </w:r>
    </w:p>
    <w:p w14:paraId="021A2159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skupinové správy všech poptávaných serverů prostřednictvím jedné servisní konzole</w:t>
      </w:r>
    </w:p>
    <w:p w14:paraId="3F7E139F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Možnost skupinového update firmware více serverů bez nutnosti instalace SW</w:t>
      </w:r>
    </w:p>
    <w:p w14:paraId="62C38EC2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Správa serverů umožňuje vzdálené monitorování a reporting událostí/závad i mimo firemní síť/VPN, v rámci globálního internetového portálu nebo cloud služby s podporou pro mobilní zařízení (Android, iOS)</w:t>
      </w:r>
    </w:p>
    <w:p w14:paraId="03488AB6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Server musí být schopen zajistit bezpečný provoz firmware komponent v serveru (minimálně HDD, SSD, síťové adaptéry, BIOS a vzdálenou správu) po celou dobu životnosti serveru. Server musí být schopen autonomně monitorovat autenticitu firmware na těchto komponentách</w:t>
      </w:r>
    </w:p>
    <w:p w14:paraId="10FE209E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Integrovaný nástroj pro upgrade firmware s možností automatické aktualizace od výrobce HW</w:t>
      </w:r>
    </w:p>
    <w:p w14:paraId="0035FF3B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Integrovaný nástroj pro plnohodnotnou konfiguraci RAID řadiče v grafickém prostředí</w:t>
      </w:r>
    </w:p>
    <w:p w14:paraId="328D3CE5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Podporované operační systémy, podpora musí být uvedená na oficiálních stránkách výrobce:</w:t>
      </w:r>
    </w:p>
    <w:p w14:paraId="6F65FB7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Windows Server 2019, Windows Server 2022</w:t>
      </w:r>
    </w:p>
    <w:p w14:paraId="366C6656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 xml:space="preserve">VMware ESXi 7, ESXi 8      </w:t>
      </w:r>
    </w:p>
    <w:p w14:paraId="779EB8F2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Canonical Ubuntu 20.04, 22.04, 24.04</w:t>
      </w:r>
    </w:p>
    <w:p w14:paraId="1F2A159A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Red Hat Enterprise Linux (RHEL) 8.6, 9.0</w:t>
      </w:r>
    </w:p>
    <w:p w14:paraId="2C8B67D3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Oracle Linux 9</w:t>
      </w:r>
    </w:p>
    <w:p w14:paraId="7B1AC9F0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-</w:t>
      </w:r>
      <w:r w:rsidRPr="00213652">
        <w:rPr>
          <w:rFonts w:ascii="Arial" w:hAnsi="Arial" w:cs="Arial"/>
        </w:rPr>
        <w:tab/>
        <w:t>CentOS</w:t>
      </w:r>
    </w:p>
    <w:p w14:paraId="4DC1F68B" w14:textId="77777777" w:rsidR="007D2C52" w:rsidRPr="00213652" w:rsidRDefault="007D2C52" w:rsidP="007D2C52">
      <w:pPr>
        <w:spacing w:line="276" w:lineRule="auto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lastRenderedPageBreak/>
        <w:t>-</w:t>
      </w:r>
      <w:r w:rsidRPr="00213652">
        <w:rPr>
          <w:rFonts w:ascii="Arial" w:hAnsi="Arial" w:cs="Arial"/>
        </w:rPr>
        <w:tab/>
        <w:t>SUSE Linux Enterprise Server (SLES) 15 SP4/5, SLE Micro 5.3/5.5</w:t>
      </w:r>
    </w:p>
    <w:p w14:paraId="251C242A" w14:textId="77777777" w:rsidR="007D2C52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5-letou servisní podporu hardware a software třetích stran s pokrytím NBD, komunikace servisní podpory v českém jazyce</w:t>
      </w:r>
    </w:p>
    <w:p w14:paraId="266D5A3B" w14:textId="43A427CA" w:rsidR="00EE712A" w:rsidRPr="00213652" w:rsidRDefault="007D2C52" w:rsidP="007D2C52">
      <w:pPr>
        <w:spacing w:line="276" w:lineRule="auto"/>
        <w:ind w:left="705" w:hanging="705"/>
        <w:jc w:val="both"/>
        <w:rPr>
          <w:rFonts w:ascii="Arial" w:hAnsi="Arial" w:cs="Arial"/>
        </w:rPr>
      </w:pPr>
      <w:r w:rsidRPr="00213652">
        <w:rPr>
          <w:rFonts w:ascii="Arial" w:hAnsi="Arial" w:cs="Arial"/>
        </w:rPr>
        <w:t>•</w:t>
      </w:r>
      <w:r w:rsidRPr="00213652">
        <w:rPr>
          <w:rFonts w:ascii="Arial" w:hAnsi="Arial" w:cs="Arial"/>
        </w:rPr>
        <w:tab/>
        <w:t>Požadujeme službu vzdáleného dohledu (call home ) ze strany výrobce serveru ideálně s moznosti sledovaní stavu servisních incidentů na portálu výrobce komunikace servisní podpory v českém jazyce</w:t>
      </w:r>
    </w:p>
    <w:p w14:paraId="367572A6" w14:textId="77777777" w:rsidR="00EE712A" w:rsidRPr="00213652" w:rsidRDefault="00EE712A" w:rsidP="006B0546">
      <w:pPr>
        <w:spacing w:line="276" w:lineRule="auto"/>
        <w:jc w:val="both"/>
        <w:rPr>
          <w:rFonts w:ascii="Arial" w:hAnsi="Arial" w:cs="Arial"/>
        </w:rPr>
      </w:pPr>
    </w:p>
    <w:p w14:paraId="5F2FFD81" w14:textId="77777777" w:rsidR="00EE4D7C" w:rsidRPr="00213652" w:rsidRDefault="00EE4D7C" w:rsidP="006B0546">
      <w:pPr>
        <w:spacing w:line="276" w:lineRule="auto"/>
        <w:jc w:val="both"/>
        <w:rPr>
          <w:rFonts w:ascii="Arial" w:hAnsi="Arial" w:cs="Arial"/>
        </w:rPr>
      </w:pPr>
    </w:p>
    <w:sectPr w:rsidR="00EE4D7C" w:rsidRPr="00213652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5C84" w14:textId="77777777" w:rsidR="005D7488" w:rsidRDefault="005D7488">
      <w:r>
        <w:separator/>
      </w:r>
    </w:p>
  </w:endnote>
  <w:endnote w:type="continuationSeparator" w:id="0">
    <w:p w14:paraId="4F29CC13" w14:textId="77777777" w:rsidR="005D7488" w:rsidRDefault="005D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98DA" w14:textId="77777777" w:rsidR="005D7488" w:rsidRDefault="005D7488">
      <w:r>
        <w:separator/>
      </w:r>
    </w:p>
  </w:footnote>
  <w:footnote w:type="continuationSeparator" w:id="0">
    <w:p w14:paraId="4A073A98" w14:textId="77777777" w:rsidR="005D7488" w:rsidRDefault="005D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13652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63809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D7488"/>
    <w:rsid w:val="005E36CA"/>
    <w:rsid w:val="005E3F58"/>
    <w:rsid w:val="0065096B"/>
    <w:rsid w:val="00653D99"/>
    <w:rsid w:val="0069320A"/>
    <w:rsid w:val="006948A9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D14A8"/>
    <w:rsid w:val="007D2C52"/>
    <w:rsid w:val="007E5BDA"/>
    <w:rsid w:val="007E775B"/>
    <w:rsid w:val="00807875"/>
    <w:rsid w:val="0082484E"/>
    <w:rsid w:val="008274ED"/>
    <w:rsid w:val="00831E2F"/>
    <w:rsid w:val="0084392A"/>
    <w:rsid w:val="00866BCE"/>
    <w:rsid w:val="0087702E"/>
    <w:rsid w:val="008872C1"/>
    <w:rsid w:val="00893FF2"/>
    <w:rsid w:val="008A289C"/>
    <w:rsid w:val="008B65C0"/>
    <w:rsid w:val="008C0F36"/>
    <w:rsid w:val="008D28E2"/>
    <w:rsid w:val="008E0B43"/>
    <w:rsid w:val="00930F9F"/>
    <w:rsid w:val="0093262F"/>
    <w:rsid w:val="00957820"/>
    <w:rsid w:val="00971C7E"/>
    <w:rsid w:val="009933A0"/>
    <w:rsid w:val="00996521"/>
    <w:rsid w:val="009A6026"/>
    <w:rsid w:val="009F2B03"/>
    <w:rsid w:val="00A23393"/>
    <w:rsid w:val="00A34FC3"/>
    <w:rsid w:val="00A47530"/>
    <w:rsid w:val="00A55667"/>
    <w:rsid w:val="00AA51BA"/>
    <w:rsid w:val="00AB7062"/>
    <w:rsid w:val="00AD1433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D7B58"/>
    <w:rsid w:val="00BD7D06"/>
    <w:rsid w:val="00C275DD"/>
    <w:rsid w:val="00C34B54"/>
    <w:rsid w:val="00C73BB9"/>
    <w:rsid w:val="00C80D98"/>
    <w:rsid w:val="00CB1B2A"/>
    <w:rsid w:val="00CC0185"/>
    <w:rsid w:val="00CC6DDA"/>
    <w:rsid w:val="00CE0D2D"/>
    <w:rsid w:val="00D017C0"/>
    <w:rsid w:val="00D51A52"/>
    <w:rsid w:val="00D8555D"/>
    <w:rsid w:val="00DC724C"/>
    <w:rsid w:val="00DE058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4D7C"/>
    <w:rsid w:val="00EE58A5"/>
    <w:rsid w:val="00EE5D21"/>
    <w:rsid w:val="00EE712A"/>
    <w:rsid w:val="00EF20C4"/>
    <w:rsid w:val="00EF659E"/>
    <w:rsid w:val="00F03C53"/>
    <w:rsid w:val="00F22E89"/>
    <w:rsid w:val="00F403C2"/>
    <w:rsid w:val="00F46AA2"/>
    <w:rsid w:val="00FA7221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4D7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30C3CC84-F680-49E7-8730-023594DA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2025-11-25T15:02:00Z</dcterms:created>
  <dcterms:modified xsi:type="dcterms:W3CDTF">2025-11-25T15:03:00Z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