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F8CD" w14:textId="77777777" w:rsidR="00652FC2" w:rsidRDefault="00652FC2">
      <w:pPr>
        <w:pStyle w:val="Nadpisuser"/>
        <w:keepNext/>
        <w:tabs>
          <w:tab w:val="right" w:pos="7088"/>
          <w:tab w:val="right" w:pos="9356"/>
        </w:tabs>
        <w:spacing w:after="120"/>
        <w:rPr>
          <w:rFonts w:ascii="Garamond" w:hAnsi="Garamond"/>
          <w:color w:val="auto"/>
          <w:sz w:val="22"/>
          <w:szCs w:val="22"/>
        </w:rPr>
      </w:pPr>
    </w:p>
    <w:p w14:paraId="5E8CC97B" w14:textId="77777777" w:rsidR="00652FC2" w:rsidRDefault="00BD704B">
      <w:pPr>
        <w:pStyle w:val="Nadpisuser"/>
        <w:keepNext/>
        <w:tabs>
          <w:tab w:val="right" w:pos="7088"/>
          <w:tab w:val="right" w:pos="9356"/>
        </w:tabs>
        <w:spacing w:after="120"/>
        <w:rPr>
          <w:rFonts w:ascii="Garamond" w:hAnsi="Garamond"/>
          <w:color w:val="auto"/>
          <w:sz w:val="28"/>
          <w:szCs w:val="28"/>
        </w:rPr>
      </w:pPr>
      <w:r>
        <w:rPr>
          <w:rFonts w:ascii="Garamond" w:hAnsi="Garamond"/>
          <w:color w:val="auto"/>
          <w:sz w:val="28"/>
          <w:szCs w:val="28"/>
        </w:rPr>
        <w:t xml:space="preserve">RÁMCOVÁ DOHODA </w:t>
      </w:r>
    </w:p>
    <w:p w14:paraId="5A1A5AEF" w14:textId="77777777" w:rsidR="00652FC2" w:rsidRDefault="00BD704B">
      <w:pPr>
        <w:pStyle w:val="Nadpisuser"/>
        <w:keepNext/>
        <w:tabs>
          <w:tab w:val="right" w:pos="7088"/>
          <w:tab w:val="right" w:pos="9356"/>
        </w:tabs>
        <w:rPr>
          <w:rFonts w:ascii="Garamond" w:hAnsi="Garamond"/>
          <w:color w:val="auto"/>
          <w:sz w:val="28"/>
          <w:szCs w:val="28"/>
        </w:rPr>
      </w:pPr>
      <w:r>
        <w:rPr>
          <w:rFonts w:ascii="Garamond" w:hAnsi="Garamond"/>
          <w:caps/>
          <w:color w:val="auto"/>
          <w:sz w:val="28"/>
          <w:szCs w:val="28"/>
        </w:rPr>
        <w:t>SNÍMAČE</w:t>
      </w:r>
      <w:r>
        <w:rPr>
          <w:rFonts w:ascii="Garamond" w:hAnsi="Garamond"/>
          <w:color w:val="auto"/>
          <w:sz w:val="28"/>
          <w:szCs w:val="28"/>
        </w:rPr>
        <w:t xml:space="preserve"> </w:t>
      </w:r>
      <w:r>
        <w:rPr>
          <w:rFonts w:ascii="Garamond" w:hAnsi="Garamond"/>
          <w:caps/>
          <w:color w:val="auto"/>
          <w:sz w:val="28"/>
          <w:szCs w:val="28"/>
        </w:rPr>
        <w:t xml:space="preserve">JIS pro </w:t>
      </w:r>
      <w:r>
        <w:rPr>
          <w:rFonts w:ascii="Garamond" w:hAnsi="Garamond"/>
          <w:color w:val="auto"/>
          <w:sz w:val="28"/>
          <w:szCs w:val="28"/>
        </w:rPr>
        <w:t>ZČU (2025)</w:t>
      </w:r>
    </w:p>
    <w:p w14:paraId="401F6834" w14:textId="77777777" w:rsidR="00652FC2" w:rsidRDefault="00BD704B">
      <w:pPr>
        <w:pStyle w:val="Zkladntext"/>
        <w:jc w:val="center"/>
        <w:rPr>
          <w:rFonts w:ascii="Garamond" w:hAnsi="Garamond"/>
          <w:lang w:eastAsia="zh-CN"/>
        </w:rPr>
      </w:pPr>
      <w:r>
        <w:rPr>
          <w:rFonts w:ascii="Garamond" w:hAnsi="Garamond"/>
          <w:lang w:eastAsia="zh-CN"/>
        </w:rPr>
        <w:t>(dále jen „Rámcová dohoda“)</w:t>
      </w:r>
    </w:p>
    <w:p w14:paraId="0FED6384" w14:textId="77777777" w:rsidR="00652FC2" w:rsidRDefault="00BD704B">
      <w:pPr>
        <w:keepNext/>
        <w:widowControl w:val="0"/>
        <w:shd w:val="clear" w:color="FFFFFF" w:fill="FFFFFF"/>
        <w:spacing w:line="240" w:lineRule="atLeast"/>
        <w:ind w:left="29"/>
        <w:jc w:val="center"/>
        <w:rPr>
          <w:rFonts w:ascii="Garamond" w:hAnsi="Garamond" w:cs="Arial"/>
          <w:i/>
          <w:color w:val="000000"/>
          <w:spacing w:val="-4"/>
          <w:sz w:val="22"/>
          <w:szCs w:val="22"/>
        </w:rPr>
      </w:pPr>
      <w:r>
        <w:rPr>
          <w:rFonts w:ascii="Garamond" w:hAnsi="Garamond" w:cs="Arial"/>
          <w:i/>
          <w:color w:val="000000"/>
          <w:spacing w:val="-4"/>
          <w:sz w:val="22"/>
          <w:szCs w:val="22"/>
        </w:rPr>
        <w:t xml:space="preserve">uzavřená podle ust. § 1746 odst. 2 zákona. č. 89/2012 Sb., občanský zákoník (dále jen „o.z.“)  </w:t>
      </w:r>
    </w:p>
    <w:p w14:paraId="210F8384" w14:textId="77777777" w:rsidR="00652FC2" w:rsidRDefault="00652FC2">
      <w:pPr>
        <w:keepNext/>
        <w:widowControl w:val="0"/>
        <w:shd w:val="clear" w:color="FFFFFF" w:fill="FFFFFF"/>
        <w:spacing w:line="240" w:lineRule="atLeast"/>
        <w:ind w:left="29"/>
        <w:jc w:val="center"/>
        <w:rPr>
          <w:rFonts w:ascii="Garamond" w:hAnsi="Garamond" w:cs="Arial"/>
          <w:color w:val="000000"/>
          <w:spacing w:val="-4"/>
          <w:sz w:val="22"/>
          <w:szCs w:val="22"/>
        </w:rPr>
      </w:pPr>
    </w:p>
    <w:p w14:paraId="6B351A25" w14:textId="77777777" w:rsidR="00652FC2" w:rsidRDefault="00BD704B">
      <w:pPr>
        <w:jc w:val="both"/>
        <w:rPr>
          <w:rFonts w:ascii="Garamond" w:hAnsi="Garamond" w:cs="Palatino Linotype"/>
          <w:color w:val="000000"/>
        </w:rPr>
      </w:pPr>
      <w:r>
        <w:rPr>
          <w:rFonts w:ascii="Garamond" w:hAnsi="Garamond" w:cs="Palatino Linotype"/>
          <w:color w:val="000000"/>
        </w:rPr>
        <w:t xml:space="preserve">Tato smlouva je uzavřena na základě výsledku otevřeného nadlimitního řízení dle zák. č. 134/2016 Sb., </w:t>
      </w:r>
      <w:r>
        <w:rPr>
          <w:rFonts w:ascii="Garamond" w:hAnsi="Garamond" w:cs="Palatino Linotype"/>
          <w:i/>
          <w:color w:val="000000"/>
        </w:rPr>
        <w:t>o zadávání veřejných zakázek</w:t>
      </w:r>
      <w:r>
        <w:rPr>
          <w:rFonts w:ascii="Garamond" w:hAnsi="Garamond" w:cs="Palatino Linotype"/>
          <w:color w:val="000000"/>
        </w:rPr>
        <w:t xml:space="preserve"> (dále jen „Nadlimitní řízení“)</w:t>
      </w:r>
    </w:p>
    <w:p w14:paraId="6F38EA4F" w14:textId="77777777" w:rsidR="00652FC2" w:rsidRDefault="00BD704B">
      <w:pPr>
        <w:jc w:val="both"/>
        <w:rPr>
          <w:rFonts w:eastAsia="Times New Roman"/>
        </w:rPr>
      </w:pPr>
      <w:r>
        <w:rPr>
          <w:rFonts w:eastAsia="Times New Roman"/>
        </w:rPr>
        <w:t> </w:t>
      </w:r>
    </w:p>
    <w:p w14:paraId="7581D60D" w14:textId="77777777" w:rsidR="00652FC2" w:rsidRDefault="00BD704B">
      <w:pPr>
        <w:jc w:val="both"/>
        <w:rPr>
          <w:rFonts w:eastAsia="Times New Roman"/>
        </w:rPr>
      </w:pPr>
      <w:r>
        <w:rPr>
          <w:rFonts w:ascii="Garamond" w:eastAsia="Times New Roman" w:hAnsi="Garamond"/>
          <w:color w:val="000000"/>
          <w:sz w:val="22"/>
          <w:szCs w:val="22"/>
        </w:rPr>
        <w:t>Číslo Rámcové dohody Objednatele: bude uvedeno v záznamu o uveřejnění smlouvy v registru smluv dle zákona č. 340/2015 Sb.</w:t>
      </w:r>
    </w:p>
    <w:p w14:paraId="10FDAC95" w14:textId="77777777" w:rsidR="00652FC2" w:rsidRDefault="00BD704B">
      <w:pPr>
        <w:jc w:val="both"/>
        <w:rPr>
          <w:rFonts w:eastAsia="Times New Roman"/>
        </w:rPr>
      </w:pPr>
      <w:r>
        <w:rPr>
          <w:rFonts w:ascii="Garamond" w:eastAsia="Times New Roman" w:hAnsi="Garamond"/>
          <w:color w:val="000000"/>
          <w:sz w:val="22"/>
          <w:szCs w:val="22"/>
        </w:rPr>
        <w:t xml:space="preserve">Číslo Rámcové dohody Zhotovitele: </w:t>
      </w:r>
    </w:p>
    <w:p w14:paraId="6ED28D58" w14:textId="77777777" w:rsidR="00652FC2" w:rsidRDefault="00652FC2">
      <w:pPr>
        <w:keepNext/>
        <w:widowControl w:val="0"/>
        <w:shd w:val="clear" w:color="FFFFFF" w:fill="FFFFFF"/>
        <w:spacing w:line="240" w:lineRule="atLeast"/>
        <w:ind w:left="29"/>
        <w:jc w:val="center"/>
        <w:rPr>
          <w:rFonts w:ascii="Garamond" w:hAnsi="Garamond" w:cs="Arial"/>
          <w:color w:val="000000"/>
          <w:spacing w:val="-4"/>
          <w:sz w:val="22"/>
          <w:szCs w:val="22"/>
        </w:rPr>
      </w:pPr>
    </w:p>
    <w:p w14:paraId="1E85522C" w14:textId="77777777" w:rsidR="00652FC2" w:rsidRDefault="00BD704B">
      <w:pPr>
        <w:pStyle w:val="docdata"/>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240" w:beforeAutospacing="0" w:after="120" w:afterAutospacing="0"/>
        <w:jc w:val="both"/>
      </w:pPr>
      <w:r>
        <w:rPr>
          <w:rFonts w:ascii="Garamond" w:hAnsi="Garamond"/>
          <w:b/>
          <w:bCs/>
          <w:color w:val="000000"/>
          <w:sz w:val="22"/>
          <w:szCs w:val="22"/>
        </w:rPr>
        <w:t>Smluvní strany</w:t>
      </w:r>
    </w:p>
    <w:p w14:paraId="7BAE165B" w14:textId="77777777" w:rsidR="00652FC2" w:rsidRDefault="00BD704B">
      <w:pPr>
        <w:pStyle w:val="Normlnweb"/>
        <w:spacing w:before="20" w:beforeAutospacing="0" w:afterAutospacing="0"/>
      </w:pPr>
      <w:r>
        <w:rPr>
          <w:rFonts w:ascii="Garamond" w:hAnsi="Garamond"/>
          <w:b/>
          <w:bCs/>
          <w:color w:val="000000"/>
          <w:sz w:val="22"/>
          <w:szCs w:val="22"/>
          <w:shd w:val="clear" w:color="auto" w:fill="FFFFFF"/>
        </w:rPr>
        <w:t>Objednatel:</w:t>
      </w:r>
    </w:p>
    <w:p w14:paraId="609C9FFC" w14:textId="77777777" w:rsidR="00652FC2" w:rsidRDefault="00BD704B">
      <w:pPr>
        <w:pStyle w:val="Normlnweb"/>
        <w:spacing w:before="20" w:beforeAutospacing="0" w:afterAutospacing="0"/>
      </w:pPr>
      <w:r>
        <w:rPr>
          <w:rFonts w:ascii="Garamond" w:hAnsi="Garamond"/>
          <w:b/>
          <w:bCs/>
          <w:color w:val="000000"/>
          <w:sz w:val="22"/>
          <w:szCs w:val="22"/>
          <w:shd w:val="clear" w:color="auto" w:fill="FFFFFF"/>
        </w:rPr>
        <w:t>Západočeská univerzita v Plzni</w:t>
      </w:r>
    </w:p>
    <w:p w14:paraId="73B27B5B" w14:textId="77777777" w:rsidR="00652FC2" w:rsidRDefault="00BD704B">
      <w:pPr>
        <w:pStyle w:val="Normlnweb"/>
        <w:spacing w:beforeAutospacing="0" w:afterAutospacing="0"/>
      </w:pPr>
      <w:r>
        <w:rPr>
          <w:rFonts w:ascii="Garamond" w:hAnsi="Garamond"/>
          <w:color w:val="000000"/>
          <w:sz w:val="22"/>
          <w:szCs w:val="22"/>
          <w:shd w:val="clear" w:color="auto" w:fill="FFFFFF"/>
        </w:rPr>
        <w:t>sídlo:</w:t>
      </w:r>
      <w:r>
        <w:rPr>
          <w:rFonts w:ascii="Garamond" w:hAnsi="Garamond"/>
          <w:color w:val="000000"/>
          <w:sz w:val="22"/>
          <w:szCs w:val="22"/>
          <w:shd w:val="clear" w:color="auto" w:fill="FFFFFF"/>
        </w:rPr>
        <w:tab/>
      </w:r>
      <w:r>
        <w:rPr>
          <w:rFonts w:ascii="Garamond" w:hAnsi="Garamond"/>
          <w:color w:val="000000"/>
          <w:sz w:val="22"/>
          <w:szCs w:val="22"/>
          <w:shd w:val="clear" w:color="auto" w:fill="FFFFFF"/>
        </w:rPr>
        <w:tab/>
      </w:r>
      <w:r>
        <w:rPr>
          <w:rFonts w:ascii="Garamond" w:hAnsi="Garamond"/>
          <w:color w:val="000000"/>
          <w:sz w:val="22"/>
          <w:szCs w:val="22"/>
          <w:shd w:val="clear" w:color="auto" w:fill="FFFFFF"/>
        </w:rPr>
        <w:tab/>
        <w:t>Univerzitní 8, 301 00 Plzeň</w:t>
      </w:r>
    </w:p>
    <w:p w14:paraId="21335915" w14:textId="77777777" w:rsidR="00652FC2" w:rsidRDefault="00BD704B">
      <w:pPr>
        <w:pStyle w:val="Normlnweb"/>
        <w:spacing w:beforeAutospacing="0" w:afterAutospacing="0"/>
        <w:rPr>
          <w:rFonts w:ascii="Garamond" w:hAnsi="Garamond"/>
          <w:sz w:val="22"/>
          <w:szCs w:val="22"/>
        </w:rPr>
      </w:pPr>
      <w:r>
        <w:rPr>
          <w:rFonts w:ascii="Garamond" w:hAnsi="Garamond"/>
          <w:sz w:val="22"/>
          <w:szCs w:val="22"/>
        </w:rPr>
        <w:t>zastoupen:</w:t>
      </w:r>
      <w:r>
        <w:rPr>
          <w:rFonts w:ascii="Garamond" w:hAnsi="Garamond"/>
          <w:sz w:val="22"/>
          <w:szCs w:val="22"/>
        </w:rPr>
        <w:tab/>
        <w:t>prof. RNDr. Miroslav Lávička, Ph.D., rektor</w:t>
      </w:r>
    </w:p>
    <w:p w14:paraId="49ED3A65" w14:textId="77777777" w:rsidR="00652FC2" w:rsidRDefault="00BD704B">
      <w:pPr>
        <w:pStyle w:val="Normlnweb"/>
        <w:spacing w:beforeAutospacing="0" w:afterAutospacing="0"/>
      </w:pPr>
      <w:r>
        <w:rPr>
          <w:rFonts w:ascii="Garamond" w:hAnsi="Garamond"/>
          <w:color w:val="000000"/>
          <w:sz w:val="22"/>
          <w:szCs w:val="22"/>
          <w:shd w:val="clear" w:color="auto" w:fill="FFFFFF"/>
        </w:rPr>
        <w:t xml:space="preserve">IČO: </w:t>
      </w:r>
      <w:r>
        <w:rPr>
          <w:rFonts w:ascii="Garamond" w:hAnsi="Garamond"/>
          <w:color w:val="000000"/>
          <w:sz w:val="22"/>
          <w:szCs w:val="22"/>
          <w:shd w:val="clear" w:color="auto" w:fill="FFFFFF"/>
        </w:rPr>
        <w:tab/>
      </w:r>
      <w:r>
        <w:rPr>
          <w:rFonts w:ascii="Garamond" w:hAnsi="Garamond"/>
          <w:color w:val="000000"/>
          <w:sz w:val="22"/>
          <w:szCs w:val="22"/>
          <w:shd w:val="clear" w:color="auto" w:fill="FFFFFF"/>
        </w:rPr>
        <w:tab/>
      </w:r>
      <w:r>
        <w:rPr>
          <w:rFonts w:ascii="Garamond" w:hAnsi="Garamond"/>
          <w:color w:val="000000"/>
          <w:sz w:val="22"/>
          <w:szCs w:val="22"/>
          <w:shd w:val="clear" w:color="auto" w:fill="FFFFFF"/>
        </w:rPr>
        <w:tab/>
        <w:t>497 77 513</w:t>
      </w:r>
      <w:r>
        <w:rPr>
          <w:rFonts w:ascii="Garamond" w:hAnsi="Garamond"/>
          <w:color w:val="000000"/>
          <w:sz w:val="22"/>
          <w:szCs w:val="22"/>
          <w:shd w:val="clear" w:color="auto" w:fill="FFFFFF"/>
        </w:rPr>
        <w:tab/>
      </w:r>
      <w:r>
        <w:rPr>
          <w:rFonts w:ascii="Garamond" w:hAnsi="Garamond"/>
          <w:color w:val="000000"/>
          <w:sz w:val="22"/>
          <w:szCs w:val="22"/>
          <w:shd w:val="clear" w:color="auto" w:fill="FFFFFF"/>
        </w:rPr>
        <w:tab/>
        <w:t xml:space="preserve">DIČ: </w:t>
      </w:r>
      <w:r>
        <w:rPr>
          <w:rFonts w:ascii="Garamond" w:hAnsi="Garamond"/>
          <w:color w:val="000000"/>
          <w:sz w:val="22"/>
          <w:szCs w:val="22"/>
          <w:shd w:val="clear" w:color="auto" w:fill="FFFFFF"/>
        </w:rPr>
        <w:tab/>
        <w:t>CZ49777513</w:t>
      </w:r>
    </w:p>
    <w:p w14:paraId="2CE5FE46" w14:textId="77777777" w:rsidR="00652FC2" w:rsidRDefault="00BD704B">
      <w:pPr>
        <w:pStyle w:val="Normlnweb"/>
        <w:spacing w:beforeAutospacing="0" w:afterAutospacing="0"/>
      </w:pPr>
      <w:r>
        <w:rPr>
          <w:rFonts w:ascii="Garamond" w:hAnsi="Garamond"/>
          <w:color w:val="000000"/>
          <w:sz w:val="22"/>
          <w:szCs w:val="22"/>
        </w:rPr>
        <w:t>datová schránka:</w:t>
      </w:r>
      <w:r>
        <w:rPr>
          <w:rFonts w:ascii="Garamond" w:hAnsi="Garamond"/>
          <w:color w:val="000000"/>
          <w:sz w:val="22"/>
          <w:szCs w:val="22"/>
        </w:rPr>
        <w:tab/>
      </w:r>
      <w:r>
        <w:rPr>
          <w:rFonts w:ascii="Garamond" w:hAnsi="Garamond"/>
          <w:color w:val="000000"/>
          <w:sz w:val="22"/>
          <w:szCs w:val="22"/>
          <w:shd w:val="clear" w:color="auto" w:fill="FFFFFF"/>
        </w:rPr>
        <w:t>zqfj9hj</w:t>
      </w:r>
    </w:p>
    <w:p w14:paraId="0E588525" w14:textId="2D8C7F6E" w:rsidR="00652FC2" w:rsidRDefault="00BD704B" w:rsidP="00232EC1">
      <w:pPr>
        <w:pStyle w:val="Zkladntext"/>
        <w:jc w:val="both"/>
        <w:rPr>
          <w:rFonts w:ascii="Garamond" w:hAnsi="Garamond"/>
          <w:sz w:val="22"/>
          <w:szCs w:val="22"/>
        </w:rPr>
      </w:pPr>
      <w:r w:rsidRPr="00232EC1">
        <w:rPr>
          <w:rFonts w:ascii="Garamond" w:hAnsi="Garamond"/>
          <w:sz w:val="22"/>
          <w:szCs w:val="22"/>
        </w:rPr>
        <w:t>kontaktní osoba:</w:t>
      </w:r>
      <w:r w:rsidRPr="00232EC1">
        <w:rPr>
          <w:rFonts w:ascii="Garamond" w:hAnsi="Garamond"/>
          <w:sz w:val="22"/>
          <w:szCs w:val="22"/>
        </w:rPr>
        <w:tab/>
      </w:r>
      <w:r w:rsidR="00C31C3A">
        <w:rPr>
          <w:rFonts w:ascii="Garamond" w:hAnsi="Garamond"/>
          <w:sz w:val="22"/>
          <w:szCs w:val="22"/>
        </w:rPr>
        <w:t>XX</w:t>
      </w:r>
      <w:r w:rsidR="00232EC1" w:rsidRPr="00232EC1">
        <w:rPr>
          <w:rFonts w:ascii="Garamond" w:hAnsi="Garamond"/>
          <w:sz w:val="22"/>
          <w:szCs w:val="22"/>
        </w:rPr>
        <w:t xml:space="preserve">., </w:t>
      </w:r>
      <w:r w:rsidR="00C31C3A">
        <w:rPr>
          <w:rFonts w:ascii="Garamond" w:hAnsi="Garamond"/>
          <w:sz w:val="22"/>
          <w:szCs w:val="22"/>
        </w:rPr>
        <w:t>XXX</w:t>
      </w:r>
      <w:r w:rsidR="00232EC1" w:rsidRPr="00232EC1" w:rsidDel="00232EC1">
        <w:rPr>
          <w:rFonts w:ascii="Garamond" w:hAnsi="Garamond"/>
          <w:sz w:val="22"/>
          <w:szCs w:val="22"/>
        </w:rPr>
        <w:t xml:space="preserve"> </w:t>
      </w:r>
      <w:r w:rsidR="00232EC1" w:rsidRPr="00232EC1">
        <w:rPr>
          <w:rFonts w:ascii="Garamond" w:hAnsi="Garamond"/>
          <w:sz w:val="22"/>
          <w:szCs w:val="22"/>
        </w:rPr>
        <w:t xml:space="preserve">, </w:t>
      </w:r>
      <w:hyperlink r:id="rId9" w:history="1">
        <w:r w:rsidR="00C31C3A">
          <w:rPr>
            <w:rStyle w:val="Hypertextovodkaz"/>
            <w:sz w:val="22"/>
            <w:szCs w:val="22"/>
          </w:rPr>
          <w:t>XXX</w:t>
        </w:r>
      </w:hyperlink>
    </w:p>
    <w:p w14:paraId="74F89B61" w14:textId="77777777" w:rsidR="00652FC2" w:rsidRDefault="00BD704B">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Autospacing="0" w:afterAutospacing="0"/>
      </w:pPr>
      <w:r>
        <w:rPr>
          <w:rFonts w:ascii="Garamond" w:hAnsi="Garamond"/>
          <w:color w:val="000000"/>
          <w:sz w:val="22"/>
          <w:szCs w:val="22"/>
        </w:rPr>
        <w:t>(dále jen „Objednatel“)</w:t>
      </w:r>
    </w:p>
    <w:p w14:paraId="006DC843" w14:textId="77777777" w:rsidR="00652FC2" w:rsidRDefault="00BD704B">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120" w:beforeAutospacing="0" w:afterAutospacing="0"/>
        <w:jc w:val="both"/>
        <w:rPr>
          <w:rFonts w:ascii="Garamond" w:hAnsi="Garamond"/>
          <w:sz w:val="22"/>
          <w:szCs w:val="22"/>
        </w:rPr>
      </w:pPr>
      <w:r>
        <w:rPr>
          <w:rFonts w:ascii="Garamond" w:hAnsi="Garamond"/>
          <w:b/>
          <w:bCs/>
          <w:color w:val="000000"/>
          <w:sz w:val="22"/>
          <w:szCs w:val="22"/>
        </w:rPr>
        <w:t>a</w:t>
      </w:r>
    </w:p>
    <w:p w14:paraId="0EA854BC" w14:textId="77777777" w:rsidR="00652FC2" w:rsidRPr="00920BE4" w:rsidRDefault="00BD704B">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120" w:beforeAutospacing="0" w:afterAutospacing="0"/>
        <w:jc w:val="both"/>
        <w:rPr>
          <w:rFonts w:ascii="Garamond" w:hAnsi="Garamond"/>
          <w:sz w:val="22"/>
          <w:szCs w:val="22"/>
        </w:rPr>
      </w:pPr>
      <w:r w:rsidRPr="00920BE4">
        <w:rPr>
          <w:rFonts w:ascii="Garamond" w:hAnsi="Garamond"/>
          <w:b/>
          <w:bCs/>
          <w:color w:val="000000"/>
          <w:sz w:val="22"/>
          <w:szCs w:val="22"/>
        </w:rPr>
        <w:t>Zhotovitel:</w:t>
      </w:r>
    </w:p>
    <w:p w14:paraId="6AC77215" w14:textId="77777777" w:rsidR="00652FC2" w:rsidRPr="00920BE4" w:rsidRDefault="00BD704B">
      <w:pPr>
        <w:rPr>
          <w:rFonts w:ascii="Garamond" w:eastAsia="Arial" w:hAnsi="Garamond" w:cs="Arial"/>
          <w:sz w:val="22"/>
          <w:szCs w:val="22"/>
        </w:rPr>
      </w:pPr>
      <w:r w:rsidRPr="00920BE4">
        <w:rPr>
          <w:rFonts w:ascii="Garamond" w:eastAsia="Arial" w:hAnsi="Garamond" w:cs="Arial"/>
          <w:sz w:val="22"/>
          <w:szCs w:val="22"/>
        </w:rPr>
        <w:t>zapsaný v obchodním rejstříku pd sp. zn.: KS v Plzni 12.07.2006 oddíl C, vložka 18635</w:t>
      </w:r>
    </w:p>
    <w:p w14:paraId="00708768" w14:textId="77777777" w:rsidR="00652FC2" w:rsidRPr="00920BE4" w:rsidRDefault="00BD704B">
      <w:pPr>
        <w:rPr>
          <w:rFonts w:ascii="Garamond" w:eastAsia="Arial" w:hAnsi="Garamond" w:cs="Arial"/>
          <w:sz w:val="22"/>
          <w:szCs w:val="22"/>
        </w:rPr>
      </w:pPr>
      <w:r w:rsidRPr="00920BE4">
        <w:rPr>
          <w:rFonts w:ascii="Garamond" w:eastAsia="Arial" w:hAnsi="Garamond" w:cs="Arial"/>
          <w:sz w:val="22"/>
          <w:szCs w:val="22"/>
        </w:rPr>
        <w:t>Ekotip ID s.r.o.</w:t>
      </w:r>
    </w:p>
    <w:p w14:paraId="78074EB6" w14:textId="77777777" w:rsidR="00652FC2" w:rsidRPr="00920BE4" w:rsidRDefault="00BD704B">
      <w:pPr>
        <w:rPr>
          <w:rFonts w:ascii="Garamond" w:eastAsia="Arial" w:hAnsi="Garamond" w:cs="Arial"/>
          <w:sz w:val="22"/>
          <w:szCs w:val="22"/>
        </w:rPr>
      </w:pPr>
      <w:r w:rsidRPr="00920BE4">
        <w:rPr>
          <w:rFonts w:ascii="Garamond" w:eastAsia="Arial" w:hAnsi="Garamond" w:cs="Arial"/>
          <w:sz w:val="22"/>
          <w:szCs w:val="22"/>
        </w:rPr>
        <w:t>sídlo:</w:t>
      </w:r>
      <w:r w:rsidRPr="00920BE4">
        <w:rPr>
          <w:rFonts w:ascii="Garamond" w:eastAsia="Arial" w:hAnsi="Garamond" w:cs="Arial"/>
          <w:sz w:val="22"/>
          <w:szCs w:val="22"/>
        </w:rPr>
        <w:tab/>
        <w:t>Hálkova 1705/50, 301 00  Plzeň</w:t>
      </w:r>
      <w:r w:rsidRPr="00920BE4">
        <w:rPr>
          <w:rFonts w:ascii="Garamond" w:eastAsia="Arial" w:hAnsi="Garamond" w:cs="Arial"/>
          <w:sz w:val="22"/>
          <w:szCs w:val="22"/>
        </w:rPr>
        <w:tab/>
      </w:r>
      <w:r w:rsidRPr="00920BE4">
        <w:rPr>
          <w:rFonts w:ascii="Garamond" w:eastAsia="Arial" w:hAnsi="Garamond" w:cs="Arial"/>
          <w:sz w:val="22"/>
          <w:szCs w:val="22"/>
        </w:rPr>
        <w:tab/>
      </w:r>
    </w:p>
    <w:p w14:paraId="4B638338" w14:textId="77777777" w:rsidR="00652FC2" w:rsidRPr="00920BE4" w:rsidRDefault="00BD704B">
      <w:pPr>
        <w:rPr>
          <w:rFonts w:ascii="Garamond" w:eastAsia="Arial" w:hAnsi="Garamond" w:cs="Arial"/>
          <w:sz w:val="22"/>
          <w:szCs w:val="22"/>
        </w:rPr>
      </w:pPr>
      <w:r w:rsidRPr="00920BE4">
        <w:rPr>
          <w:rFonts w:ascii="Garamond" w:eastAsia="Arial" w:hAnsi="Garamond" w:cs="Arial"/>
          <w:sz w:val="22"/>
          <w:szCs w:val="22"/>
        </w:rPr>
        <w:t>zastoupen:</w:t>
      </w:r>
      <w:r w:rsidRPr="00920BE4">
        <w:rPr>
          <w:rFonts w:ascii="Garamond" w:eastAsia="Arial" w:hAnsi="Garamond" w:cs="Arial"/>
          <w:sz w:val="22"/>
          <w:szCs w:val="22"/>
        </w:rPr>
        <w:tab/>
        <w:t>Alexandrem Vituško</w:t>
      </w:r>
    </w:p>
    <w:p w14:paraId="43ADDE53" w14:textId="77777777" w:rsidR="00652FC2" w:rsidRPr="00920BE4" w:rsidRDefault="00BD704B">
      <w:pPr>
        <w:rPr>
          <w:rFonts w:ascii="Garamond" w:eastAsia="Arial" w:hAnsi="Garamond" w:cs="Arial"/>
          <w:sz w:val="22"/>
          <w:szCs w:val="22"/>
        </w:rPr>
      </w:pPr>
      <w:r w:rsidRPr="00920BE4">
        <w:rPr>
          <w:rFonts w:ascii="Garamond" w:eastAsia="Arial" w:hAnsi="Garamond" w:cs="Arial"/>
          <w:sz w:val="22"/>
          <w:szCs w:val="22"/>
        </w:rPr>
        <w:t>IČO:</w:t>
      </w:r>
      <w:r w:rsidRPr="00920BE4">
        <w:rPr>
          <w:rFonts w:ascii="Garamond" w:eastAsia="Arial" w:hAnsi="Garamond" w:cs="Arial"/>
          <w:sz w:val="22"/>
          <w:szCs w:val="22"/>
        </w:rPr>
        <w:tab/>
      </w:r>
      <w:r w:rsidRPr="00920BE4">
        <w:rPr>
          <w:rFonts w:ascii="Garamond" w:eastAsia="Arial" w:hAnsi="Garamond" w:cs="Arial"/>
          <w:sz w:val="22"/>
          <w:szCs w:val="22"/>
        </w:rPr>
        <w:tab/>
        <w:t>26413574</w:t>
      </w:r>
      <w:r w:rsidRPr="00920BE4">
        <w:rPr>
          <w:rFonts w:ascii="Garamond" w:eastAsia="Arial" w:hAnsi="Garamond" w:cs="Arial"/>
          <w:sz w:val="22"/>
          <w:szCs w:val="22"/>
        </w:rPr>
        <w:tab/>
      </w:r>
      <w:r w:rsidRPr="00920BE4">
        <w:rPr>
          <w:rFonts w:ascii="Garamond" w:eastAsia="Arial" w:hAnsi="Garamond" w:cs="Arial"/>
          <w:sz w:val="22"/>
          <w:szCs w:val="22"/>
        </w:rPr>
        <w:tab/>
      </w:r>
      <w:r w:rsidRPr="00920BE4">
        <w:rPr>
          <w:rFonts w:ascii="Garamond" w:eastAsia="Arial" w:hAnsi="Garamond" w:cs="Arial"/>
          <w:sz w:val="22"/>
          <w:szCs w:val="22"/>
        </w:rPr>
        <w:tab/>
        <w:t xml:space="preserve">DIČ: </w:t>
      </w:r>
      <w:r w:rsidRPr="00920BE4">
        <w:rPr>
          <w:rFonts w:ascii="Garamond" w:eastAsia="Arial" w:hAnsi="Garamond" w:cs="Arial"/>
          <w:sz w:val="22"/>
          <w:szCs w:val="22"/>
        </w:rPr>
        <w:tab/>
        <w:t>CZ26413574</w:t>
      </w:r>
    </w:p>
    <w:p w14:paraId="0036EDF9" w14:textId="77777777" w:rsidR="00652FC2" w:rsidRPr="00920BE4" w:rsidRDefault="00BD704B">
      <w:pPr>
        <w:rPr>
          <w:rFonts w:ascii="Garamond" w:eastAsia="Arial" w:hAnsi="Garamond" w:cs="Arial"/>
          <w:sz w:val="22"/>
          <w:szCs w:val="22"/>
        </w:rPr>
      </w:pPr>
      <w:r w:rsidRPr="00920BE4">
        <w:rPr>
          <w:rFonts w:ascii="Garamond" w:eastAsia="Arial" w:hAnsi="Garamond" w:cs="Arial"/>
          <w:sz w:val="22"/>
          <w:szCs w:val="22"/>
        </w:rPr>
        <w:t>datová schránka:</w:t>
      </w:r>
      <w:bookmarkStart w:id="0" w:name="Text14"/>
      <w:r w:rsidRPr="00920BE4">
        <w:rPr>
          <w:rFonts w:ascii="Garamond" w:eastAsia="Arial" w:hAnsi="Garamond" w:cs="Arial"/>
          <w:sz w:val="22"/>
          <w:szCs w:val="22"/>
        </w:rPr>
        <w:tab/>
      </w:r>
      <w:bookmarkEnd w:id="0"/>
      <w:r w:rsidRPr="00920BE4">
        <w:rPr>
          <w:rFonts w:ascii="Garamond" w:eastAsia="Arial" w:hAnsi="Garamond" w:cs="Arial"/>
          <w:sz w:val="22"/>
          <w:szCs w:val="22"/>
        </w:rPr>
        <w:t>dew3fjz</w:t>
      </w:r>
    </w:p>
    <w:p w14:paraId="56541870" w14:textId="04F960F6" w:rsidR="00652FC2" w:rsidRPr="00920BE4" w:rsidRDefault="00BD704B">
      <w:pPr>
        <w:rPr>
          <w:rFonts w:ascii="Garamond" w:eastAsia="Arial" w:hAnsi="Garamond" w:cs="Arial"/>
          <w:sz w:val="22"/>
          <w:szCs w:val="22"/>
        </w:rPr>
      </w:pPr>
      <w:r w:rsidRPr="00920BE4">
        <w:rPr>
          <w:rFonts w:ascii="Garamond" w:eastAsia="Arial" w:hAnsi="Garamond" w:cs="Arial"/>
          <w:sz w:val="22"/>
          <w:szCs w:val="22"/>
        </w:rPr>
        <w:t xml:space="preserve">kontaktní osoba:  </w:t>
      </w:r>
      <w:r w:rsidR="00C31C3A">
        <w:rPr>
          <w:rFonts w:ascii="Garamond" w:eastAsia="Arial" w:hAnsi="Garamond" w:cs="Arial"/>
          <w:sz w:val="22"/>
          <w:szCs w:val="22"/>
        </w:rPr>
        <w:t>XXX</w:t>
      </w:r>
      <w:r w:rsidRPr="00920BE4">
        <w:rPr>
          <w:rFonts w:ascii="Garamond" w:eastAsia="Arial" w:hAnsi="Garamond" w:cs="Arial"/>
          <w:sz w:val="22"/>
          <w:szCs w:val="22"/>
        </w:rPr>
        <w:t xml:space="preserve">  , e-mail pro zasílání Dílčí objednávky: </w:t>
      </w:r>
      <w:r w:rsidR="00C31C3A">
        <w:rPr>
          <w:rFonts w:ascii="Garamond" w:eastAsia="Arial" w:hAnsi="Garamond" w:cs="Arial"/>
          <w:sz w:val="22"/>
          <w:szCs w:val="22"/>
        </w:rPr>
        <w:t>XXX</w:t>
      </w:r>
      <w:r w:rsidRPr="00920BE4">
        <w:rPr>
          <w:rFonts w:ascii="Garamond" w:eastAsia="Arial" w:hAnsi="Garamond" w:cs="Arial"/>
          <w:sz w:val="22"/>
          <w:szCs w:val="22"/>
        </w:rPr>
        <w:t xml:space="preserve"> </w:t>
      </w:r>
    </w:p>
    <w:p w14:paraId="733A5641" w14:textId="10C94D25" w:rsidR="00652FC2" w:rsidRPr="00920BE4" w:rsidRDefault="00BD704B">
      <w:pPr>
        <w:rPr>
          <w:rFonts w:ascii="Garamond" w:eastAsia="Arial" w:hAnsi="Garamond" w:cs="Arial"/>
          <w:sz w:val="22"/>
          <w:szCs w:val="22"/>
        </w:rPr>
      </w:pPr>
      <w:r w:rsidRPr="00920BE4">
        <w:rPr>
          <w:rFonts w:ascii="Garamond" w:eastAsia="Arial" w:hAnsi="Garamond" w:cs="Arial"/>
          <w:sz w:val="22"/>
          <w:szCs w:val="22"/>
        </w:rPr>
        <w:t>Osoba oprávněná k akceptaci Dílčí objednávky (lze doplnit i více osob):</w:t>
      </w:r>
    </w:p>
    <w:p w14:paraId="200BF47A" w14:textId="77777777" w:rsidR="00652FC2" w:rsidRDefault="00BD704B">
      <w:pPr>
        <w:rPr>
          <w:rFonts w:ascii="Garamond" w:eastAsia="Arial" w:hAnsi="Garamond" w:cs="Arial"/>
          <w:sz w:val="22"/>
          <w:szCs w:val="22"/>
        </w:rPr>
      </w:pPr>
      <w:r w:rsidRPr="00920BE4">
        <w:rPr>
          <w:rFonts w:ascii="Garamond" w:eastAsia="Arial" w:hAnsi="Garamond" w:cs="Arial"/>
          <w:sz w:val="22"/>
          <w:szCs w:val="22"/>
        </w:rPr>
        <w:t>(dále jen „Zhotovitel”)</w:t>
      </w:r>
    </w:p>
    <w:p w14:paraId="05AE9F5A" w14:textId="77777777" w:rsidR="00652FC2" w:rsidRDefault="00BD704B">
      <w:pPr>
        <w:pStyle w:val="Odstavecseseznamem"/>
        <w:keepNext/>
        <w:spacing w:before="240" w:after="120"/>
        <w:ind w:left="0"/>
        <w:jc w:val="center"/>
      </w:pPr>
      <w:bookmarkStart w:id="1" w:name="_Toc354054576"/>
      <w:bookmarkEnd w:id="1"/>
      <w:r>
        <w:rPr>
          <w:rFonts w:ascii="Garamond" w:hAnsi="Garamond"/>
          <w:b/>
          <w:bCs/>
          <w:color w:val="000000"/>
        </w:rPr>
        <w:t>Preambule</w:t>
      </w:r>
    </w:p>
    <w:p w14:paraId="1723E78F" w14:textId="77777777" w:rsidR="00652FC2" w:rsidRDefault="00BD704B">
      <w:pPr>
        <w:pStyle w:val="Odstavecseseznamem"/>
        <w:ind w:left="0"/>
        <w:jc w:val="both"/>
        <w:rPr>
          <w:rFonts w:ascii="Arial" w:hAnsi="Arial" w:cs="Arial"/>
          <w:color w:val="000000"/>
          <w:sz w:val="22"/>
          <w:szCs w:val="22"/>
        </w:rPr>
      </w:pPr>
      <w:r>
        <w:rPr>
          <w:rFonts w:ascii="Garamond" w:hAnsi="Garamond"/>
          <w:color w:val="000000"/>
          <w:sz w:val="22"/>
          <w:szCs w:val="22"/>
        </w:rPr>
        <w:t>Účelem Rámcové dohody je sjednání rámcových podmínek, za nichž budou ze strany Zhotovitele pro Objednatele po dobu účinnosti Rámcové dohody poskytována plnění za účelem dodávky snímačů jednotného identifikačního systému Objednatele (dále jen „JIS“).</w:t>
      </w:r>
    </w:p>
    <w:p w14:paraId="577724B3"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Předmět Rámcové dohody</w:t>
      </w:r>
    </w:p>
    <w:p w14:paraId="10C7D95F"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Rámcová dohoda stanovuje podmínky pro zadávání jednotlivých veřejných zakázek bez obnovení soutěže mezi Objednatelem a Zhotovitelem.</w:t>
      </w:r>
    </w:p>
    <w:p w14:paraId="5DEACC07"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Plnění poskytovaná Zhotovitelem na základě Rámcové dohody (specifikovaná zejm. v příloze č. 1), budou Zhotovitelem plněna řádně, včas, s odbornou péčí a v souladu s pokyny Objednatele a dílčími smlouvami (objednávkami), uzavřenými písemně smluvními stranami na základě Rámcové dohody v souladu s postupem uvedeným v článku III. Rámcové dohody (dále jen „Dílčí objednávka“).</w:t>
      </w:r>
    </w:p>
    <w:p w14:paraId="13A2236E"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Povinnost Zhotovitele realizovat plnění, tj. Dílčí dílo dle jednotlivé Dílčí objednávky vzniká až akceptací Dílčí objednávky, vystavené Objednatelem, ze strany Zhotovitele.</w:t>
      </w:r>
    </w:p>
    <w:p w14:paraId="4E35E23D"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lastRenderedPageBreak/>
        <w:t>Předmětem plnění Dílčího díla jsou zejména plnění uvedená v příloze č. 1 Rámcové dohody.</w:t>
      </w:r>
      <w:r>
        <w:rPr>
          <w:rFonts w:ascii="Garamond" w:hAnsi="Garamond" w:cs="Arial"/>
          <w:sz w:val="22"/>
          <w:szCs w:val="22"/>
        </w:rPr>
        <w:br/>
        <w:t>Před podpisem smlouvy byla v rámci Nadlimitního řízení ověřena bezchybná funkčnost snímače uvedeného v příloze č. 1 pod položkou č. 1 této Rámcové dohody (dále jen „Ověřený snímač“).</w:t>
      </w:r>
      <w:r>
        <w:rPr>
          <w:rFonts w:ascii="Garamond" w:hAnsi="Garamond" w:cs="Arial"/>
          <w:sz w:val="22"/>
          <w:szCs w:val="22"/>
        </w:rPr>
        <w:br/>
        <w:t>Nahrazení Ověřeného snímače za jiný snímač (resp. dodávka jiného typu snímače) je podmíněna písemnou a zdůvodněnou žádostí Zhotovitele o změnu snímače a současně souhlasem Objednatele. Zhotovitel je povinen před první dodávkou jiného typu snímače ověřit jeho funkčnost v infrastruktuře JIS ZČU, Objednatel mu k tomu poskytne případně nutnou součinnost. Jiný typ snímače, který prošel ověřením funkčnosti v systému JIS ZČU a odsouhlasený Objednatelem se považuje za Ověřený snímač.</w:t>
      </w:r>
    </w:p>
    <w:p w14:paraId="04352F9B"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Předmětem plnění Dílčího díla však mohou být i plnění, jež nejsou uvedena v příloze č. 1 Rámcové dohody, ale která je nezbytné poskytnout za účelem naplnění účelu a cíle Rámcové dohody (dále jen „Neoceněná plnění“), tj. zejm. drobné stavební práce, dílčí dodávky či opravy věcí či zařízení přímo souvisejících s výměnou snímačů JIS (výměny či úpravy zámků dveří).</w:t>
      </w:r>
    </w:p>
    <w:p w14:paraId="077000F0"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se zavazuje Dílčí dílo poskytnuté Zhotovitelem na základě Dílčí objednávky a za podmínek stanovených Rámcovou dohodou převzít a zaplatit za něj Zhotoviteli sjednanou cenu, a to způsobem a v termínu stanoveném v Rámcové dohodě.</w:t>
      </w:r>
    </w:p>
    <w:p w14:paraId="6EE0B06E"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Rámcová dohoda nevytváří kontraktační povinnost. Objednatel není povinen zadávat veřejné zakázky, resp. realizovat Dílčí objednávky.</w:t>
      </w:r>
    </w:p>
    <w:p w14:paraId="3CDD6379"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Doba a místo provedení Dílčího díla</w:t>
      </w:r>
    </w:p>
    <w:p w14:paraId="143DE802"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 xml:space="preserve">Místem plnění, resp. místem provedení Dílčího díla jsou budovy užívané Objednatelem, přesná adresa místa plnění bude uvedena v Dílčí objednávce, přičemž se bude vždy jednat o území města Plzně, Chebu nebo o obec Hrad Nečtiny nebude-li mezi smluvními stranami dohodnuto jinak. Pokud v průběhu běhu smlouvy vzniknou nová místa plnění, bude doprava a čas na cestě do nově vzniklých míst řešena dle čl. 3.4 Smlouvy. </w:t>
      </w:r>
    </w:p>
    <w:p w14:paraId="25FA6068"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Lhůta pro provedení Dílčího díla bude stanovena Objednatelem v Dílčí objednávce, přičemž lhůta pro provedení Dílčího díla nebude kratší než 5 (pět) pracovních dnů, nebude-li mezi smluvními stranami dohodnuto jinak.</w:t>
      </w:r>
    </w:p>
    <w:p w14:paraId="11513ACB"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Dílčí objednávky</w:t>
      </w:r>
    </w:p>
    <w:p w14:paraId="74493C62"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Předmět plnění (tj. specifikace Dílčího díla) bude uveden Objednatelem v Dílčí objednávce.</w:t>
      </w:r>
    </w:p>
    <w:p w14:paraId="389E761C"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odešle Dílčí objednávku na e-mailovou adresu Zhotovitele, uvedenou v hlavičce Rámcové dohody.</w:t>
      </w:r>
    </w:p>
    <w:p w14:paraId="3225E96A"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Dílčí objednávka bude obsahovat minimálně tyto náležitosti:</w:t>
      </w:r>
    </w:p>
    <w:p w14:paraId="737847CB" w14:textId="77777777" w:rsidR="00652FC2" w:rsidRDefault="00BD704B">
      <w:pPr>
        <w:pStyle w:val="Odstavecseseznamem"/>
        <w:numPr>
          <w:ilvl w:val="0"/>
          <w:numId w:val="14"/>
        </w:numPr>
        <w:spacing w:before="120" w:after="120"/>
        <w:ind w:left="851" w:hanging="284"/>
        <w:jc w:val="both"/>
        <w:rPr>
          <w:rFonts w:ascii="Garamond" w:hAnsi="Garamond" w:cs="Arial"/>
          <w:sz w:val="22"/>
          <w:szCs w:val="22"/>
        </w:rPr>
      </w:pPr>
      <w:r>
        <w:rPr>
          <w:rFonts w:ascii="Garamond" w:hAnsi="Garamond" w:cs="Arial"/>
          <w:sz w:val="22"/>
          <w:szCs w:val="22"/>
        </w:rPr>
        <w:t>číslo Dílčí objednávky a číslo Rámcové dohody Objednatele;</w:t>
      </w:r>
    </w:p>
    <w:p w14:paraId="6867311A" w14:textId="77777777" w:rsidR="00652FC2" w:rsidRDefault="00BD704B">
      <w:pPr>
        <w:pStyle w:val="Odstavecseseznamem"/>
        <w:numPr>
          <w:ilvl w:val="0"/>
          <w:numId w:val="14"/>
        </w:numPr>
        <w:spacing w:before="120" w:after="120"/>
        <w:ind w:left="851" w:hanging="284"/>
        <w:jc w:val="both"/>
        <w:rPr>
          <w:rFonts w:ascii="Garamond" w:hAnsi="Garamond" w:cs="Arial"/>
          <w:sz w:val="22"/>
          <w:szCs w:val="22"/>
        </w:rPr>
      </w:pPr>
      <w:r>
        <w:rPr>
          <w:rFonts w:ascii="Garamond" w:hAnsi="Garamond" w:cs="Arial"/>
          <w:sz w:val="22"/>
          <w:szCs w:val="22"/>
        </w:rPr>
        <w:t>identifikační údaje Objednatele a Zhotovitele;</w:t>
      </w:r>
    </w:p>
    <w:p w14:paraId="59D3A41C" w14:textId="77777777" w:rsidR="00652FC2" w:rsidRDefault="00BD704B">
      <w:pPr>
        <w:pStyle w:val="Odstavecseseznamem"/>
        <w:numPr>
          <w:ilvl w:val="0"/>
          <w:numId w:val="14"/>
        </w:numPr>
        <w:spacing w:before="120" w:after="120"/>
        <w:ind w:left="851" w:hanging="284"/>
        <w:jc w:val="both"/>
        <w:rPr>
          <w:rFonts w:ascii="Garamond" w:hAnsi="Garamond" w:cs="Arial"/>
          <w:sz w:val="22"/>
          <w:szCs w:val="22"/>
        </w:rPr>
      </w:pPr>
      <w:r>
        <w:rPr>
          <w:rFonts w:ascii="Garamond" w:hAnsi="Garamond" w:cs="Arial"/>
          <w:sz w:val="22"/>
          <w:szCs w:val="22"/>
        </w:rPr>
        <w:t>místo provedení Dílčího díla;</w:t>
      </w:r>
    </w:p>
    <w:p w14:paraId="274BB511" w14:textId="77777777" w:rsidR="00652FC2" w:rsidRDefault="00BD704B">
      <w:pPr>
        <w:pStyle w:val="Odstavecseseznamem"/>
        <w:numPr>
          <w:ilvl w:val="0"/>
          <w:numId w:val="14"/>
        </w:numPr>
        <w:spacing w:before="120" w:after="120"/>
        <w:ind w:left="851" w:hanging="284"/>
        <w:jc w:val="both"/>
        <w:rPr>
          <w:rFonts w:ascii="Garamond" w:hAnsi="Garamond" w:cs="Arial"/>
          <w:sz w:val="22"/>
          <w:szCs w:val="22"/>
        </w:rPr>
      </w:pPr>
      <w:r>
        <w:rPr>
          <w:rFonts w:ascii="Garamond" w:hAnsi="Garamond" w:cs="Arial"/>
          <w:sz w:val="22"/>
          <w:szCs w:val="22"/>
        </w:rPr>
        <w:t>specifikaci Dílčího díla, tj. rozsah požadovaných dodávek a činností;</w:t>
      </w:r>
    </w:p>
    <w:p w14:paraId="1E6E206C" w14:textId="77777777" w:rsidR="00652FC2" w:rsidRDefault="00BD704B">
      <w:pPr>
        <w:pStyle w:val="Odstavecseseznamem"/>
        <w:numPr>
          <w:ilvl w:val="0"/>
          <w:numId w:val="14"/>
        </w:numPr>
        <w:spacing w:before="120" w:after="120"/>
        <w:ind w:left="851" w:hanging="284"/>
        <w:jc w:val="both"/>
        <w:rPr>
          <w:rFonts w:ascii="Garamond" w:hAnsi="Garamond" w:cs="Arial"/>
          <w:sz w:val="22"/>
          <w:szCs w:val="22"/>
        </w:rPr>
      </w:pPr>
      <w:r>
        <w:rPr>
          <w:rFonts w:ascii="Garamond" w:hAnsi="Garamond" w:cs="Arial"/>
          <w:sz w:val="22"/>
          <w:szCs w:val="22"/>
        </w:rPr>
        <w:t>cenu Dílčího díla stanovenou v souladu s Rámcovou dohodou, příp. i jen jednotkové ceny plnění a odhadovaný rozsah plnění, pokud ho předem nelze přesně stanovit (rozsah plnění bude odhadnut Objednatelem, popř. bude odhadnut při neformálním projednání smluvních stran na místě plnění);</w:t>
      </w:r>
    </w:p>
    <w:p w14:paraId="01DEA182" w14:textId="77777777" w:rsidR="00652FC2" w:rsidRDefault="00BD704B">
      <w:pPr>
        <w:pStyle w:val="Odstavecseseznamem"/>
        <w:numPr>
          <w:ilvl w:val="0"/>
          <w:numId w:val="14"/>
        </w:numPr>
        <w:spacing w:before="120" w:after="120"/>
        <w:ind w:left="851" w:hanging="284"/>
        <w:jc w:val="both"/>
        <w:rPr>
          <w:rFonts w:ascii="Garamond" w:hAnsi="Garamond" w:cs="Arial"/>
          <w:sz w:val="22"/>
          <w:szCs w:val="22"/>
        </w:rPr>
      </w:pPr>
      <w:r>
        <w:rPr>
          <w:rFonts w:ascii="Garamond" w:hAnsi="Garamond" w:cs="Arial"/>
          <w:sz w:val="22"/>
          <w:szCs w:val="22"/>
        </w:rPr>
        <w:t>lhůtu pro provedení Dílčího díla stanovenou v souladu s čl. 2.2 Rámcové dohody (pokud není lhůta uvedena, činí jeden (1) měsíc od akceptace Dílčí objednávky).</w:t>
      </w:r>
    </w:p>
    <w:p w14:paraId="54E6BCA3"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Cena uvedená v Dílčí objednávce za jednotlivé dodávky a činnosti bude odpovídat jednotkovým cenám uvedeným v příloze č. 1 Rámcové dohody. Cena za Neoceněná plnění, nesmí přesáhnout cenu v místě a čase obvyklou (cena Neoceněného plnění bude stanovena předem při neformálním projednání smluvních stran).</w:t>
      </w:r>
    </w:p>
    <w:p w14:paraId="32DF8CD7"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lastRenderedPageBreak/>
        <w:t>Zhotovitel akceptuje a bezodkladně (nejpozději do dvou (2) pracovních dnů) zašle zpět Objednateli řádně potvrzenou Dílčí objednávku na e-mailovou adresu kontaktní osoby Objednatele. Za řádně potvrzenou Dílčí objednávku se považuje:</w:t>
      </w:r>
    </w:p>
    <w:p w14:paraId="452AD37F" w14:textId="77777777" w:rsidR="00652FC2" w:rsidRDefault="00BD704B">
      <w:pPr>
        <w:pStyle w:val="Odstavecseseznamem"/>
        <w:numPr>
          <w:ilvl w:val="0"/>
          <w:numId w:val="15"/>
        </w:numPr>
        <w:spacing w:before="120" w:after="120"/>
        <w:ind w:left="851" w:hanging="284"/>
        <w:jc w:val="both"/>
        <w:rPr>
          <w:rFonts w:ascii="Garamond" w:hAnsi="Garamond" w:cs="Arial"/>
          <w:sz w:val="22"/>
          <w:szCs w:val="22"/>
        </w:rPr>
      </w:pPr>
      <w:r>
        <w:rPr>
          <w:rFonts w:ascii="Garamond" w:hAnsi="Garamond" w:cs="Arial"/>
          <w:sz w:val="22"/>
          <w:szCs w:val="22"/>
        </w:rPr>
        <w:t xml:space="preserve">Dílčí objednávka podepsaná </w:t>
      </w:r>
      <w:r>
        <w:rPr>
          <w:rFonts w:ascii="Garamond" w:hAnsi="Garamond"/>
          <w:sz w:val="22"/>
          <w:szCs w:val="22"/>
        </w:rPr>
        <w:t>kvalifikovaným nebo zaručeným elektronickým podpisem založeným na kvalifikovaném certifikátu osoby oprávněné za Zhotovitele k akceptaci Dílčí objednávky, nebo</w:t>
      </w:r>
    </w:p>
    <w:p w14:paraId="17007C3E" w14:textId="77777777" w:rsidR="00652FC2" w:rsidRDefault="00BD704B">
      <w:pPr>
        <w:pStyle w:val="Odstavecseseznamem"/>
        <w:numPr>
          <w:ilvl w:val="0"/>
          <w:numId w:val="15"/>
        </w:numPr>
        <w:spacing w:before="120" w:after="120"/>
        <w:ind w:left="851" w:hanging="284"/>
        <w:jc w:val="both"/>
        <w:rPr>
          <w:rFonts w:ascii="Garamond" w:hAnsi="Garamond" w:cs="Arial"/>
          <w:sz w:val="22"/>
          <w:szCs w:val="22"/>
        </w:rPr>
      </w:pPr>
      <w:r>
        <w:rPr>
          <w:rFonts w:ascii="Garamond" w:hAnsi="Garamond"/>
          <w:sz w:val="22"/>
          <w:szCs w:val="22"/>
        </w:rPr>
        <w:t>sken Dílčí objednávky s uvedením jména a příjmení osoby oprávněné za Zhotovitele k akceptaci Dílčí objednávky, nebo</w:t>
      </w:r>
    </w:p>
    <w:p w14:paraId="08AB067B" w14:textId="77777777" w:rsidR="00652FC2" w:rsidRDefault="00BD704B">
      <w:pPr>
        <w:pStyle w:val="Odstavecseseznamem"/>
        <w:numPr>
          <w:ilvl w:val="0"/>
          <w:numId w:val="15"/>
        </w:numPr>
        <w:spacing w:before="120" w:after="120"/>
        <w:ind w:left="851" w:hanging="284"/>
        <w:jc w:val="both"/>
        <w:rPr>
          <w:rFonts w:ascii="Garamond" w:hAnsi="Garamond" w:cs="Arial"/>
          <w:sz w:val="22"/>
          <w:szCs w:val="22"/>
        </w:rPr>
      </w:pPr>
      <w:r>
        <w:rPr>
          <w:rFonts w:ascii="Garamond" w:hAnsi="Garamond"/>
          <w:sz w:val="22"/>
          <w:szCs w:val="22"/>
        </w:rPr>
        <w:t>e-mail, z jehož znění je zřejmé, že Zhotovitel Dílčí objednávku akceptoval.</w:t>
      </w:r>
    </w:p>
    <w:p w14:paraId="242459C1"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je oprávněn odmítnout akceptaci Dílčí objednávky, pokud Dílčí objednávka:</w:t>
      </w:r>
    </w:p>
    <w:p w14:paraId="2193F604" w14:textId="77777777" w:rsidR="00652FC2" w:rsidRDefault="00BD704B">
      <w:pPr>
        <w:pStyle w:val="Odstavecseseznamem"/>
        <w:numPr>
          <w:ilvl w:val="0"/>
          <w:numId w:val="16"/>
        </w:numPr>
        <w:spacing w:before="120" w:after="120"/>
        <w:ind w:left="851" w:hanging="284"/>
        <w:jc w:val="both"/>
        <w:rPr>
          <w:rFonts w:ascii="Garamond" w:hAnsi="Garamond" w:cs="Arial"/>
          <w:sz w:val="22"/>
          <w:szCs w:val="22"/>
        </w:rPr>
      </w:pPr>
      <w:r>
        <w:rPr>
          <w:rFonts w:ascii="Garamond" w:hAnsi="Garamond" w:cs="Arial"/>
          <w:sz w:val="22"/>
          <w:szCs w:val="22"/>
        </w:rPr>
        <w:t>neobsahuje údaje dle čl. 3.3 Rámcové dohody;</w:t>
      </w:r>
    </w:p>
    <w:p w14:paraId="4451B412" w14:textId="77777777" w:rsidR="00652FC2" w:rsidRDefault="00BD704B">
      <w:pPr>
        <w:pStyle w:val="Odstavecseseznamem"/>
        <w:numPr>
          <w:ilvl w:val="0"/>
          <w:numId w:val="16"/>
        </w:numPr>
        <w:spacing w:before="120" w:after="120"/>
        <w:ind w:left="851" w:hanging="284"/>
        <w:jc w:val="both"/>
        <w:rPr>
          <w:rFonts w:ascii="Garamond" w:hAnsi="Garamond" w:cs="Arial"/>
          <w:sz w:val="22"/>
          <w:szCs w:val="22"/>
        </w:rPr>
      </w:pPr>
      <w:r>
        <w:rPr>
          <w:rFonts w:ascii="Garamond" w:hAnsi="Garamond" w:cs="Arial"/>
          <w:sz w:val="22"/>
          <w:szCs w:val="22"/>
        </w:rPr>
        <w:t>místo dodání je jinde než v Plzni, Chebu nebo v obci Hrad Nečtiny, případná nově vzniklá pracoviště ZČU;</w:t>
      </w:r>
    </w:p>
    <w:p w14:paraId="0D75EE5C" w14:textId="77777777" w:rsidR="00652FC2" w:rsidRDefault="00BD704B">
      <w:pPr>
        <w:pStyle w:val="Odstavecseseznamem"/>
        <w:numPr>
          <w:ilvl w:val="0"/>
          <w:numId w:val="16"/>
        </w:numPr>
        <w:spacing w:before="120" w:after="120"/>
        <w:ind w:left="851" w:hanging="284"/>
        <w:jc w:val="both"/>
        <w:rPr>
          <w:rFonts w:ascii="Garamond" w:hAnsi="Garamond" w:cs="Arial"/>
          <w:sz w:val="22"/>
          <w:szCs w:val="22"/>
        </w:rPr>
      </w:pPr>
      <w:r>
        <w:rPr>
          <w:rFonts w:ascii="Garamond" w:hAnsi="Garamond" w:cs="Arial"/>
          <w:sz w:val="22"/>
          <w:szCs w:val="22"/>
        </w:rPr>
        <w:t>zahrnuje Neoceněná plnění.</w:t>
      </w:r>
    </w:p>
    <w:p w14:paraId="0045EE68"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 odmítnutí akceptace Dílčí objednávky je Zhotovitel povinen Objednatele bezodkladně (nejpozději do (2) dvou pracovních dnů) vyrozumět na e-mailovou adresu kontaktní osoby Objednatele.</w:t>
      </w:r>
    </w:p>
    <w:p w14:paraId="15D7BAFD"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Smluvní strany jsou si při zadávání Dílčích objednávek povinny poskytovat veškerou spravedlivě požadovanou součinnost.</w:t>
      </w:r>
    </w:p>
    <w:p w14:paraId="102D4006" w14:textId="77777777" w:rsidR="00652FC2" w:rsidRDefault="00BD704B">
      <w:pPr>
        <w:pStyle w:val="Odstavecseseznamem"/>
        <w:keepNext/>
        <w:numPr>
          <w:ilvl w:val="0"/>
          <w:numId w:val="13"/>
        </w:numPr>
        <w:spacing w:before="240" w:after="120"/>
        <w:ind w:left="1077"/>
        <w:jc w:val="center"/>
        <w:rPr>
          <w:rFonts w:ascii="Garamond" w:hAnsi="Garamond" w:cs="Arial"/>
          <w:b/>
          <w:sz w:val="22"/>
          <w:szCs w:val="22"/>
        </w:rPr>
      </w:pPr>
      <w:r>
        <w:rPr>
          <w:rFonts w:ascii="Garamond" w:hAnsi="Garamond" w:cs="Arial"/>
          <w:b/>
          <w:sz w:val="22"/>
          <w:szCs w:val="22"/>
        </w:rPr>
        <w:t>Provádění Dílčího díla</w:t>
      </w:r>
    </w:p>
    <w:p w14:paraId="32FDEC4C"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bude Dílčí dílo provádět v souladu s pokyny Objednatele, na vlastní nebezpečí a na vlastní odpovědnost.</w:t>
      </w:r>
    </w:p>
    <w:p w14:paraId="525EDB88"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Dílčí dílo zahrnuje provedení, dodání a zajištění všech činností, prací, služeb, věcí a dodávek nutných k jeho realizaci, a to zejména:</w:t>
      </w:r>
    </w:p>
    <w:p w14:paraId="1C18DE1B" w14:textId="77777777" w:rsidR="00652FC2" w:rsidRDefault="00BD704B">
      <w:pPr>
        <w:widowControl w:val="0"/>
        <w:numPr>
          <w:ilvl w:val="0"/>
          <w:numId w:val="18"/>
        </w:numPr>
        <w:spacing w:before="60" w:after="60"/>
        <w:ind w:left="851" w:hanging="284"/>
        <w:jc w:val="both"/>
        <w:rPr>
          <w:rFonts w:ascii="Garamond" w:hAnsi="Garamond" w:cs="Verdana"/>
          <w:sz w:val="22"/>
          <w:szCs w:val="22"/>
        </w:rPr>
      </w:pPr>
      <w:r>
        <w:rPr>
          <w:rFonts w:ascii="Garamond" w:hAnsi="Garamond" w:cs="Verdana"/>
          <w:sz w:val="22"/>
          <w:szCs w:val="22"/>
        </w:rPr>
        <w:t>dopravu (osob, věcí nezbytných k provedení díla) do místa provádění Dílčího díla;</w:t>
      </w:r>
    </w:p>
    <w:p w14:paraId="010D624B" w14:textId="77777777" w:rsidR="00652FC2" w:rsidRDefault="00BD704B">
      <w:pPr>
        <w:widowControl w:val="0"/>
        <w:numPr>
          <w:ilvl w:val="0"/>
          <w:numId w:val="18"/>
        </w:numPr>
        <w:spacing w:before="60" w:after="60"/>
        <w:ind w:left="851" w:hanging="284"/>
        <w:jc w:val="both"/>
        <w:rPr>
          <w:rFonts w:ascii="Garamond" w:hAnsi="Garamond" w:cs="Verdana"/>
          <w:sz w:val="22"/>
          <w:szCs w:val="22"/>
        </w:rPr>
      </w:pPr>
      <w:r>
        <w:rPr>
          <w:rFonts w:ascii="Garamond" w:hAnsi="Garamond" w:cs="Verdana"/>
          <w:sz w:val="22"/>
          <w:szCs w:val="22"/>
        </w:rPr>
        <w:t>úklid místa provedení Dílčího díla po provedení Dílčího díla;</w:t>
      </w:r>
    </w:p>
    <w:p w14:paraId="7980785C" w14:textId="77777777" w:rsidR="00652FC2" w:rsidRDefault="00BD704B">
      <w:pPr>
        <w:widowControl w:val="0"/>
        <w:numPr>
          <w:ilvl w:val="0"/>
          <w:numId w:val="18"/>
        </w:numPr>
        <w:spacing w:before="60" w:after="60"/>
        <w:ind w:left="851" w:hanging="284"/>
        <w:jc w:val="both"/>
        <w:rPr>
          <w:rFonts w:ascii="Garamond" w:hAnsi="Garamond" w:cs="Verdana"/>
          <w:sz w:val="22"/>
          <w:szCs w:val="22"/>
        </w:rPr>
      </w:pPr>
      <w:r>
        <w:rPr>
          <w:rFonts w:ascii="Garamond" w:hAnsi="Garamond" w:cs="Verdana"/>
          <w:sz w:val="22"/>
          <w:szCs w:val="22"/>
        </w:rPr>
        <w:t>odvoz a zajištění uložení a ekologickou likvidaci případných stavebních odpadů (včetně úhrady poplatků za toto uložení, likvidaci a dopravu).</w:t>
      </w:r>
    </w:p>
    <w:p w14:paraId="50966C90" w14:textId="77777777" w:rsidR="00652FC2" w:rsidRDefault="00BD704B">
      <w:pPr>
        <w:widowControl w:val="0"/>
        <w:numPr>
          <w:ilvl w:val="0"/>
          <w:numId w:val="18"/>
        </w:numPr>
        <w:spacing w:before="60" w:after="60"/>
        <w:ind w:left="851" w:hanging="284"/>
        <w:jc w:val="both"/>
        <w:rPr>
          <w:rFonts w:ascii="Garamond" w:hAnsi="Garamond" w:cs="Verdana"/>
          <w:sz w:val="22"/>
          <w:szCs w:val="22"/>
        </w:rPr>
      </w:pPr>
      <w:r>
        <w:rPr>
          <w:rFonts w:ascii="Garamond" w:hAnsi="Garamond" w:cs="Verdana"/>
          <w:sz w:val="22"/>
          <w:szCs w:val="22"/>
        </w:rPr>
        <w:t>v případě stavebních úprav, zemních prací atp. i uvedení místa dotčeného prováděním Dílčího díla do původního stavu (úprava povrchu, výmalba apod.), nebude-li mezi smluvními stranami výslovně dohodnuto jinak;</w:t>
      </w:r>
    </w:p>
    <w:p w14:paraId="35CFC188" w14:textId="7783FB90" w:rsidR="00652FC2" w:rsidRDefault="00BD704B">
      <w:pPr>
        <w:widowControl w:val="0"/>
        <w:numPr>
          <w:ilvl w:val="0"/>
          <w:numId w:val="18"/>
        </w:numPr>
        <w:spacing w:before="60" w:after="60"/>
        <w:ind w:left="851" w:hanging="284"/>
        <w:jc w:val="both"/>
        <w:rPr>
          <w:rFonts w:ascii="Garamond" w:hAnsi="Garamond" w:cs="Verdana"/>
          <w:sz w:val="22"/>
          <w:szCs w:val="22"/>
        </w:rPr>
      </w:pPr>
      <w:r>
        <w:rPr>
          <w:rFonts w:ascii="Garamond" w:hAnsi="Garamond" w:cs="Verdana"/>
          <w:sz w:val="22"/>
          <w:szCs w:val="22"/>
        </w:rPr>
        <w:t>poskytnutí nezbytné součinnosti osobě (ke dni uzavření Rámcové dohody je jím  pověřené Objednatelem k servisu systému JIS ke kontrole funkčnosti a zajištění připojení části nové infrastruktury JIS, jež je předmětem Dílčího díla.</w:t>
      </w:r>
    </w:p>
    <w:p w14:paraId="7E40437D"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 provedení Dílčího díla bude smluvními stranami sepsán protokol (dále jen „Předávací protokol“).</w:t>
      </w:r>
    </w:p>
    <w:p w14:paraId="0269FE63"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Předávací protokol bude připraven Zhotovitelem a předložen Objednateli při kontrole dokončeného Dílčího díla. Převezme-li Objednatel Dílčí dílo s vadami či nedodělky, budou tyto vady Dílčího díla či nedodělky uvedeny v předávacím protokolu včetně termínu, v němž Objednatel požaduje jejich odstranění. V předávacím protokolu musí být vždy uvedeno zejm.:</w:t>
      </w:r>
    </w:p>
    <w:p w14:paraId="3750C5B3" w14:textId="77777777" w:rsidR="00652FC2" w:rsidRDefault="00BD704B">
      <w:pPr>
        <w:widowControl w:val="0"/>
        <w:numPr>
          <w:ilvl w:val="0"/>
          <w:numId w:val="19"/>
        </w:numPr>
        <w:spacing w:before="60" w:after="60"/>
        <w:ind w:left="851" w:hanging="284"/>
        <w:jc w:val="both"/>
        <w:rPr>
          <w:rFonts w:ascii="Garamond" w:hAnsi="Garamond" w:cs="Verdana"/>
          <w:sz w:val="22"/>
          <w:szCs w:val="22"/>
        </w:rPr>
      </w:pPr>
      <w:r>
        <w:rPr>
          <w:rFonts w:ascii="Garamond" w:hAnsi="Garamond" w:cs="Verdana"/>
          <w:sz w:val="22"/>
          <w:szCs w:val="22"/>
        </w:rPr>
        <w:t>číslo objednávky Dílčího díla;</w:t>
      </w:r>
    </w:p>
    <w:p w14:paraId="30BD448A" w14:textId="77777777" w:rsidR="00652FC2" w:rsidRDefault="00BD704B">
      <w:pPr>
        <w:widowControl w:val="0"/>
        <w:numPr>
          <w:ilvl w:val="0"/>
          <w:numId w:val="19"/>
        </w:numPr>
        <w:spacing w:before="60" w:after="60"/>
        <w:ind w:left="851" w:hanging="284"/>
        <w:jc w:val="both"/>
        <w:rPr>
          <w:rFonts w:ascii="Garamond" w:hAnsi="Garamond" w:cs="Verdana"/>
          <w:sz w:val="22"/>
          <w:szCs w:val="22"/>
        </w:rPr>
      </w:pPr>
      <w:r>
        <w:rPr>
          <w:rFonts w:ascii="Garamond" w:hAnsi="Garamond" w:cs="Verdana"/>
          <w:sz w:val="22"/>
          <w:szCs w:val="22"/>
        </w:rPr>
        <w:t>přesné místo provádění Dílčího díla (přesná identifikace objektu (popř. pozemku) a všech místností či míst v/na objektu (pozemku) dotčených prováděním prací);</w:t>
      </w:r>
    </w:p>
    <w:p w14:paraId="67FB2AD0" w14:textId="77777777" w:rsidR="00652FC2" w:rsidRDefault="00BD704B">
      <w:pPr>
        <w:widowControl w:val="0"/>
        <w:numPr>
          <w:ilvl w:val="0"/>
          <w:numId w:val="19"/>
        </w:numPr>
        <w:spacing w:before="60" w:after="60"/>
        <w:ind w:left="851" w:hanging="284"/>
        <w:jc w:val="both"/>
        <w:rPr>
          <w:rFonts w:ascii="Garamond" w:hAnsi="Garamond" w:cs="Verdana"/>
          <w:sz w:val="22"/>
          <w:szCs w:val="22"/>
        </w:rPr>
      </w:pPr>
      <w:r>
        <w:rPr>
          <w:rFonts w:ascii="Garamond" w:hAnsi="Garamond" w:cs="Verdana"/>
          <w:sz w:val="22"/>
          <w:szCs w:val="22"/>
        </w:rPr>
        <w:t>přesný rozsah (počet měrných jednotek) a druh provedených prací, dodaných věcí atp. vč. jednotkových smluvních cen;</w:t>
      </w:r>
    </w:p>
    <w:p w14:paraId="29A64EBF" w14:textId="77777777" w:rsidR="00652FC2" w:rsidRDefault="00BD704B">
      <w:pPr>
        <w:widowControl w:val="0"/>
        <w:numPr>
          <w:ilvl w:val="0"/>
          <w:numId w:val="19"/>
        </w:numPr>
        <w:spacing w:before="60" w:after="60"/>
        <w:ind w:left="851" w:hanging="284"/>
        <w:jc w:val="both"/>
        <w:rPr>
          <w:rFonts w:ascii="Garamond" w:hAnsi="Garamond" w:cs="Verdana"/>
          <w:sz w:val="22"/>
          <w:szCs w:val="22"/>
        </w:rPr>
      </w:pPr>
      <w:r>
        <w:rPr>
          <w:rFonts w:ascii="Garamond" w:hAnsi="Garamond" w:cs="Verdana"/>
          <w:sz w:val="22"/>
          <w:szCs w:val="22"/>
        </w:rPr>
        <w:t>celková cena Dílčího díla;</w:t>
      </w:r>
    </w:p>
    <w:p w14:paraId="6C27BF6A" w14:textId="77777777" w:rsidR="00652FC2" w:rsidRDefault="00BD704B">
      <w:pPr>
        <w:widowControl w:val="0"/>
        <w:numPr>
          <w:ilvl w:val="0"/>
          <w:numId w:val="19"/>
        </w:numPr>
        <w:spacing w:before="60" w:after="60"/>
        <w:ind w:left="851" w:hanging="284"/>
        <w:jc w:val="both"/>
        <w:rPr>
          <w:rFonts w:ascii="Garamond" w:hAnsi="Garamond" w:cs="Verdana"/>
          <w:sz w:val="22"/>
          <w:szCs w:val="22"/>
        </w:rPr>
      </w:pPr>
      <w:r>
        <w:rPr>
          <w:rFonts w:ascii="Garamond" w:hAnsi="Garamond" w:cs="Verdana"/>
          <w:sz w:val="22"/>
          <w:szCs w:val="22"/>
        </w:rPr>
        <w:t>termín předání Dílčího díla;</w:t>
      </w:r>
    </w:p>
    <w:p w14:paraId="4BE73108" w14:textId="77777777" w:rsidR="00652FC2" w:rsidRDefault="00BD704B">
      <w:pPr>
        <w:widowControl w:val="0"/>
        <w:numPr>
          <w:ilvl w:val="0"/>
          <w:numId w:val="19"/>
        </w:numPr>
        <w:spacing w:before="60" w:after="60"/>
        <w:ind w:left="851" w:hanging="284"/>
        <w:jc w:val="both"/>
        <w:rPr>
          <w:rFonts w:ascii="Garamond" w:hAnsi="Garamond" w:cs="Verdana"/>
          <w:sz w:val="22"/>
          <w:szCs w:val="22"/>
        </w:rPr>
      </w:pPr>
      <w:r>
        <w:rPr>
          <w:rFonts w:ascii="Garamond" w:hAnsi="Garamond" w:cs="Verdana"/>
          <w:sz w:val="22"/>
          <w:szCs w:val="22"/>
        </w:rPr>
        <w:t>identifikace osoby přebírající Dílčí dílo za Objednatele;</w:t>
      </w:r>
    </w:p>
    <w:p w14:paraId="7F50CC8E" w14:textId="77777777" w:rsidR="00652FC2" w:rsidRDefault="00BD704B">
      <w:pPr>
        <w:widowControl w:val="0"/>
        <w:numPr>
          <w:ilvl w:val="0"/>
          <w:numId w:val="19"/>
        </w:numPr>
        <w:spacing w:before="60" w:after="60"/>
        <w:ind w:left="851" w:hanging="284"/>
        <w:jc w:val="both"/>
        <w:rPr>
          <w:rFonts w:ascii="Garamond" w:hAnsi="Garamond" w:cs="Verdana"/>
          <w:sz w:val="22"/>
          <w:szCs w:val="22"/>
        </w:rPr>
      </w:pPr>
      <w:r>
        <w:rPr>
          <w:rFonts w:ascii="Garamond" w:hAnsi="Garamond" w:cs="Verdana"/>
          <w:sz w:val="22"/>
          <w:szCs w:val="22"/>
        </w:rPr>
        <w:lastRenderedPageBreak/>
        <w:t>bude-li Dílčí dílo provedeno v menším rozsahu, než je uvedeno v objednávce Dílčího díla, bude taková skutečnost Zhotovitelem řádně odůvodněna.</w:t>
      </w:r>
    </w:p>
    <w:p w14:paraId="59C45CD2"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Společně s věcmi či součástmi, jež budou v rámci provedení Dílčího díla zakomponovány do infrastruktury JIS je Zhotovitel povinen dodat veškeré související doklady</w:t>
      </w:r>
      <w:r>
        <w:rPr>
          <w:rFonts w:ascii="Garamond" w:hAnsi="Garamond"/>
          <w:color w:val="000000"/>
          <w:sz w:val="22"/>
          <w:szCs w:val="22"/>
        </w:rPr>
        <w:t xml:space="preserve"> (zejm. atesty, osvědčení, prohlášení o shodě, návody atp., které jsou nezbytné k řádnému užívání součástí či výsledku Dílčího díla)</w:t>
      </w:r>
      <w:r>
        <w:rPr>
          <w:rFonts w:ascii="Garamond" w:hAnsi="Garamond" w:cs="Arial"/>
          <w:sz w:val="22"/>
          <w:szCs w:val="22"/>
        </w:rPr>
        <w:t>, pokud je s ohledem na charakter dané věci či součásti takové dodání dokladů nezbytné nebo obvyklé.</w:t>
      </w:r>
    </w:p>
    <w:p w14:paraId="5D29BA3B"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 xml:space="preserve">Smluvní strany výslovně vylučují použití ust. § 2605 o.z. Objednatel nemá povinnost převzít Dílčí dílo, které vykazuje vady a nedodělky. Za vadu díla se považují i vady Předávacího protokolu. </w:t>
      </w:r>
    </w:p>
    <w:p w14:paraId="24DA5063"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si vyhrazuje právo předem odsouhlasit veškeré postupy prací a dodávek a dále také povrchové úpravy pozemků či částí objektu dotčených při provádění Dílčího díla.</w:t>
      </w:r>
    </w:p>
    <w:p w14:paraId="664AAF78"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Práce se zavazuje Zhotovitel provádět pouze v pracovní dny a v době od 7:00 do 21:00 hod, nebude-li mezi smluvními stranami dohodnuto jinak.</w:t>
      </w:r>
    </w:p>
    <w:p w14:paraId="5A3A6FB3"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předá Zhotoviteli místo určené pro provedení Dílčího díla v termínu dohodnutém mezi smluvními stranami, nejpozději však do pěti (5) pracovních dnů od potvrzení objednávky dle čl. 1.3 Rámcové dohody. Zhotovitel je povinen poskytnout nezbytnou součinnost k převzetí místa provádění Dílčího díla.</w:t>
      </w:r>
    </w:p>
    <w:p w14:paraId="0EDC0F74"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se zavazuje zachovávat v místě provádění Dílčího díla a přilehlých prostorách čistotu a pořádek, a to minimálně ve stavu, který umožní nepřerušovaný provoz budovy dotčené prováděním Dílčího díla, a to s ohledem na hygienické požadavky, BOZP apod. Zhotovitel se dále zavazuje dodržovat provozní řád budovy dotčené prováděním Dílčího díla, pokyny požárního dozoru, příp. dozoru bezpečnosti práce.</w:t>
      </w:r>
    </w:p>
    <w:p w14:paraId="2B499E6C"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bude mít v průběhu realizace Dílčího díla výhradní odpovědnost za:</w:t>
      </w:r>
    </w:p>
    <w:p w14:paraId="424F6170" w14:textId="77777777" w:rsidR="00652FC2" w:rsidRDefault="00BD704B">
      <w:pPr>
        <w:widowControl w:val="0"/>
        <w:numPr>
          <w:ilvl w:val="0"/>
          <w:numId w:val="20"/>
        </w:numPr>
        <w:spacing w:before="60" w:after="60"/>
        <w:ind w:left="851" w:hanging="284"/>
        <w:jc w:val="both"/>
        <w:rPr>
          <w:rFonts w:ascii="Garamond" w:hAnsi="Garamond" w:cs="Verdana"/>
          <w:sz w:val="22"/>
          <w:szCs w:val="22"/>
        </w:rPr>
      </w:pPr>
      <w:r>
        <w:rPr>
          <w:rFonts w:ascii="Garamond" w:hAnsi="Garamond" w:cs="Verdana"/>
          <w:sz w:val="22"/>
          <w:szCs w:val="22"/>
        </w:rPr>
        <w:t>zajištění bezpečnosti všech osob v místě provádění Dílčího díla, udržování místa provádění Dílčího díla v uspořádaném stavu za účelem předcházení vzniku škod;</w:t>
      </w:r>
    </w:p>
    <w:p w14:paraId="7A59D51C" w14:textId="77777777" w:rsidR="00652FC2" w:rsidRDefault="00BD704B">
      <w:pPr>
        <w:widowControl w:val="0"/>
        <w:numPr>
          <w:ilvl w:val="0"/>
          <w:numId w:val="20"/>
        </w:numPr>
        <w:spacing w:before="60" w:after="60"/>
        <w:ind w:left="851" w:hanging="284"/>
        <w:jc w:val="both"/>
        <w:rPr>
          <w:rFonts w:ascii="Garamond" w:hAnsi="Garamond" w:cs="Verdana"/>
          <w:sz w:val="22"/>
          <w:szCs w:val="22"/>
        </w:rPr>
      </w:pPr>
      <w:r>
        <w:rPr>
          <w:rFonts w:ascii="Garamond" w:hAnsi="Garamond" w:cs="Verdana"/>
          <w:sz w:val="22"/>
          <w:szCs w:val="22"/>
        </w:rPr>
        <w:t>provedení veškerých odpovídajících úkonů k ochraně životního prostředí v místě provádění Dílčího díla i přilehlých prostorách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35181B0"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Ke dni předání Dílčího díla bez vad a nedodělků Objednateli bude místo provádění Dílčího díla vyklizeno a uklizeno.</w:t>
      </w:r>
    </w:p>
    <w:p w14:paraId="48E93A24"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Požadovaná kvalita Dílčího díla a prací a způsob její kontroly se řídí platnými technickými normami, jakož i materiály a výrobky použité pro provedení Dílčího díla musí být v souladu s ustanovením § 156 stavebního zákona a splňovat podmínky dle zákona č. 22/1997 Sb., o technických požadavcích na výrobky a o změně a doplnění některých zákonů.</w:t>
      </w:r>
    </w:p>
    <w:p w14:paraId="366864ED"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prohlašuje, že disponuje platným pojištěním odpovědnosti za škodu způsobenou třetí osobě v souvislosti s předmětem činnosti dle Rámcové dohody, a to v minimální výši 500 000 Kč. Zhotovitel doklad o platném pojištění předložil Objednateli před uzavřením Rámcové dohody. Zhotovitel je povinen udržovat toto pojištění v platnosti a v účinnosti bez přerušení po celou dobu účinnosti Rámcové dohody a současně do provedení posledního Dílčího díla. Zhotovitel je povinen po dobu účinnosti Rámcové dohody prokázat trvání pojištění do tří (3) dnů od výzvy Objednatele, jinak je povinen zaplatit Objednateli smluvní pokutu ve výši 1 000 Kč za každý i započatý den prodlení se splněním této povinnosti.</w:t>
      </w:r>
    </w:p>
    <w:p w14:paraId="5DF49683"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Ustanovení tohoto článku Rámcové dohody se použijí obdobně při odstraňování vad Dílčího díla Zhotovitelem.</w:t>
      </w:r>
    </w:p>
    <w:p w14:paraId="0B3F0532"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K jednání za Objednatele spočívající v udílení pokynů k provedení Dílčího díla, k předání a převzetí místa plnění, k podpisu předávacího protokolu, k reklamování vad apod. je oprávněna kontaktní osoba Objednatele nebo jí pověřená osoba.</w:t>
      </w:r>
    </w:p>
    <w:p w14:paraId="0BB70E55"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lastRenderedPageBreak/>
        <w:t>Cena Dílčího díla a platební podmínky</w:t>
      </w:r>
    </w:p>
    <w:p w14:paraId="08AD8B14" w14:textId="77777777" w:rsidR="00652FC2" w:rsidRDefault="00BD704B">
      <w:pPr>
        <w:pStyle w:val="Odstavecseseznamem"/>
        <w:numPr>
          <w:ilvl w:val="1"/>
          <w:numId w:val="13"/>
        </w:numPr>
        <w:spacing w:before="120" w:after="120"/>
        <w:ind w:left="567" w:hanging="567"/>
        <w:jc w:val="both"/>
        <w:rPr>
          <w:rFonts w:ascii="Garamond" w:hAnsi="Garamond"/>
          <w:color w:val="000000"/>
          <w:sz w:val="22"/>
          <w:szCs w:val="22"/>
        </w:rPr>
      </w:pPr>
      <w:r>
        <w:rPr>
          <w:rFonts w:ascii="Garamond" w:hAnsi="Garamond"/>
          <w:color w:val="000000"/>
          <w:sz w:val="22"/>
          <w:szCs w:val="22"/>
        </w:rPr>
        <w:t>Cena Dílčího díla (popř. i jen jednotkových cen a předpokládaného rozsahu plnění v případě předem neodhadnutelného rozsahu plnění) bude uvedena v Dílčí objednávce.</w:t>
      </w:r>
    </w:p>
    <w:p w14:paraId="04BD3A96" w14:textId="15A13E84" w:rsidR="00652FC2" w:rsidRDefault="00BD704B">
      <w:pPr>
        <w:pStyle w:val="Odstavecseseznamem"/>
        <w:numPr>
          <w:ilvl w:val="1"/>
          <w:numId w:val="13"/>
        </w:numPr>
        <w:spacing w:before="120" w:after="120"/>
        <w:ind w:left="567" w:hanging="567"/>
        <w:jc w:val="both"/>
        <w:rPr>
          <w:rFonts w:ascii="Garamond" w:hAnsi="Garamond"/>
          <w:color w:val="000000"/>
          <w:sz w:val="22"/>
          <w:szCs w:val="22"/>
        </w:rPr>
      </w:pPr>
      <w:r>
        <w:rPr>
          <w:rFonts w:ascii="Garamond" w:hAnsi="Garamond"/>
          <w:color w:val="000000"/>
          <w:sz w:val="22"/>
          <w:szCs w:val="22"/>
        </w:rPr>
        <w:t>Smluvní strany se dohodly, že souhrnná cena za všechna Dílčí díla realizovaná na základě Rámcové dohody činí nejvýše  3.350.000,-  Kč bez DPH.</w:t>
      </w:r>
    </w:p>
    <w:p w14:paraId="6A7D486F"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Cena Dílčího díla bude Objednatelem hrazena na bankovní účet, v české měně, a to na základě daňového dokladu (faktury), který musí obsahovat všechny náležitosti stanovené Rámcovou dohodou a náležitosti řádného účetního a daňového dokladu ve smyslu příslušných právních předpisů, zejména zákona č. 235/2004 Sb., o dani z přidané hodnoty (dále je „ZDPH“). V případě, že faktura nebude mít odpovídající náležitosti, je Objednatel oprávněn vrátit ji ve lhůtě splatnosti zpět Zhotoviteli k opravě či doplnění, aniž se tak dostane do prodlení se splatností. Lhůta splatnosti počíná běžet znovu od opětovného doručení náležitě opravené či doplněné faktury Objednateli.</w:t>
      </w:r>
    </w:p>
    <w:p w14:paraId="6350B026" w14:textId="77777777" w:rsidR="00652FC2" w:rsidRDefault="00BD704B">
      <w:pPr>
        <w:pStyle w:val="Odstavecseseznamem"/>
        <w:numPr>
          <w:ilvl w:val="1"/>
          <w:numId w:val="13"/>
        </w:numPr>
        <w:spacing w:before="120" w:after="120"/>
        <w:ind w:left="567" w:hanging="567"/>
        <w:jc w:val="both"/>
        <w:rPr>
          <w:rFonts w:ascii="Garamond" w:hAnsi="Garamond" w:cs="Verdana"/>
          <w:sz w:val="22"/>
          <w:szCs w:val="22"/>
        </w:rPr>
      </w:pPr>
      <w:r>
        <w:rPr>
          <w:rFonts w:ascii="Garamond" w:hAnsi="Garamond" w:cs="Verdana"/>
          <w:sz w:val="22"/>
          <w:szCs w:val="22"/>
        </w:rPr>
        <w:t>Daňové doklady (faktury) musí splňovat náležitosti § 33 zákona č. 563/1991 Sb., o</w:t>
      </w:r>
      <w:r>
        <w:rPr>
          <w:rFonts w:ascii="Garamond" w:hAnsi="Garamond" w:cs="Verdana"/>
          <w:color w:val="000000"/>
          <w:sz w:val="22"/>
          <w:szCs w:val="22"/>
        </w:rPr>
        <w:t xml:space="preserve"> účetnictví. Dále pak daňové doklady (faktury) budou obsahovat zejména:</w:t>
      </w:r>
    </w:p>
    <w:p w14:paraId="29829C3D" w14:textId="77777777" w:rsidR="00652FC2" w:rsidRDefault="00BD704B">
      <w:pPr>
        <w:numPr>
          <w:ilvl w:val="0"/>
          <w:numId w:val="17"/>
        </w:numPr>
        <w:spacing w:before="60" w:after="60"/>
        <w:ind w:left="851" w:hanging="284"/>
        <w:jc w:val="both"/>
        <w:rPr>
          <w:rFonts w:ascii="Garamond" w:hAnsi="Garamond" w:cs="Verdana"/>
          <w:b/>
          <w:sz w:val="22"/>
          <w:szCs w:val="22"/>
        </w:rPr>
      </w:pPr>
      <w:r>
        <w:rPr>
          <w:rFonts w:ascii="Garamond" w:hAnsi="Garamond" w:cs="Verdana"/>
          <w:sz w:val="22"/>
          <w:szCs w:val="22"/>
        </w:rPr>
        <w:t>název Rámcové dohody, tj.: „Snímače</w:t>
      </w:r>
      <w:r>
        <w:rPr>
          <w:rFonts w:ascii="Garamond" w:hAnsi="Garamond" w:cs="Verdana"/>
          <w:bCs/>
          <w:sz w:val="22"/>
          <w:szCs w:val="22"/>
        </w:rPr>
        <w:t xml:space="preserve"> JIS pro ZČU (2025)</w:t>
      </w:r>
      <w:r>
        <w:rPr>
          <w:rFonts w:ascii="Garamond" w:hAnsi="Garamond" w:cs="Verdana"/>
          <w:sz w:val="22"/>
          <w:szCs w:val="22"/>
        </w:rPr>
        <w:t>“;</w:t>
      </w:r>
    </w:p>
    <w:p w14:paraId="12B0A25C" w14:textId="77777777" w:rsidR="00652FC2" w:rsidRDefault="00BD704B">
      <w:pPr>
        <w:widowControl w:val="0"/>
        <w:numPr>
          <w:ilvl w:val="0"/>
          <w:numId w:val="17"/>
        </w:numPr>
        <w:spacing w:before="60" w:after="60"/>
        <w:ind w:left="851" w:hanging="284"/>
        <w:jc w:val="both"/>
        <w:rPr>
          <w:rFonts w:ascii="Garamond" w:hAnsi="Garamond" w:cs="Verdana"/>
          <w:sz w:val="22"/>
          <w:szCs w:val="22"/>
        </w:rPr>
      </w:pPr>
      <w:r>
        <w:rPr>
          <w:rFonts w:ascii="Garamond" w:hAnsi="Garamond" w:cs="Verdana"/>
          <w:sz w:val="22"/>
          <w:szCs w:val="22"/>
        </w:rPr>
        <w:t>číslo Rámcové dohody Objednatele (uvedeno v registru smluv);</w:t>
      </w:r>
    </w:p>
    <w:p w14:paraId="1D5160DE" w14:textId="77777777" w:rsidR="00652FC2" w:rsidRDefault="00BD704B">
      <w:pPr>
        <w:widowControl w:val="0"/>
        <w:numPr>
          <w:ilvl w:val="0"/>
          <w:numId w:val="17"/>
        </w:numPr>
        <w:spacing w:before="60" w:after="60"/>
        <w:ind w:left="851" w:hanging="284"/>
        <w:jc w:val="both"/>
        <w:rPr>
          <w:rFonts w:ascii="Garamond" w:hAnsi="Garamond" w:cs="Verdana"/>
          <w:sz w:val="22"/>
          <w:szCs w:val="22"/>
        </w:rPr>
      </w:pPr>
      <w:r>
        <w:rPr>
          <w:rFonts w:ascii="Garamond" w:hAnsi="Garamond" w:cs="Verdana"/>
          <w:sz w:val="22"/>
          <w:szCs w:val="22"/>
        </w:rPr>
        <w:t>číslo Dílčí objednávky;</w:t>
      </w:r>
    </w:p>
    <w:p w14:paraId="55FDD606" w14:textId="77777777" w:rsidR="00652FC2" w:rsidRDefault="00BD704B">
      <w:pPr>
        <w:widowControl w:val="0"/>
        <w:numPr>
          <w:ilvl w:val="0"/>
          <w:numId w:val="17"/>
        </w:numPr>
        <w:spacing w:before="60" w:after="60"/>
        <w:ind w:left="851" w:hanging="284"/>
        <w:jc w:val="both"/>
        <w:rPr>
          <w:rFonts w:ascii="Garamond" w:hAnsi="Garamond" w:cs="Verdana"/>
          <w:sz w:val="22"/>
          <w:szCs w:val="22"/>
        </w:rPr>
      </w:pPr>
      <w:r>
        <w:rPr>
          <w:rFonts w:ascii="Garamond" w:hAnsi="Garamond" w:cs="Verdana"/>
          <w:sz w:val="22"/>
          <w:szCs w:val="22"/>
        </w:rPr>
        <w:t>popis a rozpis fakturovaného plnění;</w:t>
      </w:r>
    </w:p>
    <w:p w14:paraId="060898EC" w14:textId="77777777" w:rsidR="00652FC2" w:rsidRDefault="00BD704B">
      <w:pPr>
        <w:widowControl w:val="0"/>
        <w:numPr>
          <w:ilvl w:val="0"/>
          <w:numId w:val="17"/>
        </w:numPr>
        <w:spacing w:before="60" w:after="60"/>
        <w:ind w:left="851" w:hanging="284"/>
        <w:jc w:val="both"/>
        <w:rPr>
          <w:rFonts w:ascii="Garamond" w:hAnsi="Garamond" w:cs="Verdana"/>
          <w:sz w:val="22"/>
          <w:szCs w:val="22"/>
        </w:rPr>
      </w:pPr>
      <w:r>
        <w:rPr>
          <w:rFonts w:ascii="Garamond" w:hAnsi="Garamond" w:cs="Verdana"/>
          <w:sz w:val="22"/>
          <w:szCs w:val="22"/>
        </w:rPr>
        <w:t>číslo a datum vystavení faktury</w:t>
      </w:r>
      <w:r>
        <w:rPr>
          <w:rFonts w:ascii="Garamond" w:hAnsi="Garamond" w:cs="Verdana"/>
          <w:sz w:val="22"/>
          <w:szCs w:val="22"/>
          <w:lang w:val="en-US"/>
        </w:rPr>
        <w:t>;</w:t>
      </w:r>
    </w:p>
    <w:p w14:paraId="12DF4910" w14:textId="77777777" w:rsidR="00652FC2" w:rsidRDefault="00BD704B">
      <w:pPr>
        <w:widowControl w:val="0"/>
        <w:numPr>
          <w:ilvl w:val="0"/>
          <w:numId w:val="17"/>
        </w:numPr>
        <w:spacing w:before="60" w:after="60"/>
        <w:ind w:left="851" w:hanging="284"/>
        <w:jc w:val="both"/>
        <w:rPr>
          <w:rFonts w:ascii="Garamond" w:hAnsi="Garamond" w:cs="Verdana"/>
          <w:sz w:val="22"/>
          <w:szCs w:val="22"/>
        </w:rPr>
      </w:pPr>
      <w:r>
        <w:rPr>
          <w:rFonts w:ascii="Garamond" w:hAnsi="Garamond" w:cs="Verdana"/>
          <w:sz w:val="22"/>
          <w:szCs w:val="22"/>
        </w:rPr>
        <w:t>identifikaci osoby, která fakturu vyhotovila, včetně kontaktního telefonu;</w:t>
      </w:r>
    </w:p>
    <w:p w14:paraId="1B02AE8D" w14:textId="77777777" w:rsidR="00652FC2" w:rsidRDefault="00BD704B">
      <w:pPr>
        <w:widowControl w:val="0"/>
        <w:numPr>
          <w:ilvl w:val="0"/>
          <w:numId w:val="17"/>
        </w:numPr>
        <w:spacing w:before="60" w:after="60"/>
        <w:ind w:left="851" w:hanging="284"/>
        <w:jc w:val="both"/>
        <w:rPr>
          <w:rFonts w:ascii="Garamond" w:hAnsi="Garamond" w:cs="Verdana"/>
          <w:sz w:val="22"/>
          <w:szCs w:val="22"/>
        </w:rPr>
      </w:pPr>
      <w:r>
        <w:rPr>
          <w:rFonts w:ascii="Garamond" w:hAnsi="Garamond" w:cs="Verdana"/>
          <w:sz w:val="22"/>
          <w:szCs w:val="22"/>
        </w:rPr>
        <w:t>označení banky a číslo tuzemského účtu Zhotovitele zveřejněného v "Registru plátců DPH a identifikovaných osob" (dle § 96 ZDPH);</w:t>
      </w:r>
    </w:p>
    <w:p w14:paraId="50EF127D" w14:textId="77777777" w:rsidR="00652FC2" w:rsidRDefault="00BD704B">
      <w:pPr>
        <w:widowControl w:val="0"/>
        <w:numPr>
          <w:ilvl w:val="0"/>
          <w:numId w:val="17"/>
        </w:numPr>
        <w:spacing w:before="60" w:after="60"/>
        <w:ind w:left="851" w:hanging="284"/>
        <w:jc w:val="both"/>
        <w:rPr>
          <w:rFonts w:ascii="Garamond" w:hAnsi="Garamond" w:cs="Verdana"/>
          <w:sz w:val="22"/>
          <w:szCs w:val="22"/>
        </w:rPr>
      </w:pPr>
      <w:r>
        <w:rPr>
          <w:rFonts w:ascii="Garamond" w:hAnsi="Garamond" w:cs="Verdana"/>
          <w:sz w:val="22"/>
          <w:szCs w:val="22"/>
        </w:rPr>
        <w:t>IČO a DIČ Objednatele a Zhotovitele, jejich přesné názvy a sídlo.</w:t>
      </w:r>
    </w:p>
    <w:p w14:paraId="7EA5393F"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Cenu Dílčího díla je Zhotovitel oprávněn fakturovat po provedení Dílčího díla. Přílohou faktury bude Předávací protokol dle čl. 4.4 Rámcové dohody potvrzený Objednatelem.</w:t>
      </w:r>
    </w:p>
    <w:p w14:paraId="23921F0C"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DPH bude účtována dle platné sazby ke dni uskutečnění zdanitelného plnění.</w:t>
      </w:r>
    </w:p>
    <w:p w14:paraId="37BDDE42"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Splatnost faktury se sjednává na 21 kalendářních dnů ode dne jejího prokazatelného doručení Objednateli.</w:t>
      </w:r>
    </w:p>
    <w:p w14:paraId="0A046E16"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nebude poskytovat zálohy.</w:t>
      </w:r>
    </w:p>
    <w:p w14:paraId="66FFE8E1"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0295E3FF"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Rámcové dohody za uhrazenou. Skutečnost, že se Zhotovitel stal tzv. nespolehlivým plátcem DPH, bude ověřena z veřejně dostupného registru, což Zhotovitel výslovně akceptuje a nebude činit sporným.</w:t>
      </w:r>
    </w:p>
    <w:p w14:paraId="4B586276"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 xml:space="preserve">Zhotovitel bude investiční náklady a neinvestiční náklady fakturovat zvlášť, tzn. na jedné faktuře nesmí být současně fakturovány investiční a neinvestiční náklady.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a platného Pokynu č. D-22 k </w:t>
      </w:r>
      <w:r>
        <w:rPr>
          <w:rFonts w:ascii="Garamond" w:hAnsi="Garamond" w:cs="Arial"/>
          <w:sz w:val="22"/>
          <w:szCs w:val="22"/>
        </w:rPr>
        <w:lastRenderedPageBreak/>
        <w:t>jednotnému postupu při uplatňování některých ustanovení zákona č. 586/1992 Sb., o daních z příjmů, ve znění pozdějších předpisů, vydaného Generálním finančním ředitelstvím.</w:t>
      </w:r>
    </w:p>
    <w:p w14:paraId="18C624E2"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Pro vyloučení pochybností se stanoví, že cena za plnění uvedená v čl. 4.2 písm. a) až e) je vždy zahrnuta v ceně Dílčího díla uvedené v Dílčí objednávce (tj. nemůže být Zhotovitelem účtována nad rámec ceny Dílčího díla v Dílčí objednávce), nebude-li výslovně v Dílčí objednávce stanoveno jinak.</w:t>
      </w:r>
    </w:p>
    <w:p w14:paraId="0481BEAF"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Smluvní pokuty</w:t>
      </w:r>
    </w:p>
    <w:p w14:paraId="007CE51E"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V případě nedodržení jakékoli lhůty uvedené v čl. 3.5 nebo 3.7 Rámcové dohody, je Zhotovitel povinen zaplatit Objednateli smluvní pokutu ve výši 250 Kč za každý, byť i jen započatý den prodlení.</w:t>
      </w:r>
    </w:p>
    <w:p w14:paraId="526E6373"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V případě prodlení Zhotovitele s provedením Dílčího díla, je Zhotovitel povinen zaplatit Objednateli smluvní pokutu ve výši 250 Kč, a to za každý, i započatý den prodlení.</w:t>
      </w:r>
    </w:p>
    <w:p w14:paraId="6FEA0B6B"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Pro případ prodlení Zhotovitele s odstraněním vad či nedodělků uvedených v Předávacím protokolu se ust. čl. 6.2 Rámcové dohody použije obdobně.</w:t>
      </w:r>
    </w:p>
    <w:p w14:paraId="00C4E89C"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Smluvní pokuty uplatňované dle Rámcové dohody jsou splatné do třiceti (30) dní od data, kdy byla povinné straně doručena písemná výzva k zaplacení smluvní pokuty ze strany oprávněné strany.</w:t>
      </w:r>
    </w:p>
    <w:p w14:paraId="1D1C48F8"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Palatino Linotype"/>
          <w:color w:val="000000"/>
          <w:sz w:val="22"/>
          <w:szCs w:val="22"/>
        </w:rPr>
        <w:t>Ustanoveními o smluvní pokutě v Rámcové dohodě není dotčeno právo oprávněné strany na náhradu škody/újmy v plné výši.</w:t>
      </w:r>
    </w:p>
    <w:p w14:paraId="61281095"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 xml:space="preserve">Smluvní strany si sjednávají pro případ prodlení kterékoliv smluvní strany s plněním peněžitého závazku dle Rámcové dohody úrok z prodlení ve výši 0,05 % z neuhrazené části peněžitého závazku, a to za každý den prodlení. </w:t>
      </w:r>
    </w:p>
    <w:p w14:paraId="59111C33"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na základě Rámcové dohody, započíst, zatížit zástavním právem ani je postoupit na jiného bez předchozího písemného souhlasu Objednatele.</w:t>
      </w:r>
    </w:p>
    <w:p w14:paraId="0073C0A0"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Práva a povinnosti smluvních stran</w:t>
      </w:r>
    </w:p>
    <w:p w14:paraId="73B16368"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není oprávněn postoupit jakákoliv práva anebo povinnosti z Rámcové dohody na třetí osoby bez předchozího písemného souhlasu Objednatele.</w:t>
      </w:r>
    </w:p>
    <w:p w14:paraId="773F9034"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bookmarkStart w:id="2" w:name="_Toc382396135"/>
      <w:bookmarkStart w:id="3" w:name="_Toc332778484"/>
      <w:bookmarkStart w:id="4" w:name="_Toc332778305"/>
      <w:bookmarkStart w:id="5" w:name="_Toc332288566"/>
      <w:bookmarkStart w:id="6" w:name="_Toc332288376"/>
      <w:bookmarkStart w:id="7" w:name="_Toc332027174"/>
      <w:bookmarkStart w:id="8" w:name="_Toc331492339"/>
      <w:bookmarkStart w:id="9" w:name="_Toc331147253"/>
      <w:bookmarkStart w:id="10" w:name="_Toc331144128"/>
      <w:bookmarkStart w:id="11" w:name="_Toc328466057"/>
      <w:bookmarkEnd w:id="2"/>
      <w:bookmarkEnd w:id="3"/>
      <w:bookmarkEnd w:id="4"/>
      <w:bookmarkEnd w:id="5"/>
      <w:bookmarkEnd w:id="6"/>
      <w:bookmarkEnd w:id="7"/>
      <w:bookmarkEnd w:id="8"/>
      <w:bookmarkEnd w:id="9"/>
      <w:bookmarkEnd w:id="10"/>
      <w:bookmarkEnd w:id="11"/>
      <w:r>
        <w:rPr>
          <w:rFonts w:ascii="Garamond" w:hAnsi="Garamond" w:cs="Arial"/>
          <w:sz w:val="22"/>
          <w:szCs w:val="22"/>
        </w:rPr>
        <w:t>Změna kontaktních osob, e-mailu pro zasílání Dílčí objednávky, nebo osob oprávněných k akceptaci Dílčí objednávky uvedených v hlavičce Rámcové dohody, musí být druhé smluvní straně neprodleně písemně oznámena (e-mailem kontaktní osobě druhé smluvní strany), přičemž je účinná nejdříve okamžikem doručení tohoto písemného oznámení druhé smluvní straně.</w:t>
      </w:r>
    </w:p>
    <w:p w14:paraId="5C8C1732" w14:textId="77777777" w:rsidR="00652FC2" w:rsidRDefault="00BD704B">
      <w:pPr>
        <w:pStyle w:val="Odstavecseseznamem"/>
        <w:keepNext/>
        <w:numPr>
          <w:ilvl w:val="0"/>
          <w:numId w:val="13"/>
        </w:numPr>
        <w:spacing w:before="240" w:after="120"/>
        <w:ind w:left="1077"/>
        <w:jc w:val="center"/>
        <w:rPr>
          <w:rFonts w:ascii="Garamond" w:hAnsi="Garamond" w:cs="Arial"/>
          <w:b/>
        </w:rPr>
      </w:pPr>
      <w:bookmarkStart w:id="12" w:name="_Toc382396135_kopie_1"/>
      <w:bookmarkStart w:id="13" w:name="_Toc332778484_kopie_1"/>
      <w:bookmarkStart w:id="14" w:name="_Toc332778305_kopie_1"/>
      <w:bookmarkStart w:id="15" w:name="_Toc332288566_kopie_1"/>
      <w:bookmarkStart w:id="16" w:name="_Toc332288376_kopie_1"/>
      <w:bookmarkStart w:id="17" w:name="_Toc332027174_kopie_1"/>
      <w:bookmarkStart w:id="18" w:name="_Toc331492339_kopie_1"/>
      <w:bookmarkStart w:id="19" w:name="_Toc331147253_kopie_1"/>
      <w:bookmarkStart w:id="20" w:name="_Toc331144128_kopie_1"/>
      <w:bookmarkStart w:id="21" w:name="_Toc328466057_kopie_1"/>
      <w:bookmarkStart w:id="22" w:name="_Toc382396136"/>
      <w:bookmarkEnd w:id="12"/>
      <w:bookmarkEnd w:id="13"/>
      <w:bookmarkEnd w:id="14"/>
      <w:bookmarkEnd w:id="15"/>
      <w:bookmarkEnd w:id="16"/>
      <w:bookmarkEnd w:id="17"/>
      <w:bookmarkEnd w:id="18"/>
      <w:bookmarkEnd w:id="19"/>
      <w:bookmarkEnd w:id="20"/>
      <w:bookmarkEnd w:id="21"/>
      <w:r>
        <w:rPr>
          <w:rFonts w:ascii="Garamond" w:hAnsi="Garamond" w:cs="Arial"/>
          <w:b/>
        </w:rPr>
        <w:t>Odpovědnost za vady, záruk</w:t>
      </w:r>
      <w:bookmarkEnd w:id="22"/>
      <w:r>
        <w:rPr>
          <w:rFonts w:ascii="Garamond" w:hAnsi="Garamond" w:cs="Arial"/>
          <w:b/>
        </w:rPr>
        <w:t>a</w:t>
      </w:r>
    </w:p>
    <w:p w14:paraId="0562C032"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odpovídá za vady, jež má Dílčí dílo v době jeho předání. Po této době má objednatel práva z vadného plnění, způsobil-li vadu Zhotovitel porušením povinnosti dle Rámcové dohody, resp. Dílčí objednávky. Za vady díla, na něž se vztahuje záruka za jakost, odpovídá Zhotovitel v rozsahu této záruky.</w:t>
      </w:r>
    </w:p>
    <w:p w14:paraId="3873E846"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poskytuje na Dílčí dílo (tj. na výsledek všech Zhotovitelem provedených činností v rámci Dílčího díla, dodané věci či součásti, jež byly použity pro provedení Dílčího díla (i případně zakomponované do infrastruktury JIS)) záruku v délce dva (2) roky. Po tuto dobu odpovídá za vady, které se na Dílčím díle vyskytnou.</w:t>
      </w:r>
    </w:p>
    <w:p w14:paraId="51A2A26A"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je povinen vady písemně reklamovat (i e-mailem kontaktní osobě Zhotovitele) u Zhotovitele. V reklamaci musí být vady popsány. Dále v reklamaci Objednatel uvede, jakým způsobem požaduje zjednat nápravu, přičemž je Objednatel oprávněn zvolit způsob zjednání nápravy libovolně dle vlastního uvážení. V případě požadavku na odstranění vady uvede Objednatel v reklamaci i dobu do jaké má být vada odstraněna.</w:t>
      </w:r>
    </w:p>
    <w:p w14:paraId="673DA64E"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lastRenderedPageBreak/>
        <w:t>V případě výskytu vady po dobu běhu záruční doby se záruční doba prodlužuje o dobu od oznámení vady Zhotoviteli po její odstranění Zhotovitelem. Reklamaci jakož i volbu nároku z vady lze uplatnit kdykoli v průběhu záruční doby (bez ohledu na to kdy Objednatel vadu zjistí), přičemž i reklamace odeslaná v poslední den záruční doby se považuje za včas uplatněnou. Smluvní strany vylučují aplikaci všech ust. o.z., která zkracují reklamační lhůtu, lhůtu pro uplatnění nároků z vad, jakož i samotné nároky z těchto vad, tj. zejm. ust. § 2111, § 2112 a 2618 o.z.</w:t>
      </w:r>
    </w:p>
    <w:p w14:paraId="4321EA75"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je povinen nejpozději do tří (3) pracovních dnů po obdržení reklamace písemně oznámit Objednateli, zda reklamaci uznává či neuznává. Pokud tak neučiní, má se za to, že reklamaci Objednatele uznává.</w:t>
      </w:r>
    </w:p>
    <w:p w14:paraId="072C6878"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Zhotovitel je povinen zjednat nápravu uplatněných vad. Pokud Objednatel požadoval odstranění vady, je Zhotovitel povinen zahájit odstraňování uplatněné vady vždy, tedy i v případě, že reklamaci neuznal, či je sporné, zda Zhotovitel za vady odpovídá. Otázka případných nároků Zhotovitele z odstranění vad bude řešena až po úplném odstranění uplatněných vad.</w:t>
      </w:r>
    </w:p>
    <w:p w14:paraId="4DB06E87"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V případě požadavku Objednatele na odstranění vady je Zhotovitel povinen ji odstranit v době stanovené Objednatelem v reklamaci, která nebude kratší než pět (5) pracovních dnů, a to i v případě, že reklamaci neuznal.</w:t>
      </w:r>
    </w:p>
    <w:p w14:paraId="048D0DF5"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Pokud Zhotovitel neodstraní vadu v době stanovené Objednatelem v reklamaci, a to i když reklamaci neuznal, je povinen uhradit Objednateli smluvní pokutu ve výši 250 Kč za každý i započatý den prodlení.</w:t>
      </w:r>
    </w:p>
    <w:p w14:paraId="325D2C79"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Pokud Zhotovitel neodstraní vadu v době stanovené Objednatelem v reklamaci, je Objednatel oprávněn pověřit odstraněním vady třetí osobu. Veškeré takto vzniklé a účelně vynaložené náklady uhradí Objednateli Zhotovitel. Náklady na odstranění reklamované vady nese Zhotovitel i ve sporných případech.</w:t>
      </w:r>
    </w:p>
    <w:p w14:paraId="3B7FE7D6"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Prokáže-li se ve sporných případech, že Objednatel reklamoval neoprávněně, tzn. že za reklamovanou vadu nenese Zhotovitel odpovědnost, je Objednatel povinen uhradit Zhotoviteli veškeré v souvislosti s odstraněním vady prokazatelně vzniklé, doložené a účelně vynaložené náklady.</w:t>
      </w:r>
    </w:p>
    <w:p w14:paraId="34EDDA54"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Ustanovením čl. 8.3 a násl. není dotčeno právo smluvních stran dohodnout se na způsobu a čase odstranění vad jinak, např. i ústně či konkludentně, tj. zejm. v případě kdy Zhotovitel vadu uznává a je ochoten ji v dohodnuté lhůtě odstranit.</w:t>
      </w:r>
    </w:p>
    <w:p w14:paraId="23DD9D56"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Provedení Neoceněného plnění</w:t>
      </w:r>
    </w:p>
    <w:p w14:paraId="07E9B766" w14:textId="77777777" w:rsidR="00652FC2" w:rsidRDefault="00BD704B">
      <w:pPr>
        <w:pStyle w:val="Odstavecseseznamem"/>
        <w:numPr>
          <w:ilvl w:val="1"/>
          <w:numId w:val="13"/>
        </w:numPr>
        <w:spacing w:before="120" w:after="120"/>
        <w:ind w:left="567" w:hanging="567"/>
        <w:jc w:val="both"/>
        <w:rPr>
          <w:rFonts w:ascii="Garamond" w:hAnsi="Garamond"/>
          <w:color w:val="000000"/>
          <w:sz w:val="22"/>
          <w:szCs w:val="22"/>
        </w:rPr>
      </w:pPr>
      <w:r>
        <w:rPr>
          <w:rFonts w:ascii="Garamond" w:hAnsi="Garamond"/>
          <w:sz w:val="22"/>
          <w:szCs w:val="22"/>
        </w:rPr>
        <w:t xml:space="preserve">Objednatel </w:t>
      </w:r>
      <w:r>
        <w:rPr>
          <w:rStyle w:val="4224"/>
          <w:rFonts w:ascii="Garamond" w:hAnsi="Garamond"/>
          <w:color w:val="000000"/>
          <w:sz w:val="22"/>
          <w:szCs w:val="22"/>
        </w:rPr>
        <w:t xml:space="preserve">si </w:t>
      </w:r>
      <w:r>
        <w:rPr>
          <w:rFonts w:ascii="Garamond" w:hAnsi="Garamond"/>
          <w:color w:val="000000"/>
          <w:sz w:val="22"/>
          <w:szCs w:val="22"/>
        </w:rPr>
        <w:t>vyhrazuje právo na provedení i jiných činností a dodávek jiných věcí či součástí (resp. jejich zahrnutí do předmětu Dílčího díla) nad rámec plnění uvedeného v příloze č. 1 Rámcové dohod</w:t>
      </w:r>
      <w:r>
        <w:rPr>
          <w:rFonts w:ascii="Garamond" w:hAnsi="Garamond" w:cs="Arial"/>
          <w:sz w:val="22"/>
          <w:szCs w:val="22"/>
        </w:rPr>
        <w:t>y</w:t>
      </w:r>
      <w:r>
        <w:rPr>
          <w:rFonts w:ascii="Garamond" w:hAnsi="Garamond"/>
          <w:color w:val="000000"/>
          <w:sz w:val="22"/>
          <w:szCs w:val="22"/>
        </w:rPr>
        <w:t>, jejichž potřeba vznikla v průběhu účinnosti Rámcové dohod</w:t>
      </w:r>
      <w:r>
        <w:rPr>
          <w:rFonts w:ascii="Garamond" w:hAnsi="Garamond" w:cs="Arial"/>
          <w:sz w:val="22"/>
          <w:szCs w:val="22"/>
        </w:rPr>
        <w:t>y</w:t>
      </w:r>
      <w:r>
        <w:rPr>
          <w:rFonts w:ascii="Garamond" w:hAnsi="Garamond"/>
          <w:color w:val="000000"/>
          <w:sz w:val="22"/>
          <w:szCs w:val="22"/>
        </w:rPr>
        <w:t xml:space="preserve"> v souvislosti s obnovou infrastruktury JIS.</w:t>
      </w:r>
    </w:p>
    <w:p w14:paraId="2C2D7EA6" w14:textId="77777777" w:rsidR="00652FC2" w:rsidRDefault="00BD704B">
      <w:pPr>
        <w:pStyle w:val="Odstavecseseznamem"/>
        <w:numPr>
          <w:ilvl w:val="1"/>
          <w:numId w:val="13"/>
        </w:numPr>
        <w:spacing w:before="120" w:after="120"/>
        <w:ind w:left="567" w:hanging="567"/>
        <w:jc w:val="both"/>
        <w:rPr>
          <w:rFonts w:ascii="Garamond" w:hAnsi="Garamond"/>
          <w:color w:val="000000"/>
          <w:sz w:val="22"/>
          <w:szCs w:val="22"/>
        </w:rPr>
      </w:pPr>
      <w:r>
        <w:rPr>
          <w:rFonts w:ascii="Garamond" w:hAnsi="Garamond"/>
          <w:color w:val="000000"/>
          <w:sz w:val="22"/>
          <w:szCs w:val="22"/>
        </w:rPr>
        <w:t xml:space="preserve">Smluvní strany </w:t>
      </w:r>
      <w:r>
        <w:rPr>
          <w:rStyle w:val="3912"/>
          <w:rFonts w:ascii="Garamond" w:hAnsi="Garamond"/>
          <w:color w:val="000000"/>
          <w:sz w:val="22"/>
          <w:szCs w:val="22"/>
        </w:rPr>
        <w:t xml:space="preserve">se dohodly, že Neoceněné plnění </w:t>
      </w:r>
      <w:r>
        <w:rPr>
          <w:rFonts w:ascii="Garamond" w:hAnsi="Garamond"/>
          <w:color w:val="000000"/>
          <w:sz w:val="22"/>
          <w:szCs w:val="22"/>
        </w:rPr>
        <w:t>se budou realizovat rovněž na základě Dílčích objednávek. Přičemž v Dílčí objednávce musí být jednoznačně uveden předmět Neoceněného plnění a jeho cena, nebo způsob jejího určení, přičemž cena Neoceněného plnění nesmí převýšit cenu v místě a čase obvyklou za obdobný předmět plnění (</w:t>
      </w:r>
      <w:r>
        <w:rPr>
          <w:rFonts w:ascii="Garamond" w:hAnsi="Garamond" w:cs="Arial"/>
          <w:sz w:val="22"/>
          <w:szCs w:val="22"/>
        </w:rPr>
        <w:t>u plnění majících charakter stavebních prací se za obvyklou cenu považuje cena dle aktuálního ceníku ÚRS CZ, a.s.)</w:t>
      </w:r>
      <w:r>
        <w:rPr>
          <w:rFonts w:ascii="Garamond" w:hAnsi="Garamond"/>
          <w:color w:val="000000"/>
          <w:sz w:val="22"/>
          <w:szCs w:val="22"/>
        </w:rPr>
        <w:t>.</w:t>
      </w:r>
    </w:p>
    <w:p w14:paraId="686081CA"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Vyhrazené změny smlouvy</w:t>
      </w:r>
    </w:p>
    <w:p w14:paraId="59601A44"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 xml:space="preserve">Smluvní strany se dohodly na tom, že jednotkové ceny plnění uvedené v příloze č. 1 Rámcové dohody mohou být (za splnění dále uvedených podmínek) každoročně měněny o procento odpovídající procentu průměrné roční míry inflace vyhlášené Českým statistickým úřadem (dále jen „ČSÚ“) za předchozí kalendářní rok, a to s účinností od prvního dne kalendářního měsíce následujícího po měsíci, v němž bude (po oficiálním vyhlášení ČSÚ) jednou smluvní stranou doručena příloha č. 1 Rámcové dohody s aktualizovanými cenami druhé smluvní straně. Nové ceny budou při přepočtu zaokrouhleny na celé desetihaléře. Případná změna jednotkových cen v Rámcové dohodě nemá vliv na cenu již akceptovaných Dílčích objednávek (ty je Zhotovitel povinen provést za dosavadní jednotkové ceny). V případě, že příloha č. 1 s novými cenami bude druhé smluvní straně doručena </w:t>
      </w:r>
      <w:r>
        <w:rPr>
          <w:rFonts w:ascii="Garamond" w:hAnsi="Garamond" w:cs="Arial"/>
          <w:sz w:val="22"/>
          <w:szCs w:val="22"/>
        </w:rPr>
        <w:lastRenderedPageBreak/>
        <w:t>s chybnými cenovými údaji (byť i jen z části), nebo později než v listopadu daného roku, nepřihlíží se k ní a jednotkové ceny zůstávají v dosavadní výši. Změna jednotkových cen o průměrnou roční míru inflace se připouští nejdříve v roce 2027, a to o průměrnou roční míru inflace za rok 2026.</w:t>
      </w:r>
    </w:p>
    <w:p w14:paraId="56DC9485" w14:textId="77777777" w:rsidR="00652FC2" w:rsidRDefault="00BD704B">
      <w:pPr>
        <w:pStyle w:val="Odstavecseseznamem"/>
        <w:numPr>
          <w:ilvl w:val="1"/>
          <w:numId w:val="13"/>
        </w:numPr>
        <w:spacing w:before="120" w:after="120"/>
        <w:ind w:left="567" w:hanging="567"/>
        <w:jc w:val="both"/>
        <w:rPr>
          <w:rFonts w:ascii="Garamond" w:hAnsi="Garamond" w:cs="Arial"/>
          <w:sz w:val="22"/>
          <w:szCs w:val="22"/>
        </w:rPr>
      </w:pPr>
      <w:r>
        <w:rPr>
          <w:rFonts w:ascii="Garamond" w:hAnsi="Garamond" w:cs="Arial"/>
          <w:sz w:val="22"/>
          <w:szCs w:val="22"/>
        </w:rPr>
        <w:t>Objednatel si v případě, že po uzavření Rámcové dohody, resp. v průběhu jejího plnění dojde k odstoupení od Rámcové dohody před uplynutím celkové doby její stanovené účinnosti vyhrazuje ve smyslu ust. § 100 odst. 2 ZZVZ právo uzavřít Rámcovou dohodu s dalším účastníkem Nadlimitního řízení, a to v pořadí které vyplynulo z původního hodnocení nabídek. Ust. § 125 ZZVZ v tomto případě platí obdobně. Rámcová dohoda s novým dodavatelem bude uzavřena v podobě odpovídající nabídce nově vybraného dodavatele, tj. jednotkové ceny plnění budou odpovídat cenám nově vybraného dodavatele, přičemž mohou být změněny v souladu s čl. 10.1 Rámcové dohody, tak jako by Rámcová dohoda s novým dodavatelem byla uzavřena již v Nadlimitním řízení (tj. do jednotkových cen lze promítnout inflaci za předcházející roky trvání Rámcové dohody obdobně dle čl. 10.1 Rámcové dohody).</w:t>
      </w:r>
    </w:p>
    <w:p w14:paraId="673A88C8"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Výpověď a odstoupení od Rámcové dohod</w:t>
      </w:r>
      <w:r>
        <w:rPr>
          <w:rFonts w:ascii="Garamond" w:hAnsi="Garamond" w:cs="Arial"/>
          <w:b/>
          <w:sz w:val="22"/>
          <w:szCs w:val="22"/>
        </w:rPr>
        <w:t>y</w:t>
      </w:r>
    </w:p>
    <w:p w14:paraId="4B9E5206"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 xml:space="preserve">Objednatel je oprávněn vypovědět Rámcovou </w:t>
      </w:r>
      <w:r>
        <w:rPr>
          <w:rFonts w:ascii="Garamond" w:hAnsi="Garamond" w:cs="Arial"/>
          <w:sz w:val="22"/>
          <w:szCs w:val="22"/>
        </w:rPr>
        <w:t>smlouvu</w:t>
      </w:r>
      <w:r>
        <w:rPr>
          <w:rFonts w:ascii="Garamond" w:hAnsi="Garamond"/>
          <w:sz w:val="22"/>
          <w:szCs w:val="22"/>
        </w:rPr>
        <w:t xml:space="preserve"> v jím stanovené lhůtě, která nebude kratší než 3 (tři) měsíce.</w:t>
      </w:r>
    </w:p>
    <w:p w14:paraId="13BD8334"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 xml:space="preserve">Zhotovitel je oprávněn vypovědět Rámcovou </w:t>
      </w:r>
      <w:r>
        <w:rPr>
          <w:rFonts w:ascii="Garamond" w:hAnsi="Garamond" w:cs="Arial"/>
          <w:sz w:val="22"/>
          <w:szCs w:val="22"/>
        </w:rPr>
        <w:t xml:space="preserve">smlouvu </w:t>
      </w:r>
      <w:r>
        <w:rPr>
          <w:rFonts w:ascii="Garamond" w:hAnsi="Garamond"/>
          <w:sz w:val="22"/>
          <w:szCs w:val="22"/>
        </w:rPr>
        <w:t>v 6 (šesti) měsíční výpovědní lhůtě, která počíná běžet prvním dnem měsíce následujícího po měsíci, v němž byla písemná výpověď doručena Objednateli.</w:t>
      </w:r>
    </w:p>
    <w:p w14:paraId="685F1F41"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Objednatel je oprávněn odstoupit od Rámcové dohod</w:t>
      </w:r>
      <w:r>
        <w:rPr>
          <w:rFonts w:ascii="Garamond" w:hAnsi="Garamond" w:cs="Arial"/>
          <w:sz w:val="22"/>
          <w:szCs w:val="22"/>
        </w:rPr>
        <w:t>y</w:t>
      </w:r>
      <w:r>
        <w:rPr>
          <w:rFonts w:ascii="Garamond" w:hAnsi="Garamond"/>
          <w:sz w:val="22"/>
          <w:szCs w:val="22"/>
        </w:rPr>
        <w:t xml:space="preserve"> a/nebo některé či všech dosud nerealizovaných Dílčích objednávek v případě, že:</w:t>
      </w:r>
    </w:p>
    <w:p w14:paraId="243EF7C0" w14:textId="77777777" w:rsidR="00652FC2" w:rsidRDefault="00BD704B">
      <w:pPr>
        <w:pStyle w:val="Odstavecseseznamem"/>
        <w:numPr>
          <w:ilvl w:val="2"/>
          <w:numId w:val="12"/>
        </w:numPr>
        <w:spacing w:before="120"/>
        <w:ind w:left="851" w:hanging="284"/>
        <w:jc w:val="both"/>
        <w:rPr>
          <w:rFonts w:ascii="Garamond" w:hAnsi="Garamond"/>
          <w:color w:val="000000"/>
          <w:sz w:val="22"/>
          <w:szCs w:val="22"/>
        </w:rPr>
      </w:pPr>
      <w:r>
        <w:rPr>
          <w:rFonts w:ascii="Garamond" w:hAnsi="Garamond"/>
          <w:color w:val="000000"/>
          <w:sz w:val="22"/>
          <w:szCs w:val="22"/>
        </w:rPr>
        <w:t>Zhotovitel odmítne akceptovat Dílčí objednávku učiněnou v souladu s podmínkami Rámcové dohod</w:t>
      </w:r>
      <w:r>
        <w:rPr>
          <w:rFonts w:ascii="Garamond" w:hAnsi="Garamond" w:cs="Arial"/>
          <w:sz w:val="22"/>
          <w:szCs w:val="22"/>
        </w:rPr>
        <w:t>y</w:t>
      </w:r>
      <w:r>
        <w:rPr>
          <w:rFonts w:ascii="Garamond" w:hAnsi="Garamond"/>
          <w:color w:val="000000"/>
          <w:sz w:val="22"/>
          <w:szCs w:val="22"/>
        </w:rPr>
        <w:t>;</w:t>
      </w:r>
    </w:p>
    <w:p w14:paraId="1EB35340" w14:textId="77777777" w:rsidR="00652FC2" w:rsidRDefault="00BD704B">
      <w:pPr>
        <w:pStyle w:val="Odstavecseseznamem"/>
        <w:numPr>
          <w:ilvl w:val="2"/>
          <w:numId w:val="12"/>
        </w:numPr>
        <w:spacing w:before="120"/>
        <w:ind w:left="851" w:hanging="284"/>
        <w:jc w:val="both"/>
        <w:rPr>
          <w:rFonts w:ascii="Garamond" w:hAnsi="Garamond"/>
          <w:color w:val="000000"/>
          <w:sz w:val="22"/>
          <w:szCs w:val="22"/>
        </w:rPr>
      </w:pPr>
      <w:r>
        <w:rPr>
          <w:rFonts w:ascii="Garamond" w:hAnsi="Garamond"/>
          <w:color w:val="000000"/>
          <w:sz w:val="22"/>
          <w:szCs w:val="22"/>
        </w:rPr>
        <w:t xml:space="preserve">Zhotovitel poruší své závazky založené Dílčí objednávkou nebo Rámcovou </w:t>
      </w:r>
      <w:r>
        <w:rPr>
          <w:rFonts w:ascii="Garamond" w:hAnsi="Garamond" w:cs="Arial"/>
          <w:sz w:val="22"/>
          <w:szCs w:val="22"/>
        </w:rPr>
        <w:t>smlouvou</w:t>
      </w:r>
      <w:r>
        <w:rPr>
          <w:rFonts w:ascii="Garamond" w:hAnsi="Garamond"/>
          <w:color w:val="000000"/>
          <w:sz w:val="22"/>
          <w:szCs w:val="22"/>
        </w:rPr>
        <w:t>;</w:t>
      </w:r>
    </w:p>
    <w:p w14:paraId="608D7133" w14:textId="77777777" w:rsidR="00652FC2" w:rsidRDefault="00BD704B">
      <w:pPr>
        <w:pStyle w:val="Odstavecseseznamem"/>
        <w:numPr>
          <w:ilvl w:val="2"/>
          <w:numId w:val="12"/>
        </w:numPr>
        <w:spacing w:before="120"/>
        <w:ind w:left="851" w:hanging="284"/>
        <w:jc w:val="both"/>
      </w:pPr>
      <w:r>
        <w:rPr>
          <w:rFonts w:ascii="Garamond" w:hAnsi="Garamond"/>
          <w:color w:val="000000"/>
          <w:sz w:val="22"/>
          <w:szCs w:val="22"/>
        </w:rPr>
        <w:t>Zhotovitel písemně oznámí Objednateli, že není schopen plnit své závazky podle Rámcové dohod</w:t>
      </w:r>
      <w:r>
        <w:rPr>
          <w:rFonts w:ascii="Garamond" w:hAnsi="Garamond" w:cs="Arial"/>
          <w:sz w:val="22"/>
          <w:szCs w:val="22"/>
        </w:rPr>
        <w:t>y</w:t>
      </w:r>
      <w:r>
        <w:rPr>
          <w:rFonts w:ascii="Garamond" w:hAnsi="Garamond"/>
          <w:color w:val="000000"/>
          <w:sz w:val="22"/>
          <w:szCs w:val="22"/>
        </w:rPr>
        <w:t>;</w:t>
      </w:r>
    </w:p>
    <w:p w14:paraId="2D3C9F26" w14:textId="77777777" w:rsidR="00652FC2" w:rsidRDefault="00BD704B">
      <w:pPr>
        <w:pStyle w:val="Odstavecseseznamem"/>
        <w:numPr>
          <w:ilvl w:val="2"/>
          <w:numId w:val="12"/>
        </w:numPr>
        <w:spacing w:before="120"/>
        <w:ind w:left="851" w:hanging="284"/>
        <w:jc w:val="both"/>
      </w:pPr>
      <w:r>
        <w:rPr>
          <w:rFonts w:ascii="Garamond" w:hAnsi="Garamond"/>
          <w:color w:val="000000"/>
          <w:sz w:val="22"/>
          <w:szCs w:val="22"/>
        </w:rPr>
        <w:t>příslušný soud pravomocně rozhodne, že Zhotovitel je v úpadku nebo mu úpadek hrozí (tj. vydá rozhodnutí o tom, že se zjišťuje úpadek Zhotovitele nebo hrozící úpadek Zhotovitele), nebo je ve vztahu ke Zhotoviteli prohlášen konkurs nebo povolena reorganizace;</w:t>
      </w:r>
    </w:p>
    <w:p w14:paraId="09B244AF" w14:textId="77777777" w:rsidR="00652FC2" w:rsidRDefault="00BD704B">
      <w:pPr>
        <w:pStyle w:val="Odstavecseseznamem"/>
        <w:numPr>
          <w:ilvl w:val="2"/>
          <w:numId w:val="12"/>
        </w:numPr>
        <w:spacing w:before="120"/>
        <w:ind w:left="851" w:hanging="284"/>
        <w:jc w:val="both"/>
      </w:pPr>
      <w:r>
        <w:rPr>
          <w:rFonts w:ascii="Garamond" w:hAnsi="Garamond"/>
          <w:color w:val="000000"/>
          <w:sz w:val="22"/>
          <w:szCs w:val="22"/>
        </w:rPr>
        <w:t>je podán návrh na zrušení Zhotovitele podle zák. č. 90/2012 Sb., zákona o obchodních korporacích nebo je zahájena likvidace Zhotovitele v souladu s příslušnými právními předpisy.</w:t>
      </w:r>
    </w:p>
    <w:p w14:paraId="170192D1"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Zhotovitel je oprávněn odstoupit od Rámcové dohod</w:t>
      </w:r>
      <w:r>
        <w:rPr>
          <w:rFonts w:ascii="Garamond" w:hAnsi="Garamond" w:cs="Arial"/>
          <w:sz w:val="22"/>
          <w:szCs w:val="22"/>
        </w:rPr>
        <w:t>y</w:t>
      </w:r>
      <w:r>
        <w:rPr>
          <w:rFonts w:ascii="Garamond" w:hAnsi="Garamond"/>
          <w:sz w:val="22"/>
          <w:szCs w:val="22"/>
        </w:rPr>
        <w:t xml:space="preserve"> a/nebo některé či všech dosud nerealizovaných Dílčích objednávek, pokud Objednatel bude v prodlení s úhradou ceny za plnění předmětu Dílčí objednávky s tím, že toto porušení nenapraví ani v dodatečné lhůtě 30 dní od obdržení písemné výzvy Zhotovitele k nápravě. </w:t>
      </w:r>
    </w:p>
    <w:p w14:paraId="326A19F8"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 xml:space="preserve">Objednatel je Rámcovou </w:t>
      </w:r>
      <w:r>
        <w:rPr>
          <w:rFonts w:ascii="Garamond" w:hAnsi="Garamond" w:cs="Arial"/>
          <w:sz w:val="22"/>
          <w:szCs w:val="22"/>
        </w:rPr>
        <w:t xml:space="preserve">smlouvu </w:t>
      </w:r>
      <w:r>
        <w:rPr>
          <w:rFonts w:ascii="Garamond" w:hAnsi="Garamond"/>
          <w:sz w:val="22"/>
          <w:szCs w:val="22"/>
        </w:rPr>
        <w:t>oprávněn vypovědět v jím stanovené lhůtě v případě, že je Objednatel oprávněn od Rámcové dohod</w:t>
      </w:r>
      <w:r>
        <w:rPr>
          <w:rFonts w:ascii="Garamond" w:hAnsi="Garamond" w:cs="Arial"/>
          <w:sz w:val="22"/>
          <w:szCs w:val="22"/>
        </w:rPr>
        <w:t>y</w:t>
      </w:r>
      <w:r>
        <w:rPr>
          <w:rFonts w:ascii="Garamond" w:hAnsi="Garamond"/>
          <w:sz w:val="22"/>
          <w:szCs w:val="22"/>
        </w:rPr>
        <w:t xml:space="preserve"> odstoupit.</w:t>
      </w:r>
    </w:p>
    <w:p w14:paraId="2B7301DB"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Ukončením účinnosti Rámcové dohod</w:t>
      </w:r>
      <w:r>
        <w:rPr>
          <w:rFonts w:ascii="Garamond" w:hAnsi="Garamond" w:cs="Arial"/>
          <w:sz w:val="22"/>
          <w:szCs w:val="22"/>
        </w:rPr>
        <w:t>y</w:t>
      </w:r>
      <w:r>
        <w:rPr>
          <w:rFonts w:ascii="Garamond" w:hAnsi="Garamond"/>
          <w:sz w:val="22"/>
          <w:szCs w:val="22"/>
        </w:rPr>
        <w:t xml:space="preserve"> nejsou dotčeny závazky a nároky vzniklé na základě uzavřených Dílčích objednávek.</w:t>
      </w:r>
    </w:p>
    <w:p w14:paraId="761B0253" w14:textId="77777777" w:rsidR="00652FC2" w:rsidRDefault="00BD704B">
      <w:pPr>
        <w:pStyle w:val="Odstavecseseznamem"/>
        <w:keepNext/>
        <w:numPr>
          <w:ilvl w:val="0"/>
          <w:numId w:val="13"/>
        </w:numPr>
        <w:spacing w:before="240" w:after="120"/>
        <w:ind w:left="1077"/>
        <w:jc w:val="center"/>
        <w:rPr>
          <w:rFonts w:ascii="Garamond" w:hAnsi="Garamond" w:cs="Arial"/>
          <w:b/>
        </w:rPr>
      </w:pPr>
      <w:r>
        <w:rPr>
          <w:rFonts w:ascii="Garamond" w:hAnsi="Garamond" w:cs="Arial"/>
          <w:b/>
        </w:rPr>
        <w:t>Závěrečná ustanovení</w:t>
      </w:r>
    </w:p>
    <w:p w14:paraId="05352D35"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Rámcová dohoda je uzavřena dnem podpisu poslední smluvní strany a nabývá účinnosti dnem jejího zveřejnění v registru smluv. Rámcová dohoda je uzavírána na dobu určitou, a to na čtyři (4) roky.</w:t>
      </w:r>
    </w:p>
    <w:p w14:paraId="6413F1E4"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Smluvní strany se současně dohodly a Zhotovitel bere výslovně na vědomí, že účinnost Rámcové dohod</w:t>
      </w:r>
      <w:r>
        <w:rPr>
          <w:rFonts w:ascii="Garamond" w:hAnsi="Garamond" w:cs="Arial"/>
          <w:sz w:val="22"/>
          <w:szCs w:val="22"/>
        </w:rPr>
        <w:t>y</w:t>
      </w:r>
      <w:r>
        <w:rPr>
          <w:rFonts w:ascii="Garamond" w:hAnsi="Garamond"/>
          <w:sz w:val="22"/>
          <w:szCs w:val="22"/>
        </w:rPr>
        <w:t xml:space="preserve"> skončí rovněž k okamžiku, kdy souhrnná cena všech na základě ní provedených Dílčích děl přesáhne částku 4 000 000 Kč bez DPH.</w:t>
      </w:r>
    </w:p>
    <w:p w14:paraId="6C339509"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Objednatel dává na vědomí a Zhotovitel bere na vědomí, že Objednatel není v daném smluvním vztahu podnikatelem.</w:t>
      </w:r>
    </w:p>
    <w:p w14:paraId="11E978FA"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lastRenderedPageBreak/>
        <w:t>Zhotovitel bere na vědomí, že Objednatel je subjektem povinným zveřejňovat smlouvy dle zákona č. 340/2015 Sb., o zvláštních podmínkách účinnosti některých smluv, uveřejňování těchto smluv a o registru smluv (zákon o registru smluv) a dále to, že Dílčí objednávky mohou podléhat povinnému uveřejnění dle citovaného zákona.</w:t>
      </w:r>
    </w:p>
    <w:p w14:paraId="44D2C84A"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 xml:space="preserve">Objednatel Rámcovou </w:t>
      </w:r>
      <w:r>
        <w:rPr>
          <w:rFonts w:ascii="Garamond" w:hAnsi="Garamond" w:cs="Arial"/>
          <w:sz w:val="22"/>
          <w:szCs w:val="22"/>
        </w:rPr>
        <w:t>smlouv</w:t>
      </w:r>
      <w:r>
        <w:rPr>
          <w:rFonts w:ascii="Garamond" w:hAnsi="Garamond"/>
          <w:sz w:val="22"/>
          <w:szCs w:val="22"/>
        </w:rPr>
        <w:t>u uveřejní v registru smluv.</w:t>
      </w:r>
    </w:p>
    <w:p w14:paraId="655AA4EF"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Zhotovitel bere na vědomí, že Rámcová dohoda a Dílčí objednávky, podléhají-li povinnému uveřejnění v registru smluv, budou Objednatelem uveřejněny v kompletní podobě s výjimkou údajů, u nichž Zhotovitel v rámci podané nabídky do Nadlimitního řízení uvedl, že nemají být uveřejněny a současně na ně dopadá výjimka z povinnosti uveřejnění dle zákona o registru smluv. Řádně a důvodně označené části Rámcové dohody (přílohy) nebudou uveřejněny, popř. budou před uveřejněním znečitelněny.</w:t>
      </w:r>
    </w:p>
    <w:p w14:paraId="61764DCC"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Nebude-li Dílčí objednávka podléhající povinnosti uveřejnění v registru smluv zveřejněna v souladu s ust. § 5 zák. č. 340/2015 Sb. Objednatelem nejpozději do 1 (jednoho) měsíce po jejím uzavření, je Zhotovitel povinen ji uveřejnit v souladu s ust. § 5 zák. č. 340/2015 Sb. nejpozději do 3 měsíců od jejího uzavření.</w:t>
      </w:r>
    </w:p>
    <w:p w14:paraId="1293774F"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Rámcovou dohodu lze měnit pouze písemnými číslovanými dodatky podepsanými oběma smluvními stranami, nestanoví-li Rámcová dohoda výslovně jinak.</w:t>
      </w:r>
    </w:p>
    <w:p w14:paraId="3E54D044" w14:textId="77777777" w:rsidR="00652FC2" w:rsidRDefault="00BD704B">
      <w:pPr>
        <w:pStyle w:val="Odstavecseseznamem"/>
        <w:numPr>
          <w:ilvl w:val="1"/>
          <w:numId w:val="13"/>
        </w:numPr>
        <w:spacing w:before="120" w:after="120"/>
        <w:ind w:left="567" w:hanging="567"/>
        <w:jc w:val="both"/>
        <w:rPr>
          <w:rFonts w:ascii="Garamond" w:hAnsi="Garamond"/>
          <w:sz w:val="22"/>
          <w:szCs w:val="22"/>
        </w:rPr>
      </w:pPr>
      <w:r>
        <w:rPr>
          <w:rFonts w:ascii="Garamond" w:hAnsi="Garamond"/>
          <w:sz w:val="22"/>
          <w:szCs w:val="22"/>
        </w:rPr>
        <w:t>Rámcová dohoda je vyhotovena v elektronické podobě, s kvalifikovanými nebo zaručenými elektronickými podpisy zástupců smluvních stran založenými na kvalifikovaném certifikátu, nebo v listinné podobě (ve dvou vyhotoveních) s vlastnoručními podpisy oprávněných osob.</w:t>
      </w:r>
    </w:p>
    <w:p w14:paraId="56C68DE1" w14:textId="77777777" w:rsidR="00652FC2" w:rsidRDefault="00652FC2">
      <w:pPr>
        <w:pStyle w:val="docdata"/>
        <w:spacing w:beforeAutospacing="0" w:afterAutospacing="0"/>
        <w:ind w:left="360"/>
        <w:jc w:val="both"/>
        <w:rPr>
          <w:rFonts w:ascii="Garamond" w:hAnsi="Garamond"/>
          <w:b/>
          <w:bCs/>
          <w:color w:val="000000"/>
          <w:sz w:val="22"/>
          <w:szCs w:val="22"/>
        </w:rPr>
      </w:pPr>
    </w:p>
    <w:p w14:paraId="1A3DCE07" w14:textId="77777777" w:rsidR="00652FC2" w:rsidRDefault="00BD704B">
      <w:pPr>
        <w:pStyle w:val="docdata"/>
        <w:spacing w:beforeAutospacing="0" w:afterAutospacing="0"/>
        <w:jc w:val="both"/>
        <w:rPr>
          <w:rFonts w:ascii="Garamond" w:hAnsi="Garamond"/>
        </w:rPr>
      </w:pPr>
      <w:r>
        <w:rPr>
          <w:rFonts w:ascii="Garamond" w:hAnsi="Garamond"/>
          <w:b/>
          <w:bCs/>
          <w:color w:val="000000"/>
          <w:sz w:val="22"/>
          <w:szCs w:val="22"/>
        </w:rPr>
        <w:t>Přílohy:</w:t>
      </w:r>
    </w:p>
    <w:p w14:paraId="50159B7D" w14:textId="77777777" w:rsidR="00652FC2" w:rsidRDefault="00BD704B">
      <w:pPr>
        <w:shd w:val="clear" w:color="FFFFFF" w:fill="FFFFFF" w:themeFill="background1"/>
        <w:tabs>
          <w:tab w:val="left" w:pos="0"/>
          <w:tab w:val="left" w:pos="851"/>
        </w:tabs>
        <w:jc w:val="both"/>
        <w:rPr>
          <w:rFonts w:ascii="Garamond" w:hAnsi="Garamond" w:cs="Arial"/>
          <w:sz w:val="22"/>
          <w:szCs w:val="22"/>
          <w:highlight w:val="white"/>
        </w:rPr>
      </w:pPr>
      <w:r>
        <w:rPr>
          <w:rFonts w:ascii="Garamond" w:hAnsi="Garamond"/>
          <w:color w:val="000000"/>
          <w:sz w:val="22"/>
          <w:szCs w:val="22"/>
        </w:rPr>
        <w:t>Příloha č. 1 – Specifikace dílčích plnění a jednotkové ceny</w:t>
      </w:r>
    </w:p>
    <w:p w14:paraId="67FAE60C" w14:textId="77777777" w:rsidR="00652FC2" w:rsidRDefault="00652FC2">
      <w:pPr>
        <w:pStyle w:val="Odstavecseseznamem"/>
        <w:tabs>
          <w:tab w:val="left" w:pos="0"/>
          <w:tab w:val="left" w:pos="851"/>
        </w:tabs>
        <w:ind w:left="360"/>
        <w:jc w:val="both"/>
        <w:rPr>
          <w:rFonts w:ascii="Garamond" w:hAnsi="Garamond" w:cs="Arial"/>
          <w:sz w:val="22"/>
          <w:szCs w:val="22"/>
        </w:rPr>
      </w:pPr>
    </w:p>
    <w:p w14:paraId="1F5839D2" w14:textId="77777777" w:rsidR="00652FC2" w:rsidRDefault="00652FC2">
      <w:pPr>
        <w:pStyle w:val="Odstavecseseznamem"/>
        <w:tabs>
          <w:tab w:val="left" w:pos="0"/>
          <w:tab w:val="left" w:pos="851"/>
        </w:tabs>
        <w:ind w:left="360"/>
        <w:jc w:val="both"/>
        <w:rPr>
          <w:rFonts w:ascii="Garamond" w:hAnsi="Garamond" w:cs="Arial"/>
          <w:sz w:val="22"/>
          <w:szCs w:val="22"/>
        </w:rPr>
      </w:pPr>
      <w:bookmarkStart w:id="23" w:name="_Toc354054576_kopie_1"/>
      <w:bookmarkEnd w:id="23"/>
    </w:p>
    <w:p w14:paraId="16AEF081" w14:textId="77777777" w:rsidR="00652FC2" w:rsidRDefault="00BD704B">
      <w:pPr>
        <w:jc w:val="both"/>
        <w:rPr>
          <w:rFonts w:ascii="Garamond" w:hAnsi="Garamond" w:cs="Palatino Linotype"/>
          <w:color w:val="000000"/>
        </w:rPr>
      </w:pPr>
      <w:r>
        <w:rPr>
          <w:rFonts w:ascii="Garamond" w:hAnsi="Garamond" w:cs="Palatino Linotype"/>
          <w:color w:val="000000"/>
        </w:rPr>
        <w:t xml:space="preserve">Objednatel: </w:t>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t>Zhotovitel:</w:t>
      </w:r>
    </w:p>
    <w:p w14:paraId="504D35B7" w14:textId="77777777" w:rsidR="00652FC2" w:rsidRDefault="00BD704B">
      <w:pPr>
        <w:ind w:firstLine="15"/>
        <w:jc w:val="both"/>
        <w:rPr>
          <w:rFonts w:ascii="Garamond" w:hAnsi="Garamond"/>
        </w:rPr>
      </w:pPr>
      <w:r>
        <w:rPr>
          <w:rFonts w:ascii="Garamond" w:hAnsi="Garamond"/>
        </w:rPr>
        <w:t>Dne: …………… (případně viz el. podpis)</w:t>
      </w:r>
      <w:r>
        <w:rPr>
          <w:rFonts w:ascii="Garamond" w:hAnsi="Garamond"/>
        </w:rPr>
        <w:tab/>
      </w:r>
      <w:r>
        <w:rPr>
          <w:rFonts w:ascii="Garamond" w:hAnsi="Garamond"/>
        </w:rPr>
        <w:tab/>
        <w:t>Dne: 23.10.2025 …………… (případně viz el. podpis)</w:t>
      </w:r>
    </w:p>
    <w:p w14:paraId="3D1297CE" w14:textId="77777777" w:rsidR="00652FC2" w:rsidRDefault="00652FC2">
      <w:pPr>
        <w:pStyle w:val="BodyText21"/>
        <w:widowControl/>
        <w:rPr>
          <w:rFonts w:ascii="Garamond" w:hAnsi="Garamond"/>
          <w:b/>
          <w:szCs w:val="22"/>
        </w:rPr>
      </w:pPr>
    </w:p>
    <w:p w14:paraId="0D568A03" w14:textId="77777777" w:rsidR="00652FC2" w:rsidRDefault="00652FC2">
      <w:pPr>
        <w:pStyle w:val="BodyText21"/>
        <w:widowControl/>
        <w:rPr>
          <w:rFonts w:ascii="Garamond" w:hAnsi="Garamond"/>
          <w:b/>
          <w:szCs w:val="22"/>
        </w:rPr>
      </w:pPr>
    </w:p>
    <w:p w14:paraId="4BF95634" w14:textId="77777777" w:rsidR="00652FC2" w:rsidRDefault="00652FC2">
      <w:pPr>
        <w:jc w:val="both"/>
        <w:rPr>
          <w:rFonts w:eastAsia="Times New Roman"/>
        </w:rPr>
      </w:pPr>
    </w:p>
    <w:p w14:paraId="376CDCD0" w14:textId="77777777" w:rsidR="00652FC2" w:rsidRDefault="00BD704B">
      <w:pPr>
        <w:jc w:val="both"/>
        <w:rPr>
          <w:rFonts w:eastAsia="Times New Roman"/>
        </w:rPr>
      </w:pPr>
      <w:r>
        <w:rPr>
          <w:rFonts w:ascii="Garamond" w:eastAsia="Times New Roman" w:hAnsi="Garamond"/>
          <w:color w:val="000000"/>
          <w:sz w:val="22"/>
          <w:szCs w:val="22"/>
        </w:rPr>
        <w:t>.................................................................</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p>
    <w:p w14:paraId="665FDBD2" w14:textId="77777777" w:rsidR="00652FC2" w:rsidRDefault="00BD704B">
      <w:pPr>
        <w:jc w:val="both"/>
        <w:rPr>
          <w:rFonts w:eastAsia="Times New Roman"/>
        </w:rPr>
      </w:pPr>
      <w:r>
        <w:rPr>
          <w:rFonts w:ascii="Garamond" w:eastAsia="Times New Roman" w:hAnsi="Garamond"/>
          <w:b/>
          <w:bCs/>
          <w:color w:val="000000"/>
          <w:sz w:val="22"/>
          <w:szCs w:val="22"/>
        </w:rPr>
        <w:t>Západočeská univerzita v Plzni</w:t>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t>Ekotip ID s.r.o.</w:t>
      </w:r>
    </w:p>
    <w:p w14:paraId="0680F357" w14:textId="0F3B59C4" w:rsidR="00652FC2" w:rsidRDefault="00BD704B">
      <w:pPr>
        <w:jc w:val="both"/>
        <w:rPr>
          <w:rFonts w:eastAsia="Times New Roman"/>
        </w:rPr>
      </w:pP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t>Bc. Alexandr Vituško]</w:t>
      </w:r>
    </w:p>
    <w:p w14:paraId="1C04013D" w14:textId="77777777" w:rsidR="00652FC2" w:rsidRDefault="00BD704B">
      <w:pPr>
        <w:jc w:val="both"/>
        <w:rPr>
          <w:rFonts w:eastAsia="Times New Roman"/>
        </w:rPr>
      </w:pPr>
      <w:r>
        <w:rPr>
          <w:rFonts w:ascii="Garamond" w:hAnsi="Garamond"/>
          <w:color w:val="000000"/>
          <w:sz w:val="22"/>
          <w:szCs w:val="22"/>
          <w:shd w:val="clear" w:color="auto" w:fill="FFFFFF"/>
        </w:rPr>
        <w:t>prof. RNDr. Miroslav Lávička, Ph.D.</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jednatel</w:t>
      </w:r>
    </w:p>
    <w:p w14:paraId="60B03037" w14:textId="588E4D67" w:rsidR="00652FC2" w:rsidRDefault="00BD704B">
      <w:pPr>
        <w:jc w:val="both"/>
        <w:rPr>
          <w:rFonts w:eastAsia="Times New Roman"/>
        </w:rPr>
      </w:pP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p>
    <w:p w14:paraId="62368A84" w14:textId="77777777" w:rsidR="00652FC2" w:rsidRDefault="00BD704B">
      <w:pPr>
        <w:jc w:val="both"/>
        <w:rPr>
          <w:rFonts w:eastAsia="Times New Roman"/>
        </w:rPr>
      </w:pPr>
      <w:r>
        <w:rPr>
          <w:rFonts w:ascii="Garamond" w:eastAsia="Times New Roman" w:hAnsi="Garamond"/>
          <w:color w:val="000000"/>
          <w:sz w:val="22"/>
          <w:szCs w:val="22"/>
        </w:rPr>
        <w:t>rektor</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r>
        <w:rPr>
          <w:rFonts w:ascii="Garamond" w:eastAsia="Times New Roman" w:hAnsi="Garamond"/>
          <w:color w:val="000000"/>
          <w:sz w:val="22"/>
          <w:szCs w:val="22"/>
          <w:shd w:val="clear" w:color="auto" w:fill="FFFF00"/>
        </w:rPr>
        <w:t>………….</w:t>
      </w:r>
      <w:r>
        <w:rPr>
          <w:rFonts w:ascii="Garamond" w:eastAsia="Times New Roman" w:hAnsi="Garamond"/>
          <w:color w:val="000000"/>
          <w:sz w:val="22"/>
          <w:szCs w:val="22"/>
        </w:rPr>
        <w:t>]</w:t>
      </w:r>
    </w:p>
    <w:p w14:paraId="616CD04E" w14:textId="77777777" w:rsidR="00652FC2" w:rsidRDefault="00652FC2">
      <w:pPr>
        <w:pStyle w:val="BodyText21"/>
        <w:widowControl/>
        <w:rPr>
          <w:rFonts w:ascii="Garamond" w:hAnsi="Garamond"/>
          <w:b/>
          <w:szCs w:val="22"/>
        </w:rPr>
      </w:pPr>
    </w:p>
    <w:p w14:paraId="26801ED3" w14:textId="77777777" w:rsidR="00652FC2" w:rsidRDefault="00BD704B">
      <w:pPr>
        <w:pStyle w:val="BodyText21"/>
        <w:widowControl/>
        <w:rPr>
          <w:rFonts w:ascii="Garamond" w:hAnsi="Garamond"/>
          <w:b/>
          <w:szCs w:val="22"/>
        </w:rPr>
      </w:pPr>
      <w:r>
        <w:rPr>
          <w:rFonts w:ascii="Garamond" w:hAnsi="Garamond"/>
          <w:b/>
          <w:szCs w:val="22"/>
        </w:rPr>
        <w:t>_________________________</w:t>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t>__________________________</w:t>
      </w:r>
    </w:p>
    <w:p w14:paraId="1C2B3A01" w14:textId="77777777" w:rsidR="00652FC2" w:rsidRDefault="00BD704B">
      <w:pPr>
        <w:rPr>
          <w:rFonts w:ascii="Garamond" w:eastAsia="Times New Roman" w:hAnsi="Garamond"/>
        </w:rPr>
      </w:pPr>
      <w:r>
        <w:br w:type="page"/>
      </w:r>
    </w:p>
    <w:p w14:paraId="415CF86D" w14:textId="77777777" w:rsidR="00652FC2" w:rsidRDefault="00BD704B" w:rsidP="0040227B">
      <w:pPr>
        <w:shd w:val="clear" w:color="FFFFFF" w:fill="FFFFFF" w:themeFill="background1"/>
        <w:tabs>
          <w:tab w:val="left" w:pos="851"/>
        </w:tabs>
        <w:ind w:left="-142"/>
        <w:jc w:val="both"/>
        <w:rPr>
          <w:rFonts w:ascii="Garamond" w:hAnsi="Garamond" w:cs="Arial"/>
          <w:sz w:val="22"/>
          <w:szCs w:val="22"/>
          <w:highlight w:val="white"/>
        </w:rPr>
      </w:pPr>
      <w:r>
        <w:rPr>
          <w:rFonts w:ascii="Garamond" w:hAnsi="Garamond"/>
          <w:color w:val="000000"/>
          <w:sz w:val="22"/>
          <w:szCs w:val="22"/>
        </w:rPr>
        <w:lastRenderedPageBreak/>
        <w:t>Příloha č. 1 – Specifikace dílčích plnění a jednotkové ceny</w:t>
      </w:r>
    </w:p>
    <w:p w14:paraId="26B3530D" w14:textId="77777777" w:rsidR="00652FC2" w:rsidRDefault="00652FC2">
      <w:pPr>
        <w:pStyle w:val="Odstavecseseznamem"/>
        <w:tabs>
          <w:tab w:val="left" w:pos="0"/>
          <w:tab w:val="left" w:pos="851"/>
        </w:tabs>
        <w:ind w:left="360"/>
        <w:jc w:val="both"/>
        <w:rPr>
          <w:rFonts w:ascii="Garamond" w:hAnsi="Garamond" w:cs="Arial"/>
          <w:sz w:val="22"/>
          <w:szCs w:val="22"/>
        </w:rPr>
      </w:pPr>
    </w:p>
    <w:tbl>
      <w:tblPr>
        <w:tblStyle w:val="Mkatabulky"/>
        <w:tblW w:w="10357" w:type="dxa"/>
        <w:tblInd w:w="-431" w:type="dxa"/>
        <w:tblLook w:val="04A0" w:firstRow="1" w:lastRow="0" w:firstColumn="1" w:lastColumn="0" w:noHBand="0" w:noVBand="1"/>
      </w:tblPr>
      <w:tblGrid>
        <w:gridCol w:w="599"/>
        <w:gridCol w:w="3229"/>
        <w:gridCol w:w="5008"/>
        <w:gridCol w:w="1521"/>
      </w:tblGrid>
      <w:tr w:rsidR="00652FC2" w14:paraId="2DD5DA31" w14:textId="77777777" w:rsidTr="0040227B">
        <w:tc>
          <w:tcPr>
            <w:tcW w:w="599" w:type="dxa"/>
          </w:tcPr>
          <w:p w14:paraId="4885F150" w14:textId="77777777" w:rsidR="00652FC2" w:rsidRDefault="00BD704B">
            <w:pPr>
              <w:jc w:val="both"/>
              <w:rPr>
                <w:rFonts w:ascii="Garamond" w:eastAsia="Times New Roman" w:hAnsi="Garamond"/>
                <w:b/>
              </w:rPr>
            </w:pPr>
            <w:r>
              <w:rPr>
                <w:rFonts w:ascii="Garamond" w:eastAsia="Times New Roman" w:hAnsi="Garamond"/>
                <w:b/>
                <w:szCs w:val="20"/>
              </w:rPr>
              <w:t>č. pol.</w:t>
            </w:r>
          </w:p>
        </w:tc>
        <w:tc>
          <w:tcPr>
            <w:tcW w:w="3229" w:type="dxa"/>
          </w:tcPr>
          <w:p w14:paraId="558770DD" w14:textId="77777777" w:rsidR="00652FC2" w:rsidRDefault="00BD704B">
            <w:pPr>
              <w:jc w:val="both"/>
              <w:rPr>
                <w:rFonts w:ascii="Garamond" w:eastAsia="Times New Roman" w:hAnsi="Garamond"/>
                <w:b/>
              </w:rPr>
            </w:pPr>
            <w:r>
              <w:rPr>
                <w:rFonts w:ascii="Garamond" w:eastAsia="Times New Roman" w:hAnsi="Garamond"/>
                <w:b/>
                <w:szCs w:val="20"/>
              </w:rPr>
              <w:t>Položka</w:t>
            </w:r>
          </w:p>
        </w:tc>
        <w:tc>
          <w:tcPr>
            <w:tcW w:w="5008" w:type="dxa"/>
          </w:tcPr>
          <w:p w14:paraId="4801B037" w14:textId="77777777" w:rsidR="00652FC2" w:rsidRDefault="00BD704B">
            <w:pPr>
              <w:jc w:val="both"/>
              <w:rPr>
                <w:rFonts w:ascii="Garamond" w:eastAsia="Times New Roman" w:hAnsi="Garamond"/>
                <w:b/>
                <w:szCs w:val="20"/>
              </w:rPr>
            </w:pPr>
            <w:r>
              <w:rPr>
                <w:rFonts w:ascii="Garamond" w:eastAsia="Times New Roman" w:hAnsi="Garamond"/>
                <w:b/>
                <w:szCs w:val="20"/>
              </w:rPr>
              <w:t>Specifikace konkrétního výrobku</w:t>
            </w:r>
          </w:p>
        </w:tc>
        <w:tc>
          <w:tcPr>
            <w:tcW w:w="1521" w:type="dxa"/>
          </w:tcPr>
          <w:p w14:paraId="03D21755" w14:textId="77777777" w:rsidR="00652FC2" w:rsidRDefault="00BD704B">
            <w:pPr>
              <w:jc w:val="both"/>
              <w:rPr>
                <w:rFonts w:ascii="Garamond" w:eastAsia="Times New Roman" w:hAnsi="Garamond"/>
                <w:b/>
              </w:rPr>
            </w:pPr>
            <w:r>
              <w:rPr>
                <w:rFonts w:ascii="Garamond" w:eastAsia="Times New Roman" w:hAnsi="Garamond"/>
                <w:b/>
                <w:szCs w:val="20"/>
              </w:rPr>
              <w:t>Jednotková cena v Kč bez DPH</w:t>
            </w:r>
          </w:p>
        </w:tc>
      </w:tr>
      <w:tr w:rsidR="00652FC2" w14:paraId="670951E0" w14:textId="77777777" w:rsidTr="0040227B">
        <w:tc>
          <w:tcPr>
            <w:tcW w:w="599" w:type="dxa"/>
            <w:tcBorders>
              <w:bottom w:val="nil"/>
            </w:tcBorders>
          </w:tcPr>
          <w:p w14:paraId="00205A21" w14:textId="77777777" w:rsidR="00652FC2" w:rsidRDefault="00BD704B">
            <w:pPr>
              <w:jc w:val="center"/>
              <w:rPr>
                <w:rFonts w:ascii="Garamond" w:eastAsia="Times New Roman" w:hAnsi="Garamond"/>
              </w:rPr>
            </w:pPr>
            <w:r>
              <w:rPr>
                <w:rFonts w:ascii="Garamond" w:eastAsia="Times New Roman" w:hAnsi="Garamond"/>
                <w:szCs w:val="20"/>
              </w:rPr>
              <w:t>1</w:t>
            </w:r>
          </w:p>
        </w:tc>
        <w:tc>
          <w:tcPr>
            <w:tcW w:w="3229" w:type="dxa"/>
            <w:tcBorders>
              <w:bottom w:val="nil"/>
            </w:tcBorders>
          </w:tcPr>
          <w:p w14:paraId="742E4CAC" w14:textId="77777777" w:rsidR="00652FC2" w:rsidRDefault="00BD704B">
            <w:pPr>
              <w:rPr>
                <w:rFonts w:eastAsia="Times New Roman"/>
              </w:rPr>
            </w:pPr>
            <w:r>
              <w:rPr>
                <w:rFonts w:eastAsia="Times New Roman"/>
              </w:rPr>
              <w:t xml:space="preserve">RFID snímač s podporou NFC pro JIS </w:t>
            </w:r>
            <w:r>
              <w:rPr>
                <w:rFonts w:eastAsia="Times New Roman"/>
              </w:rPr>
              <w:br/>
              <w:t>Požadavky na snímač: </w:t>
            </w:r>
            <w:r>
              <w:rPr>
                <w:rFonts w:eastAsia="Times New Roman"/>
              </w:rPr>
              <w:br/>
            </w:r>
            <w:r>
              <w:rPr>
                <w:rFonts w:eastAsia="Times New Roman"/>
              </w:rPr>
              <w:br/>
              <w:t>a) musí podporovat: </w:t>
            </w:r>
            <w:r>
              <w:rPr>
                <w:rFonts w:eastAsia="Times New Roman"/>
              </w:rPr>
              <w:br/>
              <w:t>- NFC protokol Apple VAS</w:t>
            </w:r>
            <w:r>
              <w:rPr>
                <w:rFonts w:eastAsia="Times New Roman"/>
              </w:rPr>
              <w:br/>
              <w:t>- NFC protokol Google SMART TAP</w:t>
            </w:r>
            <w:r>
              <w:rPr>
                <w:rFonts w:eastAsia="Times New Roman"/>
              </w:rPr>
              <w:br/>
              <w:t>- HCE </w:t>
            </w:r>
            <w:r>
              <w:rPr>
                <w:rFonts w:eastAsia="Times New Roman"/>
              </w:rPr>
              <w:br/>
              <w:t>- RFID ISO 14443A ISO 14443-4 Mifare DESFIRE</w:t>
            </w:r>
            <w:r>
              <w:rPr>
                <w:rFonts w:eastAsia="Times New Roman"/>
              </w:rPr>
              <w:br/>
            </w:r>
            <w:r>
              <w:rPr>
                <w:rFonts w:eastAsia="Times New Roman"/>
              </w:rPr>
              <w:br/>
              <w:t xml:space="preserve">b) musí mít  </w:t>
            </w:r>
            <w:r>
              <w:rPr>
                <w:rFonts w:eastAsia="Times New Roman"/>
              </w:rPr>
              <w:br/>
              <w:t>- Fyzická vrstva: TIA-485, min 9600bps, half-duplex, 8-N-1</w:t>
            </w:r>
          </w:p>
          <w:p w14:paraId="2F405487" w14:textId="77777777" w:rsidR="00652FC2" w:rsidRDefault="00BD704B">
            <w:pPr>
              <w:rPr>
                <w:rFonts w:eastAsia="Times New Roman"/>
              </w:rPr>
            </w:pPr>
            <w:r>
              <w:rPr>
                <w:rFonts w:eastAsia="Times New Roman"/>
              </w:rPr>
              <w:t>Linková vrstva: JISLink-485 ve verzi alespoň 3.2</w:t>
            </w:r>
          </w:p>
          <w:p w14:paraId="51F79270" w14:textId="77777777" w:rsidR="00652FC2" w:rsidRDefault="00BD704B">
            <w:pPr>
              <w:rPr>
                <w:rFonts w:eastAsia="Times New Roman"/>
              </w:rPr>
            </w:pPr>
            <w:r>
              <w:rPr>
                <w:rFonts w:eastAsia="Times New Roman"/>
              </w:rPr>
              <w:t>Aplikační vrstva:  JIS/AHR; podporované funkční skupiny: LED, Speaker, RF-MF, RF-DF, RF-VAS, RF-HCE</w:t>
            </w:r>
          </w:p>
          <w:p w14:paraId="21B9B2E6" w14:textId="77777777" w:rsidR="00652FC2" w:rsidRDefault="00652FC2">
            <w:pPr>
              <w:rPr>
                <w:rFonts w:eastAsia="Times New Roman"/>
              </w:rPr>
            </w:pPr>
          </w:p>
          <w:p w14:paraId="6C10DDB8" w14:textId="77777777" w:rsidR="00652FC2" w:rsidRDefault="00BD704B">
            <w:pPr>
              <w:spacing w:beforeAutospacing="1" w:afterAutospacing="1"/>
            </w:pPr>
            <w:r>
              <w:t>c) snímač musí umožňovat montáž do krabice pod povrch Univolt AK80. Musí mít čtvercový rozměr 100 mm x 100mm, zaoblené hrany R10, rozteče děr pro vruty 72mm. Snímač musí být opatřen štítkem o rozměru 100x100 mm, zaoblené hrany R10, který bude trvale čitelný, odolný proti odlepení, otěru, UV záření, vlhkosti a běžným čisticím prostředkům po dobu min. 5 let; odolnost v teplotním rozsahu −20 °C až +60 °C..</w:t>
            </w:r>
          </w:p>
          <w:p w14:paraId="5E16D693" w14:textId="77777777" w:rsidR="00652FC2" w:rsidRDefault="00BD704B">
            <w:pPr>
              <w:rPr>
                <w:rFonts w:eastAsia="Times New Roman"/>
              </w:rPr>
            </w:pPr>
            <w:r>
              <w:rPr>
                <w:rFonts w:eastAsia="Times New Roman"/>
              </w:rPr>
              <w:t>d) napájení snímače musí být DC 12V.</w:t>
            </w:r>
          </w:p>
          <w:p w14:paraId="2D32B3A0" w14:textId="77777777" w:rsidR="00652FC2" w:rsidRDefault="00652FC2">
            <w:pPr>
              <w:jc w:val="both"/>
              <w:rPr>
                <w:rFonts w:ascii="Garamond" w:eastAsia="Times New Roman" w:hAnsi="Garamond"/>
              </w:rPr>
            </w:pPr>
          </w:p>
        </w:tc>
        <w:tc>
          <w:tcPr>
            <w:tcW w:w="5008" w:type="dxa"/>
            <w:tcBorders>
              <w:bottom w:val="nil"/>
            </w:tcBorders>
          </w:tcPr>
          <w:p w14:paraId="0D21BC06" w14:textId="77777777" w:rsidR="00652FC2" w:rsidRDefault="00BD704B">
            <w:pPr>
              <w:jc w:val="center"/>
              <w:rPr>
                <w:rFonts w:ascii="Garamond" w:eastAsia="Times New Roman" w:hAnsi="Garamond"/>
              </w:rPr>
            </w:pPr>
            <w:r>
              <w:rPr>
                <w:rFonts w:ascii="Garamond" w:eastAsia="Times New Roman" w:hAnsi="Garamond"/>
              </w:rPr>
              <w:t>Ty snímače ES15-Mxx</w:t>
            </w:r>
          </w:p>
          <w:p w14:paraId="6236DCD0" w14:textId="77777777" w:rsidR="00652FC2" w:rsidRDefault="00652FC2">
            <w:pPr>
              <w:jc w:val="right"/>
              <w:rPr>
                <w:rFonts w:ascii="Garamond" w:eastAsia="Times New Roman" w:hAnsi="Garamond"/>
              </w:rPr>
            </w:pPr>
          </w:p>
          <w:tbl>
            <w:tblPr>
              <w:tblStyle w:val="Mkatabulky"/>
              <w:tblW w:w="0" w:type="auto"/>
              <w:tblLook w:val="04A0" w:firstRow="1" w:lastRow="0" w:firstColumn="1" w:lastColumn="0" w:noHBand="0" w:noVBand="1"/>
            </w:tblPr>
            <w:tblGrid>
              <w:gridCol w:w="4782"/>
            </w:tblGrid>
            <w:tr w:rsidR="00652FC2" w14:paraId="6E4AB1F1" w14:textId="77777777" w:rsidTr="0040227B">
              <w:tc>
                <w:tcPr>
                  <w:tcW w:w="0" w:type="auto"/>
                  <w:tcBorders>
                    <w:bottom w:val="nil"/>
                  </w:tcBorders>
                </w:tcPr>
                <w:p w14:paraId="6DC1FEF6" w14:textId="77777777" w:rsidR="00652FC2" w:rsidRDefault="00652FC2">
                  <w:pPr>
                    <w:rPr>
                      <w:rFonts w:eastAsia="Times New Roman"/>
                    </w:rPr>
                  </w:pPr>
                </w:p>
                <w:p w14:paraId="465F16AF" w14:textId="77777777" w:rsidR="00652FC2" w:rsidRDefault="00BD704B">
                  <w:pPr>
                    <w:rPr>
                      <w:rFonts w:eastAsia="Times New Roman"/>
                    </w:rPr>
                  </w:pPr>
                  <w:r>
                    <w:rPr>
                      <w:rFonts w:eastAsia="Times New Roman"/>
                    </w:rPr>
                    <w:t xml:space="preserve">RFID snímač s podporou NFC pro JIS </w:t>
                  </w:r>
                  <w:r>
                    <w:rPr>
                      <w:rFonts w:eastAsia="Times New Roman"/>
                    </w:rPr>
                    <w:br/>
                    <w:t>Požadavky na snímač: </w:t>
                  </w:r>
                  <w:r>
                    <w:rPr>
                      <w:rFonts w:eastAsia="Times New Roman"/>
                    </w:rPr>
                    <w:br/>
                  </w:r>
                  <w:r>
                    <w:rPr>
                      <w:rFonts w:eastAsia="Times New Roman"/>
                    </w:rPr>
                    <w:br/>
                    <w:t>ad a) podporuje: </w:t>
                  </w:r>
                  <w:r>
                    <w:rPr>
                      <w:rFonts w:eastAsia="Times New Roman"/>
                    </w:rPr>
                    <w:br/>
                    <w:t>- NFC protokol Apple VAS</w:t>
                  </w:r>
                  <w:r>
                    <w:rPr>
                      <w:rFonts w:eastAsia="Times New Roman"/>
                    </w:rPr>
                    <w:br/>
                    <w:t>- NFC protokol Google SMART TAP</w:t>
                  </w:r>
                  <w:r>
                    <w:rPr>
                      <w:rFonts w:eastAsia="Times New Roman"/>
                    </w:rPr>
                    <w:br/>
                    <w:t>- HCE </w:t>
                  </w:r>
                  <w:r>
                    <w:rPr>
                      <w:rFonts w:eastAsia="Times New Roman"/>
                    </w:rPr>
                    <w:br/>
                    <w:t>- RFID ISO 14443A ISO 14443-4 Mifare DESFIRE</w:t>
                  </w:r>
                  <w:r>
                    <w:rPr>
                      <w:rFonts w:eastAsia="Times New Roman"/>
                    </w:rPr>
                    <w:br/>
                  </w:r>
                  <w:r>
                    <w:rPr>
                      <w:rFonts w:eastAsia="Times New Roman"/>
                    </w:rPr>
                    <w:br/>
                    <w:t xml:space="preserve">ad b) vyhovuje </w:t>
                  </w:r>
                  <w:r>
                    <w:rPr>
                      <w:rFonts w:eastAsia="Times New Roman"/>
                    </w:rPr>
                    <w:br/>
                    <w:t>- Fyzická vrstva: TIA-485, min 9600bps, half-duplex, 8-N-1</w:t>
                  </w:r>
                </w:p>
                <w:p w14:paraId="48F60008" w14:textId="77777777" w:rsidR="00652FC2" w:rsidRDefault="00BD704B">
                  <w:pPr>
                    <w:rPr>
                      <w:rFonts w:eastAsia="Times New Roman"/>
                    </w:rPr>
                  </w:pPr>
                  <w:r>
                    <w:rPr>
                      <w:rFonts w:eastAsia="Times New Roman"/>
                    </w:rPr>
                    <w:t>Linková vrstva: JISLink-485 ve verzi alespoň 3.2</w:t>
                  </w:r>
                </w:p>
                <w:p w14:paraId="206BFF2F" w14:textId="77777777" w:rsidR="00652FC2" w:rsidRDefault="00BD704B">
                  <w:pPr>
                    <w:rPr>
                      <w:rFonts w:eastAsia="Times New Roman"/>
                    </w:rPr>
                  </w:pPr>
                  <w:r>
                    <w:rPr>
                      <w:rFonts w:eastAsia="Times New Roman"/>
                    </w:rPr>
                    <w:t>Aplikační vrstva:  JIS/AHR; podporované funkční skupiny: LED, Speaker, RF-MF, RF-DF, RF-VAS, RF-HCE</w:t>
                  </w:r>
                </w:p>
                <w:p w14:paraId="6A298477" w14:textId="77777777" w:rsidR="00652FC2" w:rsidRDefault="00652FC2">
                  <w:pPr>
                    <w:rPr>
                      <w:rFonts w:eastAsia="Times New Roman"/>
                    </w:rPr>
                  </w:pPr>
                </w:p>
                <w:p w14:paraId="55CBB3A1" w14:textId="77777777" w:rsidR="00652FC2" w:rsidRDefault="00BD704B">
                  <w:pPr>
                    <w:spacing w:beforeAutospacing="1" w:afterAutospacing="1"/>
                  </w:pPr>
                  <w:r>
                    <w:t>ad c) umožňuje</w:t>
                  </w:r>
                </w:p>
                <w:p w14:paraId="02B6FEA2" w14:textId="77777777" w:rsidR="00652FC2" w:rsidRDefault="00652FC2">
                  <w:pPr>
                    <w:rPr>
                      <w:rFonts w:eastAsia="Times New Roman"/>
                    </w:rPr>
                  </w:pPr>
                </w:p>
                <w:p w14:paraId="415349D8" w14:textId="77777777" w:rsidR="00652FC2" w:rsidRDefault="00BD704B">
                  <w:pPr>
                    <w:rPr>
                      <w:rFonts w:eastAsia="Times New Roman"/>
                    </w:rPr>
                  </w:pPr>
                  <w:r>
                    <w:rPr>
                      <w:rFonts w:eastAsia="Times New Roman"/>
                    </w:rPr>
                    <w:t>ad d) napájení snímače  11, 5 – 13 V DC.</w:t>
                  </w:r>
                </w:p>
                <w:p w14:paraId="3344B7C4" w14:textId="77777777" w:rsidR="00652FC2" w:rsidRDefault="00652FC2">
                  <w:pPr>
                    <w:jc w:val="both"/>
                    <w:rPr>
                      <w:rFonts w:ascii="Garamond" w:eastAsia="Times New Roman" w:hAnsi="Garamond"/>
                    </w:rPr>
                  </w:pPr>
                </w:p>
              </w:tc>
            </w:tr>
          </w:tbl>
          <w:p w14:paraId="42995F4A" w14:textId="77777777" w:rsidR="00652FC2" w:rsidRDefault="00652FC2">
            <w:pPr>
              <w:spacing w:beforeAutospacing="1"/>
            </w:pPr>
          </w:p>
        </w:tc>
        <w:tc>
          <w:tcPr>
            <w:tcW w:w="1521" w:type="dxa"/>
            <w:tcBorders>
              <w:bottom w:val="nil"/>
            </w:tcBorders>
          </w:tcPr>
          <w:p w14:paraId="10E973BA" w14:textId="77777777" w:rsidR="00652FC2" w:rsidRDefault="00BD704B">
            <w:pPr>
              <w:jc w:val="right"/>
              <w:rPr>
                <w:rFonts w:ascii="Garamond" w:eastAsia="Times New Roman" w:hAnsi="Garamond"/>
              </w:rPr>
            </w:pPr>
            <w:r>
              <w:rPr>
                <w:rFonts w:ascii="Garamond" w:eastAsia="Times New Roman" w:hAnsi="Garamond"/>
              </w:rPr>
              <w:t>6.700,-</w:t>
            </w:r>
          </w:p>
        </w:tc>
      </w:tr>
    </w:tbl>
    <w:p w14:paraId="6B96FE20" w14:textId="77777777" w:rsidR="00652FC2" w:rsidRDefault="00652FC2">
      <w:pPr>
        <w:jc w:val="both"/>
        <w:rPr>
          <w:rFonts w:ascii="Garamond" w:eastAsia="Times New Roman" w:hAnsi="Garamond"/>
        </w:rPr>
      </w:pPr>
    </w:p>
    <w:p w14:paraId="1AA00637" w14:textId="3E6B66E1" w:rsidR="00652FC2" w:rsidRDefault="0040227B">
      <w:pPr>
        <w:rPr>
          <w:rFonts w:ascii="Garamond" w:eastAsia="Times New Roman" w:hAnsi="Garamond"/>
        </w:rPr>
      </w:pPr>
      <w:r>
        <w:rPr>
          <w:rFonts w:ascii="Garamond" w:eastAsia="Times New Roman" w:hAnsi="Garamond"/>
        </w:rPr>
        <w:lastRenderedPageBreak/>
        <w:t>P</w:t>
      </w:r>
      <w:r w:rsidR="00BD704B">
        <w:rPr>
          <w:rFonts w:ascii="Garamond" w:eastAsia="Times New Roman" w:hAnsi="Garamond"/>
        </w:rPr>
        <w:t>ráce a další neoceněná plnění budou poskytována za ceny stanovené v souladu s ust. Rámcové dohody, a to zejm. dle čl. 9.2.</w:t>
      </w:r>
    </w:p>
    <w:p w14:paraId="081B37BD" w14:textId="77777777" w:rsidR="00652FC2" w:rsidRDefault="00652FC2">
      <w:pPr>
        <w:shd w:val="clear" w:color="FFFFFF" w:fill="FFFFFF" w:themeFill="background1"/>
        <w:tabs>
          <w:tab w:val="left" w:pos="0"/>
          <w:tab w:val="left" w:pos="851"/>
        </w:tabs>
        <w:jc w:val="both"/>
        <w:rPr>
          <w:rFonts w:ascii="Garamond" w:eastAsia="Times New Roman" w:hAnsi="Garamond"/>
        </w:rPr>
      </w:pPr>
    </w:p>
    <w:sectPr w:rsidR="00652FC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6ED7" w14:textId="77777777" w:rsidR="004B263A" w:rsidRDefault="004B263A">
      <w:r>
        <w:separator/>
      </w:r>
    </w:p>
  </w:endnote>
  <w:endnote w:type="continuationSeparator" w:id="0">
    <w:p w14:paraId="3155B539" w14:textId="77777777" w:rsidR="004B263A" w:rsidRDefault="004B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DAD5" w14:textId="77777777" w:rsidR="00652FC2" w:rsidRDefault="00652F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91AA" w14:textId="77777777" w:rsidR="00652FC2" w:rsidRDefault="00BD704B">
    <w:pPr>
      <w:pStyle w:val="Zpat"/>
      <w:jc w:val="center"/>
      <w:rPr>
        <w:rFonts w:ascii="Garamond" w:hAnsi="Garamond"/>
        <w:sz w:val="18"/>
      </w:rPr>
    </w:pPr>
    <w:r>
      <w:rPr>
        <w:rFonts w:ascii="Garamond" w:hAnsi="Garamond"/>
        <w:sz w:val="18"/>
      </w:rPr>
      <w:t xml:space="preserve">Stránka </w:t>
    </w:r>
    <w:r>
      <w:rPr>
        <w:rFonts w:ascii="Garamond" w:hAnsi="Garamond"/>
        <w:b/>
        <w:sz w:val="18"/>
      </w:rPr>
      <w:fldChar w:fldCharType="begin"/>
    </w:r>
    <w:r>
      <w:rPr>
        <w:rFonts w:ascii="Garamond" w:hAnsi="Garamond"/>
        <w:b/>
        <w:sz w:val="18"/>
      </w:rPr>
      <w:instrText xml:space="preserve"> PAGE </w:instrText>
    </w:r>
    <w:r>
      <w:rPr>
        <w:rFonts w:ascii="Garamond" w:hAnsi="Garamond"/>
        <w:b/>
        <w:sz w:val="18"/>
      </w:rPr>
      <w:fldChar w:fldCharType="separate"/>
    </w:r>
    <w:r>
      <w:rPr>
        <w:rFonts w:ascii="Garamond" w:hAnsi="Garamond"/>
        <w:b/>
        <w:sz w:val="18"/>
      </w:rPr>
      <w:t>12</w:t>
    </w:r>
    <w:r>
      <w:rPr>
        <w:rFonts w:ascii="Garamond" w:hAnsi="Garamond"/>
        <w:b/>
        <w:sz w:val="18"/>
      </w:rPr>
      <w:fldChar w:fldCharType="end"/>
    </w:r>
    <w:r>
      <w:rPr>
        <w:rFonts w:ascii="Garamond" w:hAnsi="Garamond"/>
        <w:sz w:val="18"/>
      </w:rPr>
      <w:t xml:space="preserve"> z </w:t>
    </w:r>
    <w:r>
      <w:rPr>
        <w:rFonts w:ascii="Garamond" w:hAnsi="Garamond"/>
        <w:b/>
        <w:sz w:val="18"/>
      </w:rPr>
      <w:fldChar w:fldCharType="begin"/>
    </w:r>
    <w:r>
      <w:rPr>
        <w:rFonts w:ascii="Garamond" w:hAnsi="Garamond"/>
        <w:b/>
        <w:sz w:val="18"/>
      </w:rPr>
      <w:instrText xml:space="preserve"> NUMPAGES </w:instrText>
    </w:r>
    <w:r>
      <w:rPr>
        <w:rFonts w:ascii="Garamond" w:hAnsi="Garamond"/>
        <w:b/>
        <w:sz w:val="18"/>
      </w:rPr>
      <w:fldChar w:fldCharType="separate"/>
    </w:r>
    <w:r>
      <w:rPr>
        <w:rFonts w:ascii="Garamond" w:hAnsi="Garamond"/>
        <w:b/>
        <w:sz w:val="18"/>
      </w:rPr>
      <w:t>12</w:t>
    </w:r>
    <w:r>
      <w:rPr>
        <w:rFonts w:ascii="Garamond" w:hAnsi="Garamond"/>
        <w:b/>
        <w:sz w:val="18"/>
      </w:rPr>
      <w:fldChar w:fldCharType="end"/>
    </w:r>
  </w:p>
  <w:p w14:paraId="1DDEEE64" w14:textId="77777777" w:rsidR="00652FC2" w:rsidRDefault="00652FC2">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EBF2" w14:textId="77777777" w:rsidR="00652FC2" w:rsidRDefault="00BD704B">
    <w:pPr>
      <w:pStyle w:val="Zpat"/>
      <w:jc w:val="center"/>
    </w:pPr>
    <w:r>
      <w:rPr>
        <w:rFonts w:ascii="Garamond" w:hAnsi="Garamond"/>
        <w:sz w:val="18"/>
      </w:rPr>
      <w:t xml:space="preserve">Stránka </w:t>
    </w:r>
    <w:r>
      <w:rPr>
        <w:rFonts w:ascii="Garamond" w:hAnsi="Garamond"/>
        <w:sz w:val="18"/>
      </w:rPr>
      <w:fldChar w:fldCharType="begin"/>
    </w:r>
    <w:r>
      <w:rPr>
        <w:rFonts w:ascii="Garamond" w:hAnsi="Garamond"/>
        <w:sz w:val="18"/>
      </w:rPr>
      <w:instrText xml:space="preserve"> PAGE </w:instrText>
    </w:r>
    <w:r>
      <w:rPr>
        <w:rFonts w:ascii="Garamond" w:hAnsi="Garamond"/>
        <w:sz w:val="18"/>
      </w:rPr>
      <w:fldChar w:fldCharType="separate"/>
    </w:r>
    <w:r>
      <w:rPr>
        <w:rFonts w:ascii="Garamond" w:hAnsi="Garamond"/>
        <w:sz w:val="18"/>
      </w:rPr>
      <w:t>1</w:t>
    </w:r>
    <w:r>
      <w:rPr>
        <w:rFonts w:ascii="Garamond" w:hAnsi="Garamond"/>
        <w:sz w:val="18"/>
      </w:rPr>
      <w:fldChar w:fldCharType="end"/>
    </w:r>
    <w:r>
      <w:rPr>
        <w:rFonts w:ascii="Garamond" w:hAnsi="Garamond"/>
        <w:sz w:val="18"/>
      </w:rPr>
      <w:t xml:space="preserve"> z </w:t>
    </w:r>
    <w:r>
      <w:rPr>
        <w:rFonts w:ascii="Garamond" w:hAnsi="Garamond"/>
        <w:sz w:val="18"/>
      </w:rPr>
      <w:fldChar w:fldCharType="begin"/>
    </w:r>
    <w:r>
      <w:rPr>
        <w:rFonts w:ascii="Garamond" w:hAnsi="Garamond"/>
        <w:sz w:val="18"/>
      </w:rPr>
      <w:instrText xml:space="preserve"> NUMPAGES </w:instrText>
    </w:r>
    <w:r>
      <w:rPr>
        <w:rFonts w:ascii="Garamond" w:hAnsi="Garamond"/>
        <w:sz w:val="18"/>
      </w:rPr>
      <w:fldChar w:fldCharType="separate"/>
    </w:r>
    <w:r>
      <w:rPr>
        <w:rFonts w:ascii="Garamond" w:hAnsi="Garamond"/>
        <w:sz w:val="18"/>
      </w:rPr>
      <w:t>12</w:t>
    </w:r>
    <w:r>
      <w:rPr>
        <w:rFonts w:ascii="Garamond" w:hAnsi="Garamond"/>
        <w:sz w:val="18"/>
      </w:rPr>
      <w:fldChar w:fldCharType="end"/>
    </w:r>
  </w:p>
  <w:p w14:paraId="512C5C62" w14:textId="77777777" w:rsidR="00652FC2" w:rsidRDefault="00652F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1AB0" w14:textId="77777777" w:rsidR="004B263A" w:rsidRDefault="004B263A">
      <w:r>
        <w:separator/>
      </w:r>
    </w:p>
  </w:footnote>
  <w:footnote w:type="continuationSeparator" w:id="0">
    <w:p w14:paraId="2E59415C" w14:textId="77777777" w:rsidR="004B263A" w:rsidRDefault="004B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BF0E" w14:textId="77777777" w:rsidR="00652FC2" w:rsidRDefault="00652F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9813" w14:textId="77777777" w:rsidR="00652FC2" w:rsidRDefault="00652F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7693" w14:textId="77777777" w:rsidR="00652FC2" w:rsidRDefault="00BD704B">
    <w:pPr>
      <w:pStyle w:val="Zhlav"/>
    </w:pPr>
    <w:r>
      <w:rPr>
        <w:noProof/>
      </w:rPr>
      <w:drawing>
        <wp:inline distT="0" distB="0" distL="0" distR="0" wp14:anchorId="7BCE1BC5" wp14:editId="2D0C5FDC">
          <wp:extent cx="878840" cy="40259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CU_logotyp_cmyk"/>
                  <pic:cNvPicPr>
                    <a:picLocks noChangeAspect="1" noChangeArrowheads="1"/>
                  </pic:cNvPicPr>
                </pic:nvPicPr>
                <pic:blipFill>
                  <a:blip r:embed="rId1"/>
                  <a:stretch>
                    <a:fillRect/>
                  </a:stretch>
                </pic:blipFill>
                <pic:spPr bwMode="auto">
                  <a:xfrm>
                    <a:off x="0" y="0"/>
                    <a:ext cx="878840"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747"/>
    <w:multiLevelType w:val="multilevel"/>
    <w:tmpl w:val="A1FA9DEA"/>
    <w:lvl w:ilvl="0">
      <w:start w:val="1"/>
      <w:numFmt w:val="bullet"/>
      <w:lvlText w:val=""/>
      <w:lvlJc w:val="left"/>
      <w:pPr>
        <w:tabs>
          <w:tab w:val="num" w:pos="1440"/>
        </w:tabs>
        <w:ind w:left="1440" w:hanging="360"/>
      </w:pPr>
      <w:rPr>
        <w:rFonts w:ascii="Symbol" w:hAnsi="Symbol" w:cs="Symbol" w:hint="default"/>
      </w:rPr>
    </w:lvl>
    <w:lvl w:ilvl="1">
      <w:start w:val="1"/>
      <w:numFmt w:val="decimal"/>
      <w:pStyle w:val="ToR1"/>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A04DBE"/>
    <w:multiLevelType w:val="multilevel"/>
    <w:tmpl w:val="81DC7B3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0F82527"/>
    <w:multiLevelType w:val="multilevel"/>
    <w:tmpl w:val="EA92899E"/>
    <w:lvl w:ilvl="0">
      <w:start w:val="1"/>
      <w:numFmt w:val="lowerLetter"/>
      <w:lvlText w:val="%1)"/>
      <w:lvlJc w:val="left"/>
      <w:pPr>
        <w:tabs>
          <w:tab w:val="num" w:pos="0"/>
        </w:tabs>
        <w:ind w:left="720" w:hanging="360"/>
      </w:pPr>
      <w:rPr>
        <w:rFonts w:ascii="Garamond" w:eastAsia="MS Mincho" w:hAnsi="Garamond"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30551E"/>
    <w:multiLevelType w:val="multilevel"/>
    <w:tmpl w:val="33687CC2"/>
    <w:lvl w:ilvl="0">
      <w:start w:val="1"/>
      <w:numFmt w:val="decimal"/>
      <w:pStyle w:val="NadpisZD1"/>
      <w:lvlText w:val="%1"/>
      <w:lvlJc w:val="left"/>
      <w:pPr>
        <w:tabs>
          <w:tab w:val="num" w:pos="7180"/>
        </w:tabs>
        <w:ind w:left="7180" w:hanging="34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16B561B5"/>
    <w:multiLevelType w:val="multilevel"/>
    <w:tmpl w:val="76D8DFC8"/>
    <w:lvl w:ilvl="0">
      <w:start w:val="1"/>
      <w:numFmt w:val="upperRoman"/>
      <w:lvlText w:val="%1."/>
      <w:lvlJc w:val="left"/>
      <w:pPr>
        <w:tabs>
          <w:tab w:val="num" w:pos="0"/>
        </w:tabs>
        <w:ind w:left="1080" w:hanging="720"/>
      </w:pPr>
    </w:lvl>
    <w:lvl w:ilvl="1">
      <w:start w:val="1"/>
      <w:numFmt w:val="decimal"/>
      <w:isLgl/>
      <w:lvlText w:val="%1.%2"/>
      <w:lvlJc w:val="left"/>
      <w:pPr>
        <w:tabs>
          <w:tab w:val="num" w:pos="0"/>
        </w:tabs>
        <w:ind w:left="1146" w:hanging="360"/>
      </w:pPr>
      <w:rPr>
        <w:sz w:val="22"/>
        <w:szCs w:val="22"/>
      </w:rPr>
    </w:lvl>
    <w:lvl w:ilvl="2">
      <w:start w:val="1"/>
      <w:numFmt w:val="decimal"/>
      <w:isLgl/>
      <w:lvlText w:val="%1.%2.%3"/>
      <w:lvlJc w:val="left"/>
      <w:pPr>
        <w:tabs>
          <w:tab w:val="num" w:pos="0"/>
        </w:tabs>
        <w:ind w:left="1932" w:hanging="720"/>
      </w:pPr>
    </w:lvl>
    <w:lvl w:ilvl="3">
      <w:start w:val="1"/>
      <w:numFmt w:val="decimal"/>
      <w:isLgl/>
      <w:lvlText w:val="%1.%2.%3.%4"/>
      <w:lvlJc w:val="left"/>
      <w:pPr>
        <w:tabs>
          <w:tab w:val="num" w:pos="0"/>
        </w:tabs>
        <w:ind w:left="2718" w:hanging="1080"/>
      </w:pPr>
    </w:lvl>
    <w:lvl w:ilvl="4">
      <w:start w:val="1"/>
      <w:numFmt w:val="decimal"/>
      <w:isLgl/>
      <w:lvlText w:val="%1.%2.%3.%4.%5"/>
      <w:lvlJc w:val="left"/>
      <w:pPr>
        <w:tabs>
          <w:tab w:val="num" w:pos="0"/>
        </w:tabs>
        <w:ind w:left="3144" w:hanging="1080"/>
      </w:pPr>
    </w:lvl>
    <w:lvl w:ilvl="5">
      <w:start w:val="1"/>
      <w:numFmt w:val="decimal"/>
      <w:isLgl/>
      <w:lvlText w:val="%1.%2.%3.%4.%5.%6"/>
      <w:lvlJc w:val="left"/>
      <w:pPr>
        <w:tabs>
          <w:tab w:val="num" w:pos="0"/>
        </w:tabs>
        <w:ind w:left="3930" w:hanging="1440"/>
      </w:pPr>
    </w:lvl>
    <w:lvl w:ilvl="6">
      <w:start w:val="1"/>
      <w:numFmt w:val="decimal"/>
      <w:isLgl/>
      <w:lvlText w:val="%1.%2.%3.%4.%5.%6.%7"/>
      <w:lvlJc w:val="left"/>
      <w:pPr>
        <w:tabs>
          <w:tab w:val="num" w:pos="0"/>
        </w:tabs>
        <w:ind w:left="4356" w:hanging="1440"/>
      </w:pPr>
    </w:lvl>
    <w:lvl w:ilvl="7">
      <w:start w:val="1"/>
      <w:numFmt w:val="decimal"/>
      <w:isLgl/>
      <w:lvlText w:val="%1.%2.%3.%4.%5.%6.%7.%8"/>
      <w:lvlJc w:val="left"/>
      <w:pPr>
        <w:tabs>
          <w:tab w:val="num" w:pos="0"/>
        </w:tabs>
        <w:ind w:left="5142" w:hanging="1800"/>
      </w:pPr>
    </w:lvl>
    <w:lvl w:ilvl="8">
      <w:start w:val="1"/>
      <w:numFmt w:val="decimal"/>
      <w:isLgl/>
      <w:lvlText w:val="%1.%2.%3.%4.%5.%6.%7.%8.%9"/>
      <w:lvlJc w:val="left"/>
      <w:pPr>
        <w:tabs>
          <w:tab w:val="num" w:pos="0"/>
        </w:tabs>
        <w:ind w:left="5568" w:hanging="1800"/>
      </w:pPr>
    </w:lvl>
  </w:abstractNum>
  <w:abstractNum w:abstractNumId="5" w15:restartNumberingAfterBreak="0">
    <w:nsid w:val="298F1936"/>
    <w:multiLevelType w:val="multilevel"/>
    <w:tmpl w:val="A366EBF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C7B088D"/>
    <w:multiLevelType w:val="multilevel"/>
    <w:tmpl w:val="5DC24468"/>
    <w:lvl w:ilvl="0">
      <w:start w:val="1"/>
      <w:numFmt w:val="bullet"/>
      <w:pStyle w:val="Body"/>
      <w:lvlText w:val=""/>
      <w:lvlJc w:val="left"/>
      <w:pPr>
        <w:tabs>
          <w:tab w:val="num" w:pos="36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FD0420D"/>
    <w:multiLevelType w:val="multilevel"/>
    <w:tmpl w:val="4DDC44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0AA018B"/>
    <w:multiLevelType w:val="multilevel"/>
    <w:tmpl w:val="D0EC8DF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40EC6F99"/>
    <w:multiLevelType w:val="multilevel"/>
    <w:tmpl w:val="28C68830"/>
    <w:lvl w:ilvl="0">
      <w:start w:val="1"/>
      <w:numFmt w:val="lowerLetter"/>
      <w:lvlText w:val="%1)"/>
      <w:lvlJc w:val="left"/>
      <w:pPr>
        <w:tabs>
          <w:tab w:val="num" w:pos="0"/>
        </w:tabs>
        <w:ind w:left="720" w:hanging="360"/>
      </w:pPr>
      <w:rPr>
        <w:rFonts w:ascii="Garamond" w:eastAsia="MS Mincho" w:hAnsi="Garamond"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2ED3401"/>
    <w:multiLevelType w:val="multilevel"/>
    <w:tmpl w:val="9288F0AC"/>
    <w:lvl w:ilvl="0">
      <w:start w:val="1"/>
      <w:numFmt w:val="decimal"/>
      <w:pStyle w:val="E-rov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72B0DB3"/>
    <w:multiLevelType w:val="multilevel"/>
    <w:tmpl w:val="624C8D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Letter"/>
      <w:lvlText w:val="%3)"/>
      <w:lvlJc w:val="left"/>
      <w:pPr>
        <w:tabs>
          <w:tab w:val="num" w:pos="0"/>
        </w:tabs>
        <w:ind w:left="2160" w:hanging="360"/>
      </w:pPr>
      <w:rPr>
        <w:rFonts w:ascii="Garamond" w:hAnsi="Garamond"/>
        <w:color w:val="000000"/>
        <w:sz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FB1878"/>
    <w:multiLevelType w:val="multilevel"/>
    <w:tmpl w:val="EDFEB532"/>
    <w:lvl w:ilvl="0">
      <w:start w:val="1"/>
      <w:numFmt w:val="decimal"/>
      <w:pStyle w:val="Textodstavce"/>
      <w:isLgl/>
      <w:lvlText w:val="(%1)"/>
      <w:lvlJc w:val="left"/>
      <w:pPr>
        <w:tabs>
          <w:tab w:val="num" w:pos="357"/>
        </w:tabs>
        <w:ind w:left="0" w:firstLine="425"/>
      </w:pPr>
      <w:rPr>
        <w:rFonts w:cs="Times New Roman"/>
      </w:rPr>
    </w:lvl>
    <w:lvl w:ilvl="1">
      <w:start w:val="1"/>
      <w:numFmt w:val="lowerLetter"/>
      <w:pStyle w:val="Textpsmene"/>
      <w:lvlText w:val="%2)"/>
      <w:lvlJc w:val="left"/>
      <w:pPr>
        <w:tabs>
          <w:tab w:val="num" w:pos="0"/>
        </w:tabs>
        <w:ind w:left="0"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13" w15:restartNumberingAfterBreak="0">
    <w:nsid w:val="4F955E6C"/>
    <w:multiLevelType w:val="multilevel"/>
    <w:tmpl w:val="30EC1770"/>
    <w:lvl w:ilvl="0">
      <w:start w:val="3"/>
      <w:numFmt w:val="decimal"/>
      <w:pStyle w:val="ZD1"/>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50AB03C9"/>
    <w:multiLevelType w:val="multilevel"/>
    <w:tmpl w:val="C226D83E"/>
    <w:lvl w:ilvl="0">
      <w:start w:val="1"/>
      <w:numFmt w:val="bullet"/>
      <w:pStyle w:val="Body2"/>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46A1E2A"/>
    <w:multiLevelType w:val="multilevel"/>
    <w:tmpl w:val="C354FEC6"/>
    <w:lvl w:ilvl="0">
      <w:start w:val="1"/>
      <w:numFmt w:val="lowerLetter"/>
      <w:lvlText w:val="%1)"/>
      <w:lvlJc w:val="left"/>
      <w:pPr>
        <w:tabs>
          <w:tab w:val="num" w:pos="0"/>
        </w:tabs>
        <w:ind w:left="720" w:hanging="360"/>
      </w:pPr>
      <w:rPr>
        <w:rFonts w:ascii="Garamond" w:eastAsia="MS Mincho" w:hAnsi="Garamond"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B907A3D"/>
    <w:multiLevelType w:val="multilevel"/>
    <w:tmpl w:val="8924D2EE"/>
    <w:lvl w:ilvl="0">
      <w:start w:val="1"/>
      <w:numFmt w:val="decimal"/>
      <w:pStyle w:val="Odstavec1"/>
      <w:lvlText w:val="%1."/>
      <w:lvlJc w:val="left"/>
      <w:pPr>
        <w:tabs>
          <w:tab w:val="num" w:pos="360"/>
        </w:tabs>
        <w:ind w:left="360" w:hanging="360"/>
      </w:pPr>
      <w:rPr>
        <w:rFonts w:cs="Times New Roman"/>
      </w:rPr>
    </w:lvl>
    <w:lvl w:ilvl="1">
      <w:start w:val="1"/>
      <w:numFmt w:val="decimal"/>
      <w:pStyle w:val="Odstavec11"/>
      <w:lvlText w:val="%1.%2."/>
      <w:lvlJc w:val="left"/>
      <w:pPr>
        <w:tabs>
          <w:tab w:val="num" w:pos="567"/>
        </w:tabs>
        <w:ind w:left="567" w:hanging="567"/>
      </w:pPr>
      <w:rPr>
        <w:rFonts w:ascii="Verdana" w:hAnsi="Verdana" w:cs="Times New Roman"/>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7" w15:restartNumberingAfterBreak="0">
    <w:nsid w:val="62DB448D"/>
    <w:multiLevelType w:val="multilevel"/>
    <w:tmpl w:val="0A3E6150"/>
    <w:lvl w:ilvl="0">
      <w:start w:val="1"/>
      <w:numFmt w:val="decimal"/>
      <w:lvlText w:val="%1."/>
      <w:lvlJc w:val="left"/>
      <w:pPr>
        <w:tabs>
          <w:tab w:val="num" w:pos="360"/>
        </w:tabs>
        <w:ind w:left="360" w:hanging="360"/>
      </w:pPr>
      <w:rPr>
        <w:rFonts w:cs="Times New Roman"/>
      </w:rPr>
    </w:lvl>
    <w:lvl w:ilvl="1">
      <w:start w:val="1"/>
      <w:numFmt w:val="none"/>
      <w:pStyle w:val="ToR2"/>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8" w15:restartNumberingAfterBreak="0">
    <w:nsid w:val="66F46ADE"/>
    <w:multiLevelType w:val="multilevel"/>
    <w:tmpl w:val="24121A08"/>
    <w:lvl w:ilvl="0">
      <w:start w:val="1"/>
      <w:numFmt w:val="bullet"/>
      <w:pStyle w:val="OdrazkaIcislovana"/>
      <w:lvlText w:val=""/>
      <w:lvlJc w:val="left"/>
      <w:pPr>
        <w:tabs>
          <w:tab w:val="num" w:pos="1068"/>
        </w:tabs>
        <w:ind w:left="1049" w:hanging="341"/>
      </w:pPr>
      <w:rPr>
        <w:rFonts w:ascii="Wingdings" w:hAnsi="Wingdings" w:cs="Wingdings" w:hint="default"/>
      </w:rPr>
    </w:lvl>
    <w:lvl w:ilvl="1">
      <w:start w:val="1"/>
      <w:numFmt w:val="bullet"/>
      <w:lvlText w:val="o"/>
      <w:lvlJc w:val="left"/>
      <w:pPr>
        <w:tabs>
          <w:tab w:val="num" w:pos="901"/>
        </w:tabs>
        <w:ind w:left="901" w:hanging="360"/>
      </w:pPr>
      <w:rPr>
        <w:rFonts w:ascii="Courier New" w:hAnsi="Courier New" w:cs="Courier New" w:hint="default"/>
      </w:rPr>
    </w:lvl>
    <w:lvl w:ilvl="2">
      <w:start w:val="1"/>
      <w:numFmt w:val="bullet"/>
      <w:lvlText w:val=""/>
      <w:lvlJc w:val="left"/>
      <w:pPr>
        <w:tabs>
          <w:tab w:val="num" w:pos="1621"/>
        </w:tabs>
        <w:ind w:left="1621" w:hanging="360"/>
      </w:pPr>
      <w:rPr>
        <w:rFonts w:ascii="Wingdings" w:hAnsi="Wingdings" w:cs="Wingdings" w:hint="default"/>
      </w:rPr>
    </w:lvl>
    <w:lvl w:ilvl="3">
      <w:start w:val="1"/>
      <w:numFmt w:val="bullet"/>
      <w:lvlText w:val=""/>
      <w:lvlJc w:val="left"/>
      <w:pPr>
        <w:tabs>
          <w:tab w:val="num" w:pos="2341"/>
        </w:tabs>
        <w:ind w:left="2341" w:hanging="360"/>
      </w:pPr>
      <w:rPr>
        <w:rFonts w:ascii="Symbol" w:hAnsi="Symbol" w:cs="Symbol" w:hint="default"/>
      </w:rPr>
    </w:lvl>
    <w:lvl w:ilvl="4">
      <w:start w:val="1"/>
      <w:numFmt w:val="bullet"/>
      <w:lvlText w:val="o"/>
      <w:lvlJc w:val="left"/>
      <w:pPr>
        <w:tabs>
          <w:tab w:val="num" w:pos="3061"/>
        </w:tabs>
        <w:ind w:left="3061" w:hanging="360"/>
      </w:pPr>
      <w:rPr>
        <w:rFonts w:ascii="Courier New" w:hAnsi="Courier New" w:cs="Courier New" w:hint="default"/>
      </w:rPr>
    </w:lvl>
    <w:lvl w:ilvl="5">
      <w:start w:val="1"/>
      <w:numFmt w:val="bullet"/>
      <w:lvlText w:val=""/>
      <w:lvlJc w:val="left"/>
      <w:pPr>
        <w:tabs>
          <w:tab w:val="num" w:pos="3781"/>
        </w:tabs>
        <w:ind w:left="3781" w:hanging="360"/>
      </w:pPr>
      <w:rPr>
        <w:rFonts w:ascii="Wingdings" w:hAnsi="Wingdings" w:cs="Wingdings" w:hint="default"/>
      </w:rPr>
    </w:lvl>
    <w:lvl w:ilvl="6">
      <w:start w:val="1"/>
      <w:numFmt w:val="bullet"/>
      <w:lvlText w:val=""/>
      <w:lvlJc w:val="left"/>
      <w:pPr>
        <w:tabs>
          <w:tab w:val="num" w:pos="4501"/>
        </w:tabs>
        <w:ind w:left="4501" w:hanging="360"/>
      </w:pPr>
      <w:rPr>
        <w:rFonts w:ascii="Symbol" w:hAnsi="Symbol" w:cs="Symbol" w:hint="default"/>
      </w:rPr>
    </w:lvl>
    <w:lvl w:ilvl="7">
      <w:start w:val="1"/>
      <w:numFmt w:val="bullet"/>
      <w:lvlText w:val="o"/>
      <w:lvlJc w:val="left"/>
      <w:pPr>
        <w:tabs>
          <w:tab w:val="num" w:pos="5221"/>
        </w:tabs>
        <w:ind w:left="5221" w:hanging="360"/>
      </w:pPr>
      <w:rPr>
        <w:rFonts w:ascii="Courier New" w:hAnsi="Courier New" w:cs="Courier New" w:hint="default"/>
      </w:rPr>
    </w:lvl>
    <w:lvl w:ilvl="8">
      <w:start w:val="1"/>
      <w:numFmt w:val="bullet"/>
      <w:lvlText w:val=""/>
      <w:lvlJc w:val="left"/>
      <w:pPr>
        <w:tabs>
          <w:tab w:val="num" w:pos="5941"/>
        </w:tabs>
        <w:ind w:left="5941" w:hanging="360"/>
      </w:pPr>
      <w:rPr>
        <w:rFonts w:ascii="Wingdings" w:hAnsi="Wingdings" w:cs="Wingdings" w:hint="default"/>
      </w:rPr>
    </w:lvl>
  </w:abstractNum>
  <w:abstractNum w:abstractNumId="19" w15:restartNumberingAfterBreak="0">
    <w:nsid w:val="6AA7482E"/>
    <w:multiLevelType w:val="multilevel"/>
    <w:tmpl w:val="BA18CC3A"/>
    <w:lvl w:ilvl="0">
      <w:start w:val="1"/>
      <w:numFmt w:val="lowerLetter"/>
      <w:lvlText w:val="%1)"/>
      <w:lvlJc w:val="left"/>
      <w:pPr>
        <w:tabs>
          <w:tab w:val="num" w:pos="0"/>
        </w:tabs>
        <w:ind w:left="927" w:hanging="360"/>
      </w:pPr>
      <w:rPr>
        <w:rFonts w:cs="Times New Roman"/>
        <w:b w:val="0"/>
        <w:b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20" w15:restartNumberingAfterBreak="0">
    <w:nsid w:val="75260465"/>
    <w:multiLevelType w:val="multilevel"/>
    <w:tmpl w:val="9CF4ED68"/>
    <w:lvl w:ilvl="0">
      <w:start w:val="1"/>
      <w:numFmt w:val="decimal"/>
      <w:lvlText w:val="%1."/>
      <w:lvlJc w:val="left"/>
      <w:pPr>
        <w:tabs>
          <w:tab w:val="num" w:pos="926"/>
        </w:tabs>
        <w:ind w:left="926" w:hanging="360"/>
      </w:pPr>
      <w:rPr>
        <w:rFonts w:cs="Times New Roman"/>
        <w:color w:val="B40000"/>
        <w:sz w:val="16"/>
        <w:szCs w:val="16"/>
      </w:rPr>
    </w:lvl>
    <w:lvl w:ilvl="1">
      <w:start w:val="1"/>
      <w:numFmt w:val="bullet"/>
      <w:pStyle w:val="Seznamsodrkami2"/>
      <w:lvlText w:val=""/>
      <w:lvlJc w:val="left"/>
      <w:pPr>
        <w:tabs>
          <w:tab w:val="num" w:pos="796"/>
        </w:tabs>
        <w:ind w:left="796" w:hanging="256"/>
      </w:pPr>
      <w:rPr>
        <w:rFonts w:ascii="Wingdings" w:hAnsi="Wingdings" w:cs="Wingdings" w:hint="default"/>
        <w:color w:val="auto"/>
        <w:sz w:val="18"/>
      </w:rPr>
    </w:lvl>
    <w:lvl w:ilvl="2">
      <w:start w:val="1"/>
      <w:numFmt w:val="bullet"/>
      <w:pStyle w:val="Seznamsodrkami3"/>
      <w:lvlText w:val="§"/>
      <w:lvlJc w:val="left"/>
      <w:pPr>
        <w:tabs>
          <w:tab w:val="num" w:pos="1785"/>
        </w:tabs>
        <w:ind w:left="1785" w:hanging="595"/>
      </w:pPr>
      <w:rPr>
        <w:rFonts w:ascii="Wingdings" w:hAnsi="Wingdings" w:cs="Wingdings" w:hint="default"/>
        <w:sz w:val="18"/>
      </w:rPr>
    </w:lvl>
    <w:lvl w:ilvl="3">
      <w:start w:val="1"/>
      <w:numFmt w:val="bullet"/>
      <w:pStyle w:val="Seznamsodrkami4"/>
      <w:lvlText w:val="§"/>
      <w:lvlJc w:val="left"/>
      <w:pPr>
        <w:tabs>
          <w:tab w:val="num" w:pos="2380"/>
        </w:tabs>
        <w:ind w:left="2380" w:hanging="595"/>
      </w:pPr>
      <w:rPr>
        <w:rFonts w:ascii="Wingdings" w:hAnsi="Wingdings" w:cs="Wingdings" w:hint="default"/>
        <w:sz w:val="18"/>
      </w:rPr>
    </w:lvl>
    <w:lvl w:ilvl="4">
      <w:start w:val="1"/>
      <w:numFmt w:val="bullet"/>
      <w:pStyle w:val="Seznamsodrkami5"/>
      <w:lvlText w:val="§"/>
      <w:lvlJc w:val="left"/>
      <w:pPr>
        <w:tabs>
          <w:tab w:val="num" w:pos="2975"/>
        </w:tabs>
        <w:ind w:left="2975" w:hanging="595"/>
      </w:pPr>
      <w:rPr>
        <w:rFonts w:ascii="Wingdings" w:hAnsi="Wingdings" w:cs="Wingdings" w:hint="default"/>
        <w:sz w:val="18"/>
      </w:rPr>
    </w:lvl>
    <w:lvl w:ilvl="5">
      <w:start w:val="1"/>
      <w:numFmt w:val="bullet"/>
      <w:lvlText w:val="§"/>
      <w:lvlJc w:val="left"/>
      <w:pPr>
        <w:tabs>
          <w:tab w:val="num" w:pos="3571"/>
        </w:tabs>
        <w:ind w:left="3571" w:hanging="595"/>
      </w:pPr>
      <w:rPr>
        <w:rFonts w:ascii="Wingdings" w:hAnsi="Wingdings" w:cs="Wingdings" w:hint="default"/>
        <w:sz w:val="18"/>
      </w:rPr>
    </w:lvl>
    <w:lvl w:ilvl="6">
      <w:start w:val="1"/>
      <w:numFmt w:val="bullet"/>
      <w:lvlText w:val="§"/>
      <w:lvlJc w:val="left"/>
      <w:pPr>
        <w:tabs>
          <w:tab w:val="num" w:pos="4166"/>
        </w:tabs>
        <w:ind w:left="4166" w:hanging="595"/>
      </w:pPr>
      <w:rPr>
        <w:rFonts w:ascii="Wingdings" w:hAnsi="Wingdings" w:cs="Wingdings" w:hint="default"/>
        <w:sz w:val="18"/>
      </w:rPr>
    </w:lvl>
    <w:lvl w:ilvl="7">
      <w:start w:val="1"/>
      <w:numFmt w:val="bullet"/>
      <w:lvlText w:val="§"/>
      <w:lvlJc w:val="left"/>
      <w:pPr>
        <w:tabs>
          <w:tab w:val="num" w:pos="4761"/>
        </w:tabs>
        <w:ind w:left="4761" w:hanging="595"/>
      </w:pPr>
      <w:rPr>
        <w:rFonts w:ascii="Wingdings" w:hAnsi="Wingdings" w:cs="Wingdings" w:hint="default"/>
        <w:sz w:val="18"/>
      </w:rPr>
    </w:lvl>
    <w:lvl w:ilvl="8">
      <w:start w:val="1"/>
      <w:numFmt w:val="bullet"/>
      <w:lvlText w:val="§"/>
      <w:lvlJc w:val="left"/>
      <w:pPr>
        <w:tabs>
          <w:tab w:val="num" w:pos="4761"/>
        </w:tabs>
        <w:ind w:left="4761" w:hanging="595"/>
      </w:pPr>
      <w:rPr>
        <w:rFonts w:ascii="Wingdings" w:hAnsi="Wingdings" w:cs="Wingdings" w:hint="default"/>
        <w:sz w:val="18"/>
      </w:rPr>
    </w:lvl>
  </w:abstractNum>
  <w:num w:numId="1" w16cid:durableId="1586307397">
    <w:abstractNumId w:val="10"/>
  </w:num>
  <w:num w:numId="2" w16cid:durableId="67192664">
    <w:abstractNumId w:val="14"/>
  </w:num>
  <w:num w:numId="3" w16cid:durableId="1715420172">
    <w:abstractNumId w:val="6"/>
  </w:num>
  <w:num w:numId="4" w16cid:durableId="1254434610">
    <w:abstractNumId w:val="18"/>
  </w:num>
  <w:num w:numId="5" w16cid:durableId="1617985001">
    <w:abstractNumId w:val="0"/>
  </w:num>
  <w:num w:numId="6" w16cid:durableId="2018580353">
    <w:abstractNumId w:val="17"/>
  </w:num>
  <w:num w:numId="7" w16cid:durableId="1052342676">
    <w:abstractNumId w:val="12"/>
  </w:num>
  <w:num w:numId="8" w16cid:durableId="1816139424">
    <w:abstractNumId w:val="20"/>
  </w:num>
  <w:num w:numId="9" w16cid:durableId="121847681">
    <w:abstractNumId w:val="3"/>
  </w:num>
  <w:num w:numId="10" w16cid:durableId="236475361">
    <w:abstractNumId w:val="16"/>
  </w:num>
  <w:num w:numId="11" w16cid:durableId="57631251">
    <w:abstractNumId w:val="13"/>
  </w:num>
  <w:num w:numId="12" w16cid:durableId="1408304564">
    <w:abstractNumId w:val="11"/>
  </w:num>
  <w:num w:numId="13" w16cid:durableId="439839205">
    <w:abstractNumId w:val="4"/>
  </w:num>
  <w:num w:numId="14" w16cid:durableId="844058248">
    <w:abstractNumId w:val="15"/>
  </w:num>
  <w:num w:numId="15" w16cid:durableId="204677707">
    <w:abstractNumId w:val="9"/>
  </w:num>
  <w:num w:numId="16" w16cid:durableId="1138492375">
    <w:abstractNumId w:val="2"/>
  </w:num>
  <w:num w:numId="17" w16cid:durableId="1947468486">
    <w:abstractNumId w:val="19"/>
  </w:num>
  <w:num w:numId="18" w16cid:durableId="94639431">
    <w:abstractNumId w:val="8"/>
  </w:num>
  <w:num w:numId="19" w16cid:durableId="1967003233">
    <w:abstractNumId w:val="1"/>
  </w:num>
  <w:num w:numId="20" w16cid:durableId="1118598559">
    <w:abstractNumId w:val="5"/>
  </w:num>
  <w:num w:numId="21" w16cid:durableId="2054497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C2"/>
    <w:rsid w:val="0006699B"/>
    <w:rsid w:val="001F403C"/>
    <w:rsid w:val="00232EC1"/>
    <w:rsid w:val="003B40AD"/>
    <w:rsid w:val="0040227B"/>
    <w:rsid w:val="004B263A"/>
    <w:rsid w:val="005A2161"/>
    <w:rsid w:val="00652FC2"/>
    <w:rsid w:val="00920BE4"/>
    <w:rsid w:val="00926A00"/>
    <w:rsid w:val="00BD704B"/>
    <w:rsid w:val="00C31C3A"/>
    <w:rsid w:val="00F04BC7"/>
    <w:rsid w:val="00F344B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A43D"/>
  <w15:docId w15:val="{3D1041CD-3A11-4EEA-B07A-95C6BC78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MS Mincho"/>
      <w:sz w:val="24"/>
      <w:szCs w:val="24"/>
    </w:rPr>
  </w:style>
  <w:style w:type="paragraph" w:styleId="Nadpis1">
    <w:name w:val="heading 1"/>
    <w:basedOn w:val="Normln"/>
    <w:next w:val="Normln"/>
    <w:link w:val="Nadpis1Char"/>
    <w:qFormat/>
    <w:pPr>
      <w:keepNext/>
      <w:jc w:val="center"/>
      <w:outlineLvl w:val="0"/>
    </w:pPr>
    <w:rPr>
      <w:b/>
      <w:sz w:val="20"/>
      <w:szCs w:val="28"/>
    </w:rPr>
  </w:style>
  <w:style w:type="paragraph" w:styleId="Nadpis2">
    <w:name w:val="heading 2"/>
    <w:basedOn w:val="Normln"/>
    <w:next w:val="Normln"/>
    <w:link w:val="Nadpis2Char"/>
    <w:uiPriority w:val="99"/>
    <w:qFormat/>
    <w:pPr>
      <w:keepNext/>
      <w:spacing w:before="240" w:after="60"/>
      <w:outlineLvl w:val="1"/>
    </w:pPr>
    <w:rPr>
      <w:rFonts w:ascii="Arial" w:hAnsi="Arial" w:cs="Arial"/>
      <w:b/>
      <w:bCs/>
      <w:iCs/>
      <w:sz w:val="28"/>
      <w:szCs w:val="28"/>
    </w:rPr>
  </w:style>
  <w:style w:type="paragraph" w:styleId="Nadpis3">
    <w:name w:val="heading 3"/>
    <w:basedOn w:val="Normln"/>
    <w:next w:val="Normln"/>
    <w:link w:val="Nadpis3Char"/>
    <w:uiPriority w:val="99"/>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pPr>
      <w:keepNext/>
      <w:spacing w:before="240" w:after="60"/>
      <w:outlineLvl w:val="3"/>
    </w:pPr>
    <w:rPr>
      <w:b/>
      <w:bCs/>
      <w:sz w:val="28"/>
      <w:szCs w:val="28"/>
    </w:rPr>
  </w:style>
  <w:style w:type="paragraph" w:styleId="Nadpis5">
    <w:name w:val="heading 5"/>
    <w:basedOn w:val="Normln"/>
    <w:next w:val="Normln"/>
    <w:link w:val="Nadpis5Char"/>
    <w:uiPriority w:val="99"/>
    <w:qFormat/>
    <w:pPr>
      <w:spacing w:before="240" w:after="60"/>
      <w:outlineLvl w:val="4"/>
    </w:pPr>
    <w:rPr>
      <w:b/>
      <w:bCs/>
      <w:i/>
      <w:iCs/>
      <w:sz w:val="26"/>
      <w:szCs w:val="26"/>
    </w:rPr>
  </w:style>
  <w:style w:type="paragraph" w:styleId="Nadpis6">
    <w:name w:val="heading 6"/>
    <w:basedOn w:val="Normln"/>
    <w:next w:val="Normln"/>
    <w:link w:val="Nadpis6Char"/>
    <w:uiPriority w:val="99"/>
    <w:qFormat/>
    <w:pPr>
      <w:spacing w:before="240" w:after="60"/>
      <w:outlineLvl w:val="5"/>
    </w:pPr>
    <w:rPr>
      <w:b/>
      <w:bCs/>
      <w:sz w:val="22"/>
      <w:szCs w:val="22"/>
    </w:rPr>
  </w:style>
  <w:style w:type="paragraph" w:styleId="Nadpis7">
    <w:name w:val="heading 7"/>
    <w:basedOn w:val="Normln"/>
    <w:next w:val="Normln"/>
    <w:link w:val="Nadpis7Char"/>
    <w:uiPriority w:val="99"/>
    <w:qFormat/>
    <w:pPr>
      <w:spacing w:before="240" w:after="60"/>
      <w:outlineLvl w:val="6"/>
    </w:pPr>
  </w:style>
  <w:style w:type="paragraph" w:styleId="Nadpis8">
    <w:name w:val="heading 8"/>
    <w:basedOn w:val="Normln"/>
    <w:next w:val="Normln"/>
    <w:link w:val="Nadpis8Char"/>
    <w:uiPriority w:val="99"/>
    <w:qFormat/>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PodnadpisChar">
    <w:name w:val="Podnadpis Char"/>
    <w:basedOn w:val="Standardnpsmoodstavce"/>
    <w:link w:val="Podnadpis"/>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HeaderChar">
    <w:name w:val="Header Char"/>
    <w:basedOn w:val="Standardnpsmoodstavce"/>
    <w:uiPriority w:val="99"/>
    <w:qFormat/>
  </w:style>
  <w:style w:type="character" w:customStyle="1" w:styleId="FooterChar">
    <w:name w:val="Footer Char"/>
    <w:basedOn w:val="Standardnpsmoodstavc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Nadpis1Char">
    <w:name w:val="Nadpis 1 Char"/>
    <w:basedOn w:val="Standardnpsmoodstavce"/>
    <w:link w:val="Nadpis1"/>
    <w:uiPriority w:val="99"/>
    <w:qFormat/>
    <w:rPr>
      <w:rFonts w:ascii="Cambria" w:hAnsi="Cambria" w:cs="Times New Roman"/>
      <w:b/>
      <w:bCs/>
      <w:sz w:val="32"/>
      <w:szCs w:val="32"/>
    </w:rPr>
  </w:style>
  <w:style w:type="character" w:customStyle="1" w:styleId="Nadpis2Char">
    <w:name w:val="Nadpis 2 Char"/>
    <w:basedOn w:val="Standardnpsmoodstavce"/>
    <w:link w:val="Nadpis2"/>
    <w:uiPriority w:val="99"/>
    <w:qFormat/>
    <w:rPr>
      <w:rFonts w:ascii="Cambria" w:hAnsi="Cambria" w:cs="Times New Roman"/>
      <w:b/>
      <w:bCs/>
      <w:i/>
      <w:iCs/>
      <w:sz w:val="28"/>
      <w:szCs w:val="28"/>
    </w:rPr>
  </w:style>
  <w:style w:type="character" w:customStyle="1" w:styleId="Nadpis3Char">
    <w:name w:val="Nadpis 3 Char"/>
    <w:basedOn w:val="Standardnpsmoodstavce"/>
    <w:link w:val="Nadpis3"/>
    <w:uiPriority w:val="9"/>
    <w:semiHidden/>
    <w:qFormat/>
    <w:rPr>
      <w:rFonts w:ascii="Cambria" w:hAnsi="Cambria" w:cs="Times New Roman"/>
      <w:b/>
      <w:bCs/>
      <w:sz w:val="26"/>
      <w:szCs w:val="26"/>
    </w:rPr>
  </w:style>
  <w:style w:type="character" w:customStyle="1" w:styleId="Nadpis4Char">
    <w:name w:val="Nadpis 4 Char"/>
    <w:basedOn w:val="Standardnpsmoodstavce"/>
    <w:link w:val="Nadpis4"/>
    <w:uiPriority w:val="99"/>
    <w:semiHidden/>
    <w:qFormat/>
    <w:rPr>
      <w:rFonts w:ascii="Calibri" w:hAnsi="Calibri" w:cs="Times New Roman"/>
      <w:b/>
      <w:bCs/>
      <w:sz w:val="28"/>
      <w:szCs w:val="28"/>
    </w:rPr>
  </w:style>
  <w:style w:type="character" w:customStyle="1" w:styleId="Nadpis5Char">
    <w:name w:val="Nadpis 5 Char"/>
    <w:basedOn w:val="Standardnpsmoodstavce"/>
    <w:link w:val="Nadpis5"/>
    <w:uiPriority w:val="99"/>
    <w:semiHidden/>
    <w:qFormat/>
    <w:rPr>
      <w:rFonts w:ascii="Calibri" w:hAnsi="Calibri" w:cs="Times New Roman"/>
      <w:b/>
      <w:bCs/>
      <w:i/>
      <w:iCs/>
      <w:sz w:val="26"/>
      <w:szCs w:val="26"/>
    </w:rPr>
  </w:style>
  <w:style w:type="character" w:customStyle="1" w:styleId="Nadpis6Char">
    <w:name w:val="Nadpis 6 Char"/>
    <w:basedOn w:val="Standardnpsmoodstavce"/>
    <w:link w:val="Nadpis6"/>
    <w:uiPriority w:val="99"/>
    <w:semiHidden/>
    <w:qFormat/>
    <w:rPr>
      <w:rFonts w:ascii="Calibri" w:hAnsi="Calibri" w:cs="Times New Roman"/>
      <w:b/>
      <w:bCs/>
    </w:rPr>
  </w:style>
  <w:style w:type="character" w:customStyle="1" w:styleId="Nadpis7Char">
    <w:name w:val="Nadpis 7 Char"/>
    <w:basedOn w:val="Standardnpsmoodstavce"/>
    <w:link w:val="Nadpis7"/>
    <w:uiPriority w:val="99"/>
    <w:semiHidden/>
    <w:qFormat/>
    <w:rPr>
      <w:rFonts w:ascii="Calibri" w:hAnsi="Calibri" w:cs="Times New Roman"/>
      <w:sz w:val="24"/>
      <w:szCs w:val="24"/>
    </w:rPr>
  </w:style>
  <w:style w:type="character" w:customStyle="1" w:styleId="Nadpis8Char">
    <w:name w:val="Nadpis 8 Char"/>
    <w:basedOn w:val="Standardnpsmoodstavce"/>
    <w:link w:val="Nadpis8"/>
    <w:uiPriority w:val="99"/>
    <w:semiHidden/>
    <w:qFormat/>
    <w:rPr>
      <w:rFonts w:ascii="Calibri" w:hAnsi="Calibri" w:cs="Times New Roman"/>
      <w:i/>
      <w:iCs/>
      <w:sz w:val="24"/>
      <w:szCs w:val="24"/>
    </w:rPr>
  </w:style>
  <w:style w:type="character" w:customStyle="1" w:styleId="Nadpis9Char">
    <w:name w:val="Nadpis 9 Char"/>
    <w:basedOn w:val="Standardnpsmoodstavce"/>
    <w:link w:val="Nadpis9"/>
    <w:uiPriority w:val="99"/>
    <w:semiHidden/>
    <w:qFormat/>
    <w:rPr>
      <w:rFonts w:ascii="Cambria" w:hAnsi="Cambria" w:cs="Times New Roman"/>
    </w:rPr>
  </w:style>
  <w:style w:type="character" w:customStyle="1" w:styleId="ZpatChar">
    <w:name w:val="Zápatí Char"/>
    <w:basedOn w:val="Standardnpsmoodstavce"/>
    <w:link w:val="Zpat"/>
    <w:uiPriority w:val="99"/>
    <w:qFormat/>
    <w:rPr>
      <w:rFonts w:eastAsia="MS Mincho" w:cs="Times New Roman"/>
      <w:sz w:val="24"/>
    </w:rPr>
  </w:style>
  <w:style w:type="character" w:styleId="slostrnky">
    <w:name w:val="page number"/>
    <w:basedOn w:val="Standardnpsmoodstavce"/>
    <w:uiPriority w:val="99"/>
    <w:rPr>
      <w:rFonts w:cs="Times New Roman"/>
    </w:rPr>
  </w:style>
  <w:style w:type="character" w:customStyle="1" w:styleId="Zkladntextodsazen2Char">
    <w:name w:val="Základní text odsazený 2 Char"/>
    <w:basedOn w:val="Standardnpsmoodstavce"/>
    <w:link w:val="Zkladntextodsazen2"/>
    <w:uiPriority w:val="99"/>
    <w:semiHidden/>
    <w:qFormat/>
    <w:rPr>
      <w:rFonts w:eastAsia="MS Mincho" w:cs="Times New Roman"/>
      <w:sz w:val="24"/>
      <w:szCs w:val="24"/>
    </w:rPr>
  </w:style>
  <w:style w:type="character" w:styleId="Hypertextovodkaz">
    <w:name w:val="Hyperlink"/>
    <w:basedOn w:val="Standardnpsmoodstavce"/>
    <w:uiPriority w:val="99"/>
    <w:rPr>
      <w:rFonts w:cs="Times New Roman"/>
      <w:color w:val="0000FF"/>
      <w:u w:val="single"/>
    </w:rPr>
  </w:style>
  <w:style w:type="character" w:customStyle="1" w:styleId="ZhlavChar1">
    <w:name w:val="Záhlaví Char1"/>
    <w:basedOn w:val="Standardnpsmoodstavce"/>
    <w:link w:val="Zhlav"/>
    <w:uiPriority w:val="99"/>
    <w:qFormat/>
    <w:rPr>
      <w:rFonts w:eastAsia="MS Mincho" w:cs="Times New Roman"/>
      <w:sz w:val="24"/>
      <w:lang w:val="cs-CZ" w:eastAsia="cs-CZ"/>
    </w:rPr>
  </w:style>
  <w:style w:type="character" w:styleId="Odkaznakoment">
    <w:name w:val="annotation reference"/>
    <w:basedOn w:val="Standardnpsmoodstavce"/>
    <w:uiPriority w:val="99"/>
    <w:qFormat/>
    <w:rPr>
      <w:rFonts w:cs="Times New Roman"/>
      <w:sz w:val="16"/>
    </w:rPr>
  </w:style>
  <w:style w:type="character" w:customStyle="1" w:styleId="TextkomenteChar">
    <w:name w:val="Text komentáře Char"/>
    <w:basedOn w:val="Standardnpsmoodstavce"/>
    <w:link w:val="Textkomente"/>
    <w:uiPriority w:val="99"/>
    <w:semiHidden/>
    <w:qFormat/>
    <w:rPr>
      <w:rFonts w:eastAsia="MS Mincho" w:cs="Times New Roman"/>
    </w:rPr>
  </w:style>
  <w:style w:type="character" w:customStyle="1" w:styleId="PedmtkomenteChar">
    <w:name w:val="Předmět komentáře Char"/>
    <w:basedOn w:val="TextkomenteChar"/>
    <w:link w:val="Pedmtkomente"/>
    <w:uiPriority w:val="99"/>
    <w:semiHidden/>
    <w:qFormat/>
    <w:rPr>
      <w:rFonts w:eastAsia="MS Mincho" w:cs="Times New Roman"/>
      <w:b/>
      <w:bCs/>
      <w:sz w:val="20"/>
      <w:szCs w:val="20"/>
    </w:rPr>
  </w:style>
  <w:style w:type="character" w:customStyle="1" w:styleId="TextbublinyChar">
    <w:name w:val="Text bubliny Char"/>
    <w:basedOn w:val="Standardnpsmoodstavce"/>
    <w:link w:val="Textbubliny"/>
    <w:uiPriority w:val="99"/>
    <w:semiHidden/>
    <w:qFormat/>
    <w:rPr>
      <w:rFonts w:eastAsia="MS Mincho" w:cs="Times New Roman"/>
      <w:sz w:val="2"/>
    </w:rPr>
  </w:style>
  <w:style w:type="character" w:customStyle="1" w:styleId="ZkladntextChar">
    <w:name w:val="Základní text Char"/>
    <w:basedOn w:val="Standardnpsmoodstavce"/>
    <w:link w:val="Zkladntext"/>
    <w:qFormat/>
    <w:rPr>
      <w:rFonts w:eastAsia="MS Mincho" w:cs="Times New Roman"/>
      <w:sz w:val="24"/>
      <w:szCs w:val="24"/>
    </w:rPr>
  </w:style>
  <w:style w:type="character" w:customStyle="1" w:styleId="Zkladntext2Char">
    <w:name w:val="Základní text 2 Char"/>
    <w:basedOn w:val="Standardnpsmoodstavce"/>
    <w:link w:val="Zkladntext2"/>
    <w:uiPriority w:val="99"/>
    <w:qFormat/>
    <w:rPr>
      <w:rFonts w:eastAsia="MS Mincho" w:cs="Times New Roman"/>
      <w:sz w:val="24"/>
      <w:szCs w:val="24"/>
    </w:rPr>
  </w:style>
  <w:style w:type="character" w:customStyle="1" w:styleId="Zkladntext3Char">
    <w:name w:val="Základní text 3 Char"/>
    <w:basedOn w:val="Standardnpsmoodstavce"/>
    <w:link w:val="Zkladntext3"/>
    <w:uiPriority w:val="99"/>
    <w:semiHidden/>
    <w:qFormat/>
    <w:rPr>
      <w:rFonts w:eastAsia="MS Mincho" w:cs="Times New Roman"/>
      <w:sz w:val="16"/>
      <w:szCs w:val="16"/>
    </w:rPr>
  </w:style>
  <w:style w:type="character" w:customStyle="1" w:styleId="MichalPetk">
    <w:name w:val="Michal Petřík"/>
    <w:uiPriority w:val="99"/>
    <w:semiHidden/>
    <w:qFormat/>
    <w:rPr>
      <w:rFonts w:ascii="Arial" w:hAnsi="Arial"/>
      <w:color w:val="auto"/>
      <w:sz w:val="20"/>
    </w:rPr>
  </w:style>
  <w:style w:type="character" w:customStyle="1" w:styleId="TextpoznpodarouChar">
    <w:name w:val="Text pozn. pod čarou Char"/>
    <w:basedOn w:val="Standardnpsmoodstavce"/>
    <w:link w:val="Textpoznpodarou"/>
    <w:uiPriority w:val="99"/>
    <w:qFormat/>
    <w:rPr>
      <w:rFonts w:eastAsia="MS Mincho" w:cs="Times New Roman"/>
      <w:sz w:val="20"/>
      <w:szCs w:val="20"/>
    </w:rPr>
  </w:style>
  <w:style w:type="character" w:customStyle="1" w:styleId="Znakypropoznmkupodarou">
    <w:name w:val="Znaky pro poznámku pod čarou"/>
    <w:uiPriority w:val="99"/>
    <w:qFormat/>
    <w:rPr>
      <w:rFonts w:cs="Times New Roman"/>
      <w:vertAlign w:val="superscript"/>
    </w:rPr>
  </w:style>
  <w:style w:type="character" w:customStyle="1" w:styleId="Znakypropoznmkupodarouuser">
    <w:name w:val="Znaky pro poznámku pod čarou (user)"/>
    <w:qFormat/>
    <w:rPr>
      <w:rFonts w:cs="Times New Roman"/>
      <w:vertAlign w:val="superscript"/>
    </w:rPr>
  </w:style>
  <w:style w:type="character" w:styleId="Znakapoznpodarou">
    <w:name w:val="footnote reference"/>
    <w:rPr>
      <w:rFonts w:cs="Times New Roman"/>
      <w:vertAlign w:val="superscript"/>
    </w:rPr>
  </w:style>
  <w:style w:type="character" w:customStyle="1" w:styleId="RozloendokumentuChar">
    <w:name w:val="Rozložení dokumentu Char"/>
    <w:basedOn w:val="Standardnpsmoodstavce"/>
    <w:link w:val="Rozloendokumentu"/>
    <w:uiPriority w:val="99"/>
    <w:semiHidden/>
    <w:qFormat/>
    <w:rPr>
      <w:rFonts w:eastAsia="MS Mincho" w:cs="Times New Roman"/>
      <w:sz w:val="2"/>
    </w:rPr>
  </w:style>
  <w:style w:type="character" w:styleId="Sledovanodkaz">
    <w:name w:val="FollowedHyperlink"/>
    <w:basedOn w:val="Standardnpsmoodstavce"/>
    <w:uiPriority w:val="99"/>
    <w:rPr>
      <w:rFonts w:cs="Times New Roman"/>
      <w:color w:val="800080"/>
      <w:u w:val="single"/>
    </w:rPr>
  </w:style>
  <w:style w:type="character" w:customStyle="1" w:styleId="Zkladntextodsazen3Char">
    <w:name w:val="Základní text odsazený 3 Char"/>
    <w:basedOn w:val="Standardnpsmoodstavce"/>
    <w:link w:val="Zkladntextodsazen3"/>
    <w:uiPriority w:val="99"/>
    <w:semiHidden/>
    <w:qFormat/>
    <w:rPr>
      <w:rFonts w:eastAsia="MS Mincho" w:cs="Times New Roman"/>
      <w:sz w:val="16"/>
      <w:szCs w:val="16"/>
    </w:rPr>
  </w:style>
  <w:style w:type="character" w:customStyle="1" w:styleId="ZkladntextodsazenChar">
    <w:name w:val="Základní text odsazený Char"/>
    <w:basedOn w:val="Standardnpsmoodstavce"/>
    <w:link w:val="Zkladntextodsazen"/>
    <w:uiPriority w:val="99"/>
    <w:semiHidden/>
    <w:qFormat/>
    <w:rPr>
      <w:rFonts w:eastAsia="MS Mincho" w:cs="Times New Roman"/>
      <w:sz w:val="24"/>
      <w:szCs w:val="24"/>
    </w:rPr>
  </w:style>
  <w:style w:type="character" w:customStyle="1" w:styleId="ZhlavChar">
    <w:name w:val="Záhlaví Char"/>
    <w:uiPriority w:val="99"/>
    <w:semiHidden/>
    <w:qFormat/>
    <w:rPr>
      <w:sz w:val="24"/>
      <w:lang w:val="cs-CZ" w:eastAsia="cs-CZ"/>
    </w:rPr>
  </w:style>
  <w:style w:type="character" w:customStyle="1" w:styleId="BodySingleChar1">
    <w:name w:val="Body Single Char1"/>
    <w:link w:val="BodySingle"/>
    <w:uiPriority w:val="99"/>
    <w:qFormat/>
    <w:rPr>
      <w:rFonts w:ascii="Verdana" w:hAnsi="Verdana"/>
      <w:sz w:val="16"/>
      <w:lang w:val="cs-CZ" w:eastAsia="cs-CZ"/>
    </w:rPr>
  </w:style>
  <w:style w:type="character" w:customStyle="1" w:styleId="SeznamspismenyChar">
    <w:name w:val="Seznam s pismeny Char"/>
    <w:link w:val="Seznamspismeny"/>
    <w:uiPriority w:val="99"/>
    <w:qFormat/>
    <w:rPr>
      <w:rFonts w:ascii="Verdana" w:hAnsi="Verdana"/>
      <w:sz w:val="16"/>
    </w:rPr>
  </w:style>
  <w:style w:type="character" w:customStyle="1" w:styleId="FormtovanvHTMLChar">
    <w:name w:val="Formátovaný v HTML Char"/>
    <w:basedOn w:val="Standardnpsmoodstavce"/>
    <w:link w:val="FormtovanvHTML"/>
    <w:uiPriority w:val="99"/>
    <w:qFormat/>
    <w:rPr>
      <w:rFonts w:ascii="Courier New" w:hAnsi="Courier New" w:cs="Times New Roman"/>
    </w:rPr>
  </w:style>
  <w:style w:type="character" w:customStyle="1" w:styleId="platne1">
    <w:name w:val="platne1"/>
    <w:basedOn w:val="Standardnpsmoodstavce"/>
    <w:uiPriority w:val="99"/>
    <w:qFormat/>
    <w:rPr>
      <w:rFonts w:cs="Times New Roman"/>
    </w:rPr>
  </w:style>
  <w:style w:type="character" w:customStyle="1" w:styleId="AAOdstavecChar">
    <w:name w:val="AA_Odstavec Char"/>
    <w:link w:val="AAOdstavec"/>
    <w:uiPriority w:val="99"/>
    <w:qFormat/>
    <w:rPr>
      <w:rFonts w:ascii="Arial" w:hAnsi="Arial"/>
      <w:lang w:val="cs-CZ" w:eastAsia="en-US"/>
    </w:rPr>
  </w:style>
  <w:style w:type="character" w:customStyle="1" w:styleId="upd1">
    <w:name w:val="upd1"/>
    <w:uiPriority w:val="99"/>
    <w:qFormat/>
    <w:rPr>
      <w:color w:val="9A0001"/>
    </w:rPr>
  </w:style>
  <w:style w:type="character" w:customStyle="1" w:styleId="CharChar3">
    <w:name w:val="Char Char3"/>
    <w:uiPriority w:val="99"/>
    <w:semiHidden/>
    <w:qFormat/>
    <w:rPr>
      <w:rFonts w:eastAsia="MS Mincho"/>
    </w:rPr>
  </w:style>
  <w:style w:type="character" w:customStyle="1" w:styleId="cpvselected">
    <w:name w:val="cpvselected"/>
    <w:qFormat/>
  </w:style>
  <w:style w:type="character" w:customStyle="1" w:styleId="NzevChar">
    <w:name w:val="Název Char"/>
    <w:basedOn w:val="Standardnpsmoodstavce"/>
    <w:link w:val="Nzev"/>
    <w:uiPriority w:val="10"/>
    <w:qFormat/>
    <w:rPr>
      <w:rFonts w:ascii="Cambria" w:eastAsia="Cambria" w:hAnsi="Cambria" w:cs="Cambria"/>
      <w:b/>
      <w:bCs/>
      <w:sz w:val="32"/>
      <w:szCs w:val="32"/>
    </w:rPr>
  </w:style>
  <w:style w:type="character" w:customStyle="1" w:styleId="ProsttextChar">
    <w:name w:val="Prostý text Char"/>
    <w:basedOn w:val="Standardnpsmoodstavce"/>
    <w:link w:val="Prosttext"/>
    <w:uiPriority w:val="99"/>
    <w:qFormat/>
    <w:rPr>
      <w:rFonts w:ascii="Courier New" w:hAnsi="Courier New" w:cs="Courier New"/>
      <w:sz w:val="20"/>
      <w:szCs w:val="20"/>
    </w:rPr>
  </w:style>
  <w:style w:type="character" w:customStyle="1" w:styleId="OdstavecseseznamemChar">
    <w:name w:val="Odstavec se seznamem Char"/>
    <w:link w:val="Odstavecseseznamem"/>
    <w:uiPriority w:val="34"/>
    <w:qFormat/>
    <w:rPr>
      <w:sz w:val="24"/>
      <w:szCs w:val="24"/>
    </w:rPr>
  </w:style>
  <w:style w:type="character" w:customStyle="1" w:styleId="Znakyprovysvtlivky">
    <w:name w:val="Znaky pro vysvětlivky"/>
    <w:uiPriority w:val="99"/>
    <w:semiHidden/>
    <w:unhideWhenUsed/>
    <w:qFormat/>
    <w:rPr>
      <w:vertAlign w:val="superscript"/>
    </w:rPr>
  </w:style>
  <w:style w:type="character" w:customStyle="1" w:styleId="Znakyprovysvtlivkyuser">
    <w:name w:val="Znaky pro vysvětlivky (user)"/>
    <w:qFormat/>
    <w:rPr>
      <w:vertAlign w:val="superscript"/>
    </w:rPr>
  </w:style>
  <w:style w:type="character" w:styleId="Odkaznavysvtlivky">
    <w:name w:val="endnote reference"/>
    <w:rPr>
      <w:vertAlign w:val="superscript"/>
    </w:rPr>
  </w:style>
  <w:style w:type="character" w:customStyle="1" w:styleId="TextvysvtlivekChar">
    <w:name w:val="Text vysvětlivek Char"/>
    <w:basedOn w:val="Standardnpsmoodstavce"/>
    <w:link w:val="Textvysvtlivek"/>
    <w:uiPriority w:val="99"/>
    <w:semiHidden/>
    <w:qFormat/>
    <w:rPr>
      <w:rFonts w:eastAsia="MS Mincho"/>
      <w:sz w:val="20"/>
      <w:szCs w:val="20"/>
    </w:rPr>
  </w:style>
  <w:style w:type="character" w:customStyle="1" w:styleId="BezmezerChar">
    <w:name w:val="Bez mezer Char"/>
    <w:basedOn w:val="Standardnpsmoodstavce"/>
    <w:link w:val="Bezmezer"/>
    <w:uiPriority w:val="1"/>
    <w:qFormat/>
    <w:rPr>
      <w:rFonts w:ascii="Calibri" w:eastAsia="Calibri" w:hAnsi="Calibri"/>
      <w:lang w:eastAsia="en-US"/>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character" w:customStyle="1" w:styleId="1678">
    <w:name w:val="1678"/>
    <w:basedOn w:val="Standardnpsmoodstavce"/>
    <w:qFormat/>
  </w:style>
  <w:style w:type="character" w:customStyle="1" w:styleId="5226">
    <w:name w:val="5226"/>
    <w:basedOn w:val="Standardnpsmoodstavce"/>
    <w:qFormat/>
  </w:style>
  <w:style w:type="character" w:customStyle="1" w:styleId="1392">
    <w:name w:val="1392"/>
    <w:basedOn w:val="Standardnpsmoodstavce"/>
    <w:qFormat/>
  </w:style>
  <w:style w:type="character" w:customStyle="1" w:styleId="5157">
    <w:name w:val="5157"/>
    <w:basedOn w:val="Standardnpsmoodstavce"/>
    <w:qFormat/>
  </w:style>
  <w:style w:type="character" w:customStyle="1" w:styleId="3952">
    <w:name w:val="3952"/>
    <w:basedOn w:val="Standardnpsmoodstavce"/>
    <w:qFormat/>
  </w:style>
  <w:style w:type="character" w:customStyle="1" w:styleId="3942">
    <w:name w:val="3942"/>
    <w:basedOn w:val="Standardnpsmoodstavce"/>
    <w:qFormat/>
  </w:style>
  <w:style w:type="character" w:customStyle="1" w:styleId="3903">
    <w:name w:val="3903"/>
    <w:basedOn w:val="Standardnpsmoodstavce"/>
    <w:qFormat/>
  </w:style>
  <w:style w:type="character" w:customStyle="1" w:styleId="4084">
    <w:name w:val="4084"/>
    <w:basedOn w:val="Standardnpsmoodstavce"/>
    <w:qFormat/>
  </w:style>
  <w:style w:type="character" w:customStyle="1" w:styleId="3755">
    <w:name w:val="3755"/>
    <w:basedOn w:val="Standardnpsmoodstavce"/>
    <w:qFormat/>
  </w:style>
  <w:style w:type="character" w:customStyle="1" w:styleId="4224">
    <w:name w:val="4224"/>
    <w:basedOn w:val="Standardnpsmoodstavce"/>
    <w:qFormat/>
  </w:style>
  <w:style w:type="character" w:customStyle="1" w:styleId="1332">
    <w:name w:val="1332"/>
    <w:basedOn w:val="Standardnpsmoodstavce"/>
    <w:qFormat/>
  </w:style>
  <w:style w:type="character" w:customStyle="1" w:styleId="3912">
    <w:name w:val="3912"/>
    <w:basedOn w:val="Standardnpsmoodstavce"/>
    <w:qFormat/>
  </w:style>
  <w:style w:type="character" w:customStyle="1" w:styleId="4219">
    <w:name w:val="4219"/>
    <w:basedOn w:val="Standardnpsmoodstavce"/>
    <w:qFormat/>
  </w:style>
  <w:style w:type="character" w:customStyle="1" w:styleId="3767">
    <w:name w:val="3767"/>
    <w:basedOn w:val="Standardnpsmoodstavce"/>
    <w:qFormat/>
  </w:style>
  <w:style w:type="character" w:customStyle="1" w:styleId="4395">
    <w:name w:val="4395"/>
    <w:basedOn w:val="Standardnpsmoodstavce"/>
    <w:qFormat/>
  </w:style>
  <w:style w:type="character" w:customStyle="1" w:styleId="4135">
    <w:name w:val="4135"/>
    <w:basedOn w:val="Standardnpsmoodstavce"/>
    <w:qFormat/>
  </w:style>
  <w:style w:type="character" w:customStyle="1" w:styleId="4209">
    <w:name w:val="4209"/>
    <w:basedOn w:val="Standardnpsmoodstavce"/>
    <w:qFormat/>
  </w:style>
  <w:style w:type="character" w:customStyle="1" w:styleId="3838">
    <w:name w:val="3838"/>
    <w:basedOn w:val="Standardnpsmoodstavce"/>
    <w:qFormat/>
  </w:style>
  <w:style w:type="character" w:styleId="Siln">
    <w:name w:val="Strong"/>
    <w:basedOn w:val="Standardnpsmoodstavce"/>
    <w:uiPriority w:val="22"/>
    <w:qFormat/>
    <w:rsid w:val="00693B91"/>
    <w:rPr>
      <w:b/>
      <w:bCs/>
    </w:rPr>
  </w:style>
  <w:style w:type="character" w:styleId="Zdraznn">
    <w:name w:val="Emphasis"/>
    <w:basedOn w:val="Standardnpsmoodstavce"/>
    <w:uiPriority w:val="20"/>
    <w:qFormat/>
    <w:rsid w:val="00693B91"/>
    <w:rPr>
      <w:i/>
      <w:iCs/>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spacing w:after="120"/>
    </w:pPr>
  </w:style>
  <w:style w:type="paragraph" w:styleId="Seznam">
    <w:name w:val="List"/>
    <w:basedOn w:val="Normln"/>
    <w:uiPriority w:val="99"/>
    <w:pPr>
      <w:ind w:left="283" w:hanging="283"/>
    </w:pPr>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paragraph" w:customStyle="1" w:styleId="Rejstk">
    <w:name w:val="Rejstřík"/>
    <w:basedOn w:val="Normln"/>
    <w:qFormat/>
    <w:pPr>
      <w:suppressLineNumbers/>
    </w:pPr>
    <w:rPr>
      <w:rFonts w:cs="Arial"/>
    </w:rPr>
  </w:style>
  <w:style w:type="paragraph" w:customStyle="1" w:styleId="Nadpisuser">
    <w:name w:val="Nadpis (user)"/>
    <w:next w:val="Zkladntext"/>
    <w:qFormat/>
    <w:pPr>
      <w:widowControl w:val="0"/>
      <w:jc w:val="center"/>
    </w:pPr>
    <w:rPr>
      <w:rFonts w:ascii="Arial" w:hAnsi="Arial" w:cs="Arial"/>
      <w:b/>
      <w:color w:val="000000"/>
      <w:sz w:val="36"/>
      <w:szCs w:val="20"/>
      <w:lang w:eastAsia="zh-CN"/>
    </w:rPr>
  </w:style>
  <w:style w:type="paragraph" w:customStyle="1" w:styleId="Rejstkuser">
    <w:name w:val="Rejstřík (user)"/>
    <w:basedOn w:val="Normln"/>
    <w:qFormat/>
    <w:pPr>
      <w:suppressLineNumbers/>
    </w:pPr>
    <w:rPr>
      <w:rFonts w:cs="Arial"/>
    </w:rPr>
  </w:style>
  <w:style w:type="paragraph" w:styleId="Podnadpis">
    <w:name w:val="Subtitle"/>
    <w:basedOn w:val="Normln"/>
    <w:next w:val="Normln"/>
    <w:link w:val="PodnadpisChar"/>
    <w:uiPriority w:val="11"/>
    <w:qFormat/>
    <w:pPr>
      <w:spacing w:before="200" w:after="200"/>
    </w:pPr>
  </w:style>
  <w:style w:type="paragraph" w:styleId="Citt">
    <w:name w:val="Quote"/>
    <w:basedOn w:val="Normln"/>
    <w:next w:val="Normln"/>
    <w:link w:val="CittChar"/>
    <w:uiPriority w:val="29"/>
    <w:qFormat/>
    <w:pPr>
      <w:ind w:left="720" w:right="720"/>
    </w:pPr>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Seznamobrzk">
    <w:name w:val="table of figures"/>
    <w:basedOn w:val="Normln"/>
    <w:next w:val="Normln"/>
    <w:uiPriority w:val="99"/>
    <w:unhideWhenUsed/>
  </w:style>
  <w:style w:type="paragraph" w:customStyle="1" w:styleId="E-rove1">
    <w:name w:val="E - úroveň 1"/>
    <w:basedOn w:val="Eodsazenfurt0"/>
    <w:uiPriority w:val="99"/>
    <w:qFormat/>
    <w:pPr>
      <w:numPr>
        <w:numId w:val="1"/>
      </w:numPr>
      <w:shd w:val="clear" w:color="CCFFFF" w:fill="CCFFFF"/>
      <w:ind w:left="540" w:hanging="540"/>
    </w:pPr>
    <w:rPr>
      <w:rFonts w:ascii="Arial" w:hAnsi="Arial" w:cs="Arial"/>
      <w:b/>
      <w:sz w:val="24"/>
      <w:szCs w:val="28"/>
    </w:rPr>
  </w:style>
  <w:style w:type="paragraph" w:customStyle="1" w:styleId="Eodsazenfurt0">
    <w:name w:val="E odsazení furt 0"/>
    <w:basedOn w:val="Normln"/>
    <w:uiPriority w:val="99"/>
    <w:qFormat/>
    <w:pPr>
      <w:ind w:left="284"/>
      <w:jc w:val="both"/>
    </w:pPr>
    <w:rPr>
      <w:sz w:val="20"/>
      <w:szCs w:val="20"/>
    </w:rPr>
  </w:style>
  <w:style w:type="paragraph" w:customStyle="1" w:styleId="Body">
    <w:name w:val="Body"/>
    <w:basedOn w:val="Normln"/>
    <w:uiPriority w:val="99"/>
    <w:qFormat/>
    <w:pPr>
      <w:numPr>
        <w:numId w:val="3"/>
      </w:numPr>
      <w:spacing w:before="40"/>
      <w:jc w:val="both"/>
    </w:pPr>
    <w:rPr>
      <w:sz w:val="20"/>
      <w:szCs w:val="20"/>
    </w:rPr>
  </w:style>
  <w:style w:type="paragraph" w:customStyle="1" w:styleId="Body2">
    <w:name w:val="Body2"/>
    <w:basedOn w:val="Body"/>
    <w:uiPriority w:val="99"/>
    <w:qFormat/>
    <w:pPr>
      <w:numPr>
        <w:numId w:val="2"/>
      </w:numPr>
      <w:spacing w:before="0"/>
    </w:p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link w:val="Zkladntextodsazen2Char"/>
    <w:uiPriority w:val="99"/>
    <w:qFormat/>
    <w:pPr>
      <w:ind w:left="283" w:firstLine="1"/>
      <w:jc w:val="both"/>
    </w:pPr>
    <w:rPr>
      <w:sz w:val="22"/>
      <w:szCs w:val="20"/>
    </w:rPr>
  </w:style>
  <w:style w:type="paragraph" w:styleId="Obsah1">
    <w:name w:val="toc 1"/>
    <w:basedOn w:val="Normln"/>
    <w:next w:val="Normln"/>
    <w:uiPriority w:val="99"/>
    <w:pPr>
      <w:spacing w:before="120" w:after="120"/>
    </w:pPr>
    <w:rPr>
      <w:rFonts w:ascii="Calibri" w:hAnsi="Calibri" w:cs="Calibri"/>
      <w:b/>
      <w:bCs/>
      <w:caps/>
      <w:sz w:val="20"/>
      <w:szCs w:val="20"/>
    </w:rPr>
  </w:style>
  <w:style w:type="paragraph" w:styleId="Obsah2">
    <w:name w:val="toc 2"/>
    <w:basedOn w:val="Normln"/>
    <w:next w:val="Normln"/>
    <w:uiPriority w:val="99"/>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uiPriority w:val="99"/>
    <w:pPr>
      <w:ind w:left="480"/>
    </w:pPr>
    <w:rPr>
      <w:rFonts w:ascii="Calibri" w:hAnsi="Calibri" w:cs="Calibri"/>
      <w:i/>
      <w:iCs/>
      <w:sz w:val="20"/>
      <w:szCs w:val="20"/>
    </w:rPr>
  </w:style>
  <w:style w:type="paragraph" w:customStyle="1" w:styleId="odsazfurt">
    <w:name w:val="odsaz furt"/>
    <w:basedOn w:val="Normln"/>
    <w:qFormat/>
    <w:pPr>
      <w:ind w:left="284"/>
      <w:jc w:val="both"/>
    </w:pPr>
    <w:rPr>
      <w:color w:val="000000"/>
      <w:sz w:val="20"/>
      <w:szCs w:val="20"/>
    </w:rPr>
  </w:style>
  <w:style w:type="paragraph" w:customStyle="1" w:styleId="OdrazkaIcislovana">
    <w:name w:val="Odrazka_I_cislovana"/>
    <w:basedOn w:val="Normln"/>
    <w:uiPriority w:val="99"/>
    <w:qFormat/>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pPr>
      <w:tabs>
        <w:tab w:val="center" w:pos="4536"/>
        <w:tab w:val="right" w:pos="9072"/>
      </w:tabs>
    </w:p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link w:val="PedmtkomenteChar"/>
    <w:uiPriority w:val="99"/>
    <w:semiHidden/>
    <w:qFormat/>
    <w:rPr>
      <w:b/>
      <w:bCs/>
    </w:rPr>
  </w:style>
  <w:style w:type="paragraph" w:styleId="Textbubliny">
    <w:name w:val="Balloon Text"/>
    <w:basedOn w:val="Normln"/>
    <w:link w:val="TextbublinyChar"/>
    <w:uiPriority w:val="99"/>
    <w:semiHidden/>
    <w:qFormat/>
    <w:rPr>
      <w:rFonts w:ascii="Tahoma" w:hAnsi="Tahoma" w:cs="Tahoma"/>
      <w:sz w:val="16"/>
      <w:szCs w:val="16"/>
    </w:rPr>
  </w:style>
  <w:style w:type="paragraph" w:customStyle="1" w:styleId="Tiret1">
    <w:name w:val="Tiret 1"/>
    <w:basedOn w:val="Normln"/>
    <w:uiPriority w:val="99"/>
    <w:qFormat/>
    <w:pPr>
      <w:spacing w:before="120" w:after="120"/>
      <w:ind w:left="1418" w:hanging="567"/>
      <w:jc w:val="both"/>
    </w:pPr>
  </w:style>
  <w:style w:type="paragraph" w:styleId="Zkladntext2">
    <w:name w:val="Body Text 2"/>
    <w:basedOn w:val="Normln"/>
    <w:link w:val="Zkladntext2Char"/>
    <w:uiPriority w:val="99"/>
    <w:qFormat/>
    <w:pPr>
      <w:spacing w:after="120" w:line="480" w:lineRule="auto"/>
    </w:pPr>
  </w:style>
  <w:style w:type="paragraph" w:styleId="Zkladntext3">
    <w:name w:val="Body Text 3"/>
    <w:basedOn w:val="Normln"/>
    <w:link w:val="Zkladntext3Char"/>
    <w:uiPriority w:val="99"/>
    <w:qFormat/>
    <w:pPr>
      <w:spacing w:after="120"/>
    </w:pPr>
    <w:rPr>
      <w:sz w:val="16"/>
      <w:szCs w:val="16"/>
    </w:rPr>
  </w:style>
  <w:style w:type="paragraph" w:styleId="Textpoznpodarou">
    <w:name w:val="footnote text"/>
    <w:basedOn w:val="Normln"/>
    <w:link w:val="TextpoznpodarouChar"/>
    <w:uiPriority w:val="99"/>
    <w:rPr>
      <w:sz w:val="20"/>
      <w:szCs w:val="20"/>
    </w:rPr>
  </w:style>
  <w:style w:type="paragraph" w:customStyle="1" w:styleId="Zkladntextodsazen21">
    <w:name w:val="Základní text odsazený 21"/>
    <w:basedOn w:val="Normln"/>
    <w:uiPriority w:val="99"/>
    <w:qFormat/>
    <w:pPr>
      <w:ind w:firstLine="708"/>
      <w:jc w:val="both"/>
    </w:pPr>
    <w:rPr>
      <w:b/>
      <w:sz w:val="20"/>
      <w:szCs w:val="20"/>
      <w:lang w:eastAsia="ar-SA"/>
    </w:rPr>
  </w:style>
  <w:style w:type="paragraph" w:customStyle="1" w:styleId="ToR1">
    <w:name w:val="ToR 1"/>
    <w:basedOn w:val="Normln"/>
    <w:uiPriority w:val="99"/>
    <w:qFormat/>
    <w:pPr>
      <w:numPr>
        <w:ilvl w:val="1"/>
        <w:numId w:val="5"/>
      </w:numPr>
    </w:pPr>
    <w:rPr>
      <w:b/>
      <w:sz w:val="28"/>
      <w:szCs w:val="28"/>
    </w:rPr>
  </w:style>
  <w:style w:type="paragraph" w:customStyle="1" w:styleId="NormlnArial">
    <w:name w:val="Normální + Arial"/>
    <w:basedOn w:val="Normln"/>
    <w:uiPriority w:val="99"/>
    <w:qFormat/>
    <w:pPr>
      <w:tabs>
        <w:tab w:val="left" w:pos="540"/>
      </w:tabs>
      <w:jc w:val="both"/>
    </w:pPr>
    <w:rPr>
      <w:rFonts w:ascii="Arial" w:hAnsi="Arial" w:cs="Arial"/>
      <w:bCs/>
    </w:rPr>
  </w:style>
  <w:style w:type="paragraph" w:customStyle="1" w:styleId="ToR2">
    <w:name w:val="ToR 2"/>
    <w:basedOn w:val="ToR1"/>
    <w:uiPriority w:val="99"/>
    <w:qFormat/>
    <w:pPr>
      <w:numPr>
        <w:numId w:val="6"/>
      </w:numPr>
      <w:tabs>
        <w:tab w:val="left" w:pos="540"/>
      </w:tabs>
      <w:ind w:left="360" w:hanging="780"/>
    </w:pPr>
    <w:rPr>
      <w:sz w:val="24"/>
      <w:szCs w:val="24"/>
    </w:rPr>
  </w:style>
  <w:style w:type="paragraph" w:customStyle="1" w:styleId="CM1">
    <w:name w:val="CM1"/>
    <w:basedOn w:val="Normln"/>
    <w:next w:val="Normln"/>
    <w:uiPriority w:val="99"/>
    <w:qFormat/>
    <w:pPr>
      <w:widowControl w:val="0"/>
      <w:spacing w:after="120"/>
      <w:jc w:val="both"/>
    </w:pPr>
    <w:rPr>
      <w:rFonts w:ascii="Arial" w:hAnsi="Arial"/>
      <w:sz w:val="18"/>
    </w:rPr>
  </w:style>
  <w:style w:type="paragraph" w:customStyle="1" w:styleId="CM15">
    <w:name w:val="CM15"/>
    <w:basedOn w:val="Normln"/>
    <w:next w:val="Normln"/>
    <w:uiPriority w:val="99"/>
    <w:qFormat/>
    <w:pPr>
      <w:widowControl w:val="0"/>
      <w:spacing w:after="118"/>
      <w:jc w:val="both"/>
    </w:pPr>
    <w:rPr>
      <w:rFonts w:ascii="Arial" w:hAnsi="Arial"/>
      <w:sz w:val="18"/>
    </w:rPr>
  </w:style>
  <w:style w:type="paragraph" w:styleId="Rozloendokumentu">
    <w:name w:val="Document Map"/>
    <w:basedOn w:val="Normln"/>
    <w:link w:val="RozloendokumentuChar"/>
    <w:uiPriority w:val="99"/>
    <w:semiHidden/>
    <w:qFormat/>
    <w:pPr>
      <w:shd w:val="clear" w:color="000080" w:fill="000080"/>
      <w:spacing w:after="120"/>
      <w:jc w:val="both"/>
    </w:pPr>
    <w:rPr>
      <w:rFonts w:ascii="Tahoma" w:hAnsi="Tahoma" w:cs="Tahoma"/>
      <w:sz w:val="18"/>
    </w:rPr>
  </w:style>
  <w:style w:type="paragraph" w:styleId="Normlnweb">
    <w:name w:val="Normal (Web)"/>
    <w:basedOn w:val="Normln"/>
    <w:uiPriority w:val="99"/>
    <w:qFormat/>
    <w:pPr>
      <w:spacing w:beforeAutospacing="1" w:afterAutospacing="1"/>
    </w:pPr>
  </w:style>
  <w:style w:type="paragraph" w:styleId="Zkladntextodsazen3">
    <w:name w:val="Body Text Indent 3"/>
    <w:basedOn w:val="Normln"/>
    <w:link w:val="Zkladntextodsazen3Char"/>
    <w:uiPriority w:val="99"/>
    <w:qFormat/>
    <w:pPr>
      <w:spacing w:after="120"/>
      <w:ind w:left="283"/>
    </w:pPr>
    <w:rPr>
      <w:sz w:val="16"/>
      <w:szCs w:val="16"/>
    </w:rPr>
  </w:style>
  <w:style w:type="paragraph" w:customStyle="1" w:styleId="Textpsmene">
    <w:name w:val="Text písmene"/>
    <w:basedOn w:val="Normln"/>
    <w:uiPriority w:val="99"/>
    <w:qFormat/>
    <w:pPr>
      <w:numPr>
        <w:ilvl w:val="1"/>
        <w:numId w:val="7"/>
      </w:numPr>
      <w:jc w:val="both"/>
      <w:outlineLvl w:val="7"/>
    </w:pPr>
  </w:style>
  <w:style w:type="paragraph" w:customStyle="1" w:styleId="Textodstavce">
    <w:name w:val="Text odstavce"/>
    <w:basedOn w:val="Normln"/>
    <w:uiPriority w:val="99"/>
    <w:qFormat/>
    <w:pPr>
      <w:numPr>
        <w:numId w:val="7"/>
      </w:numPr>
      <w:tabs>
        <w:tab w:val="left" w:pos="851"/>
      </w:tabs>
      <w:spacing w:before="120" w:after="120"/>
      <w:jc w:val="both"/>
      <w:outlineLvl w:val="6"/>
    </w:pPr>
  </w:style>
  <w:style w:type="paragraph" w:customStyle="1" w:styleId="NormalJustified">
    <w:name w:val="Normal (Justified)"/>
    <w:basedOn w:val="Normln"/>
    <w:uiPriority w:val="99"/>
    <w:qFormat/>
    <w:pPr>
      <w:widowControl w:val="0"/>
      <w:jc w:val="both"/>
    </w:pPr>
    <w:rPr>
      <w:rFonts w:eastAsia="Times New Roman"/>
      <w:sz w:val="20"/>
      <w:szCs w:val="20"/>
    </w:rPr>
  </w:style>
  <w:style w:type="paragraph" w:styleId="Textvbloku">
    <w:name w:val="Block Text"/>
    <w:basedOn w:val="Normln"/>
    <w:uiPriority w:val="99"/>
    <w:qFormat/>
    <w:pPr>
      <w:ind w:left="480" w:right="-256"/>
      <w:jc w:val="both"/>
    </w:pPr>
    <w:rPr>
      <w:rFonts w:eastAsia="Times New Roman"/>
      <w:color w:val="000000"/>
      <w:sz w:val="22"/>
      <w:szCs w:val="13"/>
    </w:rPr>
  </w:style>
  <w:style w:type="paragraph" w:customStyle="1" w:styleId="Text1">
    <w:name w:val="Text 1"/>
    <w:basedOn w:val="Normln"/>
    <w:uiPriority w:val="99"/>
    <w:qFormat/>
    <w:pPr>
      <w:spacing w:after="240"/>
      <w:ind w:left="482"/>
      <w:jc w:val="both"/>
    </w:pPr>
    <w:rPr>
      <w:rFonts w:eastAsia="Times New Roman"/>
      <w:lang w:eastAsia="en-GB"/>
    </w:rPr>
  </w:style>
  <w:style w:type="paragraph" w:customStyle="1" w:styleId="Point1">
    <w:name w:val="Point 1"/>
    <w:basedOn w:val="Normln"/>
    <w:uiPriority w:val="99"/>
    <w:qFormat/>
    <w:pPr>
      <w:spacing w:before="120" w:after="120"/>
      <w:ind w:left="1418" w:hanging="567"/>
      <w:jc w:val="both"/>
    </w:pPr>
    <w:rPr>
      <w:rFonts w:eastAsia="Times New Roman"/>
      <w:sz w:val="20"/>
      <w:szCs w:val="20"/>
      <w:lang w:val="en-GB" w:eastAsia="fr-BE"/>
    </w:rPr>
  </w:style>
  <w:style w:type="paragraph" w:customStyle="1" w:styleId="Nadpis311b">
    <w:name w:val="Nadpis 3  + 11 b."/>
    <w:basedOn w:val="Normln"/>
    <w:uiPriority w:val="99"/>
    <w:qFormat/>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uiPriority w:val="99"/>
    <w:qFormat/>
    <w:pPr>
      <w:jc w:val="both"/>
    </w:pPr>
    <w:rPr>
      <w:rFonts w:eastAsia="Times New Roman"/>
    </w:rPr>
  </w:style>
  <w:style w:type="paragraph" w:customStyle="1" w:styleId="StylArial11bTunZarovnatdoblokuPed6b">
    <w:name w:val="Styl Arial 11 b. Tučné Zarovnat do bloku Před:  6 b."/>
    <w:basedOn w:val="Nadpis3"/>
    <w:next w:val="Nadpis3"/>
    <w:uiPriority w:val="99"/>
    <w:qFormat/>
    <w:pPr>
      <w:keepNext w:val="0"/>
      <w:widowControl w:val="0"/>
      <w:spacing w:before="120" w:after="240"/>
      <w:jc w:val="both"/>
    </w:pPr>
    <w:rPr>
      <w:rFonts w:eastAsia="Times New Roman" w:cs="Times New Roman"/>
      <w:b w:val="0"/>
      <w:sz w:val="22"/>
      <w:szCs w:val="20"/>
    </w:rPr>
  </w:style>
  <w:style w:type="paragraph" w:customStyle="1" w:styleId="MDSR">
    <w:name w:val="MDS ČR"/>
    <w:basedOn w:val="Normln"/>
    <w:uiPriority w:val="99"/>
    <w:qFormat/>
    <w:pPr>
      <w:spacing w:before="120"/>
      <w:ind w:left="57" w:firstLine="567"/>
      <w:jc w:val="both"/>
    </w:pPr>
    <w:rPr>
      <w:rFonts w:eastAsia="Times New Roman"/>
      <w:sz w:val="20"/>
      <w:szCs w:val="20"/>
    </w:rPr>
  </w:style>
  <w:style w:type="paragraph" w:styleId="Zkladntextodsazen">
    <w:name w:val="Body Text Indent"/>
    <w:basedOn w:val="Normln"/>
    <w:link w:val="ZkladntextodsazenChar"/>
    <w:uiPriority w:val="99"/>
    <w:pPr>
      <w:spacing w:after="120"/>
      <w:ind w:left="283"/>
    </w:pPr>
  </w:style>
  <w:style w:type="paragraph" w:customStyle="1" w:styleId="Styl">
    <w:name w:val="Styl"/>
    <w:qFormat/>
    <w:pPr>
      <w:widowControl w:val="0"/>
    </w:pPr>
    <w:rPr>
      <w:sz w:val="24"/>
      <w:szCs w:val="24"/>
    </w:rPr>
  </w:style>
  <w:style w:type="paragraph" w:customStyle="1" w:styleId="AAOdstavec">
    <w:name w:val="AA_Odstavec"/>
    <w:basedOn w:val="Normln"/>
    <w:link w:val="AAOdstavecChar"/>
    <w:uiPriority w:val="99"/>
    <w:qFormat/>
    <w:pPr>
      <w:jc w:val="both"/>
    </w:pPr>
    <w:rPr>
      <w:rFonts w:ascii="Arial" w:eastAsia="Times New Roman" w:hAnsi="Arial"/>
      <w:sz w:val="20"/>
      <w:szCs w:val="20"/>
      <w:lang w:eastAsia="en-US"/>
    </w:rPr>
  </w:style>
  <w:style w:type="paragraph" w:customStyle="1" w:styleId="AOdstavec">
    <w:name w:val="A_Odstavec"/>
    <w:basedOn w:val="AAOdstavec"/>
    <w:uiPriority w:val="99"/>
    <w:qFormat/>
    <w:rPr>
      <w:rFonts w:ascii="Times New Roman" w:hAnsi="Times New Roman"/>
    </w:rPr>
  </w:style>
  <w:style w:type="paragraph" w:styleId="Obsah4">
    <w:name w:val="toc 4"/>
    <w:basedOn w:val="Normln"/>
    <w:next w:val="Normln"/>
    <w:uiPriority w:val="99"/>
    <w:pPr>
      <w:ind w:left="720"/>
    </w:pPr>
    <w:rPr>
      <w:rFonts w:ascii="Calibri" w:hAnsi="Calibri" w:cs="Calibri"/>
      <w:sz w:val="18"/>
      <w:szCs w:val="18"/>
    </w:rPr>
  </w:style>
  <w:style w:type="paragraph" w:styleId="Obsah5">
    <w:name w:val="toc 5"/>
    <w:basedOn w:val="Normln"/>
    <w:next w:val="Normln"/>
    <w:uiPriority w:val="99"/>
    <w:pPr>
      <w:ind w:left="960"/>
    </w:pPr>
    <w:rPr>
      <w:rFonts w:ascii="Calibri" w:hAnsi="Calibri" w:cs="Calibri"/>
      <w:sz w:val="18"/>
      <w:szCs w:val="18"/>
    </w:rPr>
  </w:style>
  <w:style w:type="paragraph" w:styleId="Obsah6">
    <w:name w:val="toc 6"/>
    <w:basedOn w:val="Normln"/>
    <w:next w:val="Normln"/>
    <w:uiPriority w:val="99"/>
    <w:pPr>
      <w:ind w:left="1200"/>
    </w:pPr>
    <w:rPr>
      <w:rFonts w:ascii="Calibri" w:hAnsi="Calibri" w:cs="Calibri"/>
      <w:sz w:val="18"/>
      <w:szCs w:val="18"/>
    </w:rPr>
  </w:style>
  <w:style w:type="paragraph" w:styleId="Obsah7">
    <w:name w:val="toc 7"/>
    <w:basedOn w:val="Normln"/>
    <w:next w:val="Normln"/>
    <w:uiPriority w:val="99"/>
    <w:pPr>
      <w:ind w:left="1440"/>
    </w:pPr>
    <w:rPr>
      <w:rFonts w:ascii="Calibri" w:hAnsi="Calibri" w:cs="Calibri"/>
      <w:sz w:val="18"/>
      <w:szCs w:val="18"/>
    </w:rPr>
  </w:style>
  <w:style w:type="paragraph" w:styleId="Obsah8">
    <w:name w:val="toc 8"/>
    <w:basedOn w:val="Normln"/>
    <w:next w:val="Normln"/>
    <w:uiPriority w:val="99"/>
    <w:pPr>
      <w:ind w:left="1680"/>
    </w:pPr>
    <w:rPr>
      <w:rFonts w:ascii="Calibri" w:hAnsi="Calibri" w:cs="Calibri"/>
      <w:sz w:val="18"/>
      <w:szCs w:val="18"/>
    </w:rPr>
  </w:style>
  <w:style w:type="paragraph" w:styleId="Obsah9">
    <w:name w:val="toc 9"/>
    <w:basedOn w:val="Normln"/>
    <w:next w:val="Normln"/>
    <w:uiPriority w:val="99"/>
    <w:pPr>
      <w:ind w:left="1920"/>
    </w:pPr>
    <w:rPr>
      <w:rFonts w:ascii="Calibri" w:hAnsi="Calibri" w:cs="Calibri"/>
      <w:sz w:val="18"/>
      <w:szCs w:val="18"/>
    </w:rPr>
  </w:style>
  <w:style w:type="paragraph" w:customStyle="1" w:styleId="Adresa">
    <w:name w:val="Adresa"/>
    <w:basedOn w:val="Zkladntext"/>
    <w:uiPriority w:val="99"/>
    <w:qFormat/>
    <w:pPr>
      <w:keepLines/>
      <w:spacing w:after="0"/>
    </w:pPr>
    <w:rPr>
      <w:rFonts w:eastAsia="Times New Roman"/>
      <w:sz w:val="20"/>
      <w:szCs w:val="20"/>
    </w:rPr>
  </w:style>
  <w:style w:type="paragraph" w:customStyle="1" w:styleId="Aodsazen">
    <w:name w:val="A_odsazení"/>
    <w:basedOn w:val="Normln"/>
    <w:uiPriority w:val="99"/>
    <w:qFormat/>
    <w:pPr>
      <w:tabs>
        <w:tab w:val="left"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uiPriority w:val="99"/>
    <w:qFormat/>
    <w:pPr>
      <w:spacing w:before="80" w:line="240" w:lineRule="exact"/>
      <w:jc w:val="both"/>
    </w:pPr>
    <w:rPr>
      <w:rFonts w:ascii="Verdana" w:eastAsia="Times New Roman" w:hAnsi="Verdana"/>
      <w:sz w:val="16"/>
      <w:szCs w:val="20"/>
    </w:rPr>
  </w:style>
  <w:style w:type="paragraph" w:styleId="Seznamsodrkami2">
    <w:name w:val="List Bullet 2"/>
    <w:basedOn w:val="Normln"/>
    <w:uiPriority w:val="99"/>
    <w:pPr>
      <w:numPr>
        <w:ilvl w:val="1"/>
        <w:numId w:val="8"/>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pPr>
      <w:numPr>
        <w:ilvl w:val="2"/>
        <w:numId w:val="8"/>
      </w:numPr>
      <w:spacing w:before="60" w:after="60" w:line="240" w:lineRule="exact"/>
      <w:jc w:val="both"/>
    </w:pPr>
    <w:rPr>
      <w:rFonts w:ascii="Verdana" w:eastAsia="Times New Roman" w:hAnsi="Verdana"/>
      <w:sz w:val="16"/>
    </w:rPr>
  </w:style>
  <w:style w:type="paragraph" w:styleId="Seznamsodrkami4">
    <w:name w:val="List Bullet 4"/>
    <w:basedOn w:val="Normln"/>
    <w:uiPriority w:val="99"/>
    <w:pPr>
      <w:numPr>
        <w:ilvl w:val="3"/>
        <w:numId w:val="8"/>
      </w:numPr>
      <w:spacing w:before="60" w:after="60" w:line="240" w:lineRule="exact"/>
      <w:ind w:left="2381"/>
      <w:jc w:val="both"/>
    </w:pPr>
    <w:rPr>
      <w:rFonts w:ascii="Verdana" w:eastAsia="Times New Roman" w:hAnsi="Verdana"/>
      <w:sz w:val="16"/>
    </w:rPr>
  </w:style>
  <w:style w:type="paragraph" w:styleId="Seznamsodrkami5">
    <w:name w:val="List Bullet 5"/>
    <w:basedOn w:val="Normln"/>
    <w:uiPriority w:val="99"/>
    <w:pPr>
      <w:numPr>
        <w:ilvl w:val="4"/>
        <w:numId w:val="8"/>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qFormat/>
    <w:pPr>
      <w:keepLines/>
      <w:tabs>
        <w:tab w:val="left"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qFormat/>
    <w:pPr>
      <w:spacing w:before="80" w:after="60" w:line="240" w:lineRule="exact"/>
      <w:jc w:val="both"/>
    </w:pPr>
    <w:rPr>
      <w:rFonts w:ascii="Verdana" w:eastAsia="Times New Roman" w:hAnsi="Verdana"/>
      <w:sz w:val="16"/>
      <w:szCs w:val="20"/>
    </w:rPr>
  </w:style>
  <w:style w:type="paragraph" w:styleId="Seznamsodrkami">
    <w:name w:val="List Bullet"/>
    <w:basedOn w:val="Normln"/>
    <w:uiPriority w:val="99"/>
    <w:pPr>
      <w:tabs>
        <w:tab w:val="left" w:pos="720"/>
      </w:tabs>
      <w:ind w:left="720" w:hanging="360"/>
    </w:pPr>
  </w:style>
  <w:style w:type="paragraph" w:customStyle="1" w:styleId="NadpisZD1">
    <w:name w:val="Nadpis ZD 1"/>
    <w:basedOn w:val="Normln"/>
    <w:next w:val="Normln"/>
    <w:uiPriority w:val="99"/>
    <w:qFormat/>
    <w:pPr>
      <w:numPr>
        <w:numId w:val="9"/>
      </w:numPr>
      <w:tabs>
        <w:tab w:val="left" w:pos="510"/>
      </w:tabs>
      <w:spacing w:before="440" w:after="220"/>
    </w:pPr>
    <w:rPr>
      <w:rFonts w:ascii="Verdana" w:eastAsia="Times New Roman" w:hAnsi="Verdana"/>
      <w:b/>
      <w:caps/>
      <w:sz w:val="22"/>
    </w:rPr>
  </w:style>
  <w:style w:type="paragraph" w:customStyle="1" w:styleId="Default">
    <w:name w:val="Default"/>
    <w:uiPriority w:val="99"/>
    <w:qFormat/>
    <w:rPr>
      <w:rFonts w:ascii="Verdana" w:hAnsi="Verdana" w:cs="Verdana"/>
      <w:color w:val="000000"/>
      <w:sz w:val="24"/>
      <w:szCs w:val="24"/>
    </w:rPr>
  </w:style>
  <w:style w:type="paragraph" w:customStyle="1" w:styleId="Odstavecseseznamem1">
    <w:name w:val="Odstavec se seznamem1"/>
    <w:basedOn w:val="Normln"/>
    <w:uiPriority w:val="99"/>
    <w:qFormat/>
    <w:pPr>
      <w:ind w:left="720"/>
      <w:contextualSpacing/>
    </w:pPr>
    <w:rPr>
      <w:rFonts w:eastAsia="Times New Roman"/>
      <w:lang w:val="sk-SK" w:eastAsia="sk-SK"/>
    </w:rPr>
  </w:style>
  <w:style w:type="paragraph" w:styleId="FormtovanvHTML">
    <w:name w:val="HTML Preformatted"/>
    <w:basedOn w:val="Normln"/>
    <w:link w:val="Formtovanv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Odstavecseseznamem">
    <w:name w:val="List Paragraph"/>
    <w:basedOn w:val="Normln"/>
    <w:link w:val="OdstavecseseznamemChar"/>
    <w:uiPriority w:val="34"/>
    <w:qFormat/>
    <w:pPr>
      <w:ind w:left="708"/>
    </w:pPr>
    <w:rPr>
      <w:rFonts w:eastAsia="Times New Roman"/>
    </w:rPr>
  </w:style>
  <w:style w:type="paragraph" w:customStyle="1" w:styleId="Odstavec1">
    <w:name w:val="Odstavec 1."/>
    <w:basedOn w:val="Normln"/>
    <w:uiPriority w:val="99"/>
    <w:qFormat/>
    <w:pPr>
      <w:keepNext/>
      <w:numPr>
        <w:numId w:val="10"/>
      </w:numPr>
      <w:spacing w:before="360" w:after="120"/>
    </w:pPr>
    <w:rPr>
      <w:rFonts w:eastAsia="Times New Roman"/>
      <w:b/>
      <w:bCs/>
    </w:rPr>
  </w:style>
  <w:style w:type="paragraph" w:customStyle="1" w:styleId="Odstavec11">
    <w:name w:val="Odstavec 1.1"/>
    <w:basedOn w:val="Normln"/>
    <w:uiPriority w:val="99"/>
    <w:qFormat/>
    <w:pPr>
      <w:numPr>
        <w:ilvl w:val="1"/>
        <w:numId w:val="10"/>
      </w:numPr>
      <w:spacing w:before="120"/>
    </w:pPr>
    <w:rPr>
      <w:rFonts w:eastAsia="Times New Roman"/>
      <w:sz w:val="20"/>
    </w:rPr>
  </w:style>
  <w:style w:type="paragraph" w:styleId="Revize">
    <w:name w:val="Revision"/>
    <w:uiPriority w:val="99"/>
    <w:semiHidden/>
    <w:qFormat/>
    <w:rPr>
      <w:rFonts w:eastAsia="MS Mincho"/>
      <w:sz w:val="24"/>
      <w:szCs w:val="24"/>
    </w:rPr>
  </w:style>
  <w:style w:type="paragraph" w:styleId="Hlavikarejstku">
    <w:name w:val="index heading"/>
    <w:basedOn w:val="Nadpis"/>
  </w:style>
  <w:style w:type="paragraph" w:styleId="Nadpisobsahu">
    <w:name w:val="TOC Heading"/>
    <w:basedOn w:val="Nadpis1"/>
    <w:next w:val="Normln"/>
    <w:uiPriority w:val="99"/>
    <w:qFormat/>
    <w:pPr>
      <w:keepLines/>
      <w:spacing w:before="480" w:line="276" w:lineRule="auto"/>
      <w:jc w:val="left"/>
      <w:outlineLvl w:val="9"/>
    </w:pPr>
    <w:rPr>
      <w:rFonts w:ascii="Cambria" w:eastAsia="Times New Roman" w:hAnsi="Cambria"/>
      <w:bCs/>
      <w:color w:val="365F91"/>
      <w:sz w:val="28"/>
    </w:rPr>
  </w:style>
  <w:style w:type="paragraph" w:customStyle="1" w:styleId="ZD1">
    <w:name w:val="ZD 1"/>
    <w:basedOn w:val="Nadpis1"/>
    <w:uiPriority w:val="99"/>
    <w:qFormat/>
    <w:pPr>
      <w:numPr>
        <w:numId w:val="11"/>
      </w:numPr>
      <w:tabs>
        <w:tab w:val="left" w:pos="284"/>
      </w:tabs>
      <w:ind w:left="720"/>
      <w:jc w:val="both"/>
    </w:pPr>
    <w:rPr>
      <w:rFonts w:ascii="Garamond" w:hAnsi="Garamond"/>
      <w:color w:val="984806"/>
      <w:sz w:val="36"/>
      <w:szCs w:val="40"/>
    </w:rPr>
  </w:style>
  <w:style w:type="paragraph" w:styleId="Nzev">
    <w:name w:val="Title"/>
    <w:basedOn w:val="Normln"/>
    <w:next w:val="Normln"/>
    <w:link w:val="NzevChar"/>
    <w:uiPriority w:val="10"/>
    <w:qFormat/>
    <w:pPr>
      <w:spacing w:before="240" w:after="60"/>
      <w:jc w:val="center"/>
      <w:outlineLvl w:val="0"/>
    </w:pPr>
    <w:rPr>
      <w:rFonts w:ascii="Cambria" w:eastAsia="Cambria" w:hAnsi="Cambria" w:cs="Cambria"/>
      <w:b/>
      <w:bCs/>
      <w:sz w:val="32"/>
      <w:szCs w:val="32"/>
    </w:rPr>
  </w:style>
  <w:style w:type="paragraph" w:customStyle="1" w:styleId="Normal2">
    <w:name w:val="Normal 2"/>
    <w:basedOn w:val="Normln"/>
    <w:qFormat/>
    <w:pPr>
      <w:spacing w:after="120"/>
      <w:ind w:left="851"/>
      <w:jc w:val="both"/>
    </w:pPr>
    <w:rPr>
      <w:rFonts w:eastAsia="Times New Roman"/>
      <w:sz w:val="22"/>
      <w:szCs w:val="20"/>
      <w:lang w:eastAsia="en-US"/>
    </w:rPr>
  </w:style>
  <w:style w:type="paragraph" w:styleId="Prosttext">
    <w:name w:val="Plain Text"/>
    <w:basedOn w:val="Normln"/>
    <w:link w:val="ProsttextChar"/>
    <w:uiPriority w:val="99"/>
    <w:qFormat/>
    <w:rPr>
      <w:rFonts w:ascii="Courier New" w:eastAsia="Times New Roman" w:hAnsi="Courier New" w:cs="Courier New"/>
      <w:sz w:val="20"/>
      <w:szCs w:val="20"/>
    </w:rPr>
  </w:style>
  <w:style w:type="paragraph" w:customStyle="1" w:styleId="Odka1">
    <w:name w:val="Oádka1"/>
    <w:qFormat/>
    <w:pPr>
      <w:widowControl w:val="0"/>
      <w:ind w:left="-227"/>
      <w:jc w:val="both"/>
    </w:pPr>
    <w:rPr>
      <w:color w:val="000000"/>
      <w:sz w:val="24"/>
      <w:szCs w:val="20"/>
      <w:lang w:eastAsia="zh-CN"/>
    </w:rPr>
  </w:style>
  <w:style w:type="paragraph" w:styleId="Textvysvtlivek">
    <w:name w:val="endnote text"/>
    <w:basedOn w:val="Normln"/>
    <w:link w:val="TextvysvtlivekChar"/>
    <w:uiPriority w:val="99"/>
    <w:semiHidden/>
    <w:unhideWhenUsed/>
    <w:rPr>
      <w:sz w:val="20"/>
      <w:szCs w:val="20"/>
    </w:rPr>
  </w:style>
  <w:style w:type="paragraph" w:styleId="Bezmezer">
    <w:name w:val="No Spacing"/>
    <w:link w:val="BezmezerChar"/>
    <w:uiPriority w:val="1"/>
    <w:qFormat/>
    <w:rPr>
      <w:rFonts w:ascii="Calibri" w:eastAsia="Calibri" w:hAnsi="Calibri"/>
      <w:lang w:eastAsia="en-US"/>
    </w:rPr>
  </w:style>
  <w:style w:type="paragraph" w:customStyle="1" w:styleId="docdata">
    <w:name w:val="docdata"/>
    <w:basedOn w:val="Normln"/>
    <w:qFormat/>
    <w:pPr>
      <w:spacing w:beforeAutospacing="1" w:afterAutospacing="1"/>
    </w:pPr>
    <w:rPr>
      <w:rFonts w:eastAsia="Times New Roman"/>
    </w:rPr>
  </w:style>
  <w:style w:type="paragraph" w:customStyle="1" w:styleId="BodyText21">
    <w:name w:val="Body Text 21"/>
    <w:basedOn w:val="Normln"/>
    <w:uiPriority w:val="99"/>
    <w:qFormat/>
    <w:rsid w:val="00FA27A2"/>
    <w:pPr>
      <w:widowControl w:val="0"/>
      <w:jc w:val="both"/>
    </w:pPr>
    <w:rPr>
      <w:rFonts w:eastAsia="Times New Roman"/>
      <w:sz w:val="22"/>
      <w:szCs w:val="20"/>
    </w:rPr>
  </w:style>
  <w:style w:type="paragraph" w:customStyle="1" w:styleId="Obsahtabulkyuser">
    <w:name w:val="Obsah tabulky (user)"/>
    <w:basedOn w:val="Normln"/>
    <w:qFormat/>
    <w:pPr>
      <w:widowControl w:val="0"/>
      <w:suppressLineNumbers/>
    </w:pPr>
  </w:style>
  <w:style w:type="paragraph" w:customStyle="1" w:styleId="Nadpistabulkyuser">
    <w:name w:val="Nadpis tabulky (user)"/>
    <w:basedOn w:val="Obsahtabulkyuser"/>
    <w:qFormat/>
    <w:pPr>
      <w:jc w:val="center"/>
    </w:pPr>
    <w:rPr>
      <w:b/>
      <w:bCs/>
    </w:rPr>
  </w:style>
  <w:style w:type="numbering" w:styleId="111111">
    <w:name w:val="Outline List 2"/>
    <w:uiPriority w:val="99"/>
    <w:semiHidden/>
    <w:unhideWhenUsed/>
    <w:qFormat/>
  </w:style>
  <w:style w:type="numbering" w:customStyle="1" w:styleId="StylToR3Arial12Tun">
    <w:name w:val="Styl ToR 3 Arial 12 + Tučné"/>
    <w:qFormat/>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FFFFFF"/>
      </w:tcPr>
    </w:tblStylePr>
    <w:tblStylePr w:type="lastRow">
      <w:rPr>
        <w:i/>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rPr>
      <w:tblPr/>
      <w:tcPr>
        <w:tcBorders>
          <w:right w:val="single" w:sz="4" w:space="0" w:color="404040"/>
        </w:tcBorders>
        <w:shd w:val="clear" w:color="FFFFFF" w:fill="FFFFFF"/>
      </w:tcPr>
    </w:tblStylePr>
    <w:tblStylePr w:type="lastCol">
      <w:rPr>
        <w:i/>
      </w:rPr>
      <w:tblPr/>
      <w:tcPr>
        <w:tcBorders>
          <w:left w:val="single" w:sz="4" w:space="0" w:color="404040"/>
        </w:tcBorders>
        <w:shd w:val="clear" w:color="FFFFFF" w:fill="FFFFFF"/>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FFFFFF"/>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FFFFFF"/>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FFFFFF"/>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FFFFFF"/>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lntabulka"/>
    <w:uiPriority w:val="99"/>
    <w:rPr>
      <w:sz w:val="20"/>
      <w:szCs w:val="20"/>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Normlntabulka"/>
    <w:uiPriority w:val="99"/>
    <w:rPr>
      <w:sz w:val="20"/>
      <w:szCs w:val="20"/>
    </w:rPr>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lntabulka"/>
    <w:uiPriority w:val="99"/>
    <w:rPr>
      <w:sz w:val="20"/>
      <w:szCs w:val="20"/>
    </w:rPr>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lntabulka"/>
    <w:uiPriority w:val="99"/>
    <w:rPr>
      <w:sz w:val="20"/>
      <w:szCs w:val="20"/>
    </w:rPr>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lntabulka"/>
    <w:uiPriority w:val="99"/>
    <w:rPr>
      <w:sz w:val="20"/>
      <w:szCs w:val="20"/>
    </w:rPr>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lntabulka"/>
    <w:uiPriority w:val="99"/>
    <w:rPr>
      <w:sz w:val="20"/>
      <w:szCs w:val="20"/>
    </w:rPr>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lntabulka"/>
    <w:uiPriority w:val="99"/>
    <w:rPr>
      <w:sz w:val="20"/>
      <w:szCs w:val="20"/>
    </w:rPr>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lntabulka"/>
    <w:uiPriority w:val="99"/>
    <w:rPr>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Normlntabulka"/>
    <w:uiPriority w:val="99"/>
    <w:rPr>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lntabulka"/>
    <w:uiPriority w:val="99"/>
    <w:rPr>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lntabulka"/>
    <w:uiPriority w:val="99"/>
    <w:rPr>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lntabulka"/>
    <w:uiPriority w:val="99"/>
    <w:rPr>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lntabulka"/>
    <w:uiPriority w:val="99"/>
    <w:rPr>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lntabulka"/>
    <w:uiPriority w:val="99"/>
    <w:rPr>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Mkatabulky">
    <w:name w:val="Table Grid"/>
    <w:basedOn w:val="Normlntabulka"/>
    <w:uiPriority w:val="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Barevntabulka1">
    <w:name w:val="Table Colorful 1"/>
    <w:basedOn w:val="Normlntabulka"/>
    <w:uiPriority w:val="99"/>
    <w:rPr>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FFFFFF" w:fill="FFFFFF"/>
    </w:tcPr>
    <w:tblStylePr w:type="firstRow">
      <w:rPr>
        <w:b/>
        <w:bCs/>
        <w:i/>
      </w:rPr>
      <w:tblPr/>
      <w:tcPr>
        <w:shd w:val="solid" w:color="FFFFFF" w:fill="FFFFFF"/>
      </w:tcPr>
    </w:tblStylePr>
    <w:tblStylePr w:type="firstCol">
      <w:rPr>
        <w:b/>
        <w:bCs/>
        <w:i/>
      </w:rPr>
      <w:tblPr/>
      <w:tcPr>
        <w:shd w:val="solid" w:color="FFFFFF" w:fill="FFFFFF"/>
      </w:tcPr>
    </w:tblStylePr>
    <w:tblStylePr w:type="nwCell">
      <w:tblPr/>
      <w:tcPr>
        <w:shd w:val="solid" w:color="FFFFFF" w:fill="FFFFFF"/>
      </w:tcPr>
    </w:tblStylePr>
    <w:tblStylePr w:type="swCell">
      <w:rPr>
        <w:b/>
        <w:bCs/>
        <w:i w:val="0"/>
      </w:rPr>
    </w:tblStylePr>
  </w:style>
  <w:style w:type="table" w:styleId="Barevntabulka2">
    <w:name w:val="Table Colorful 2"/>
    <w:basedOn w:val="Normlntabulka"/>
    <w:uiPriority w:val="99"/>
    <w:rPr>
      <w:sz w:val="20"/>
      <w:szCs w:val="20"/>
    </w:rPr>
    <w:tblPr>
      <w:tblBorders>
        <w:bottom w:val="single" w:sz="12" w:space="0" w:color="000000"/>
      </w:tblBorders>
    </w:tblPr>
    <w:tcPr>
      <w:shd w:val="pct20" w:color="FFFFFF" w:fill="FFFFFF"/>
    </w:tcPr>
    <w:tblStylePr w:type="firstRow">
      <w:rPr>
        <w:b/>
        <w:bCs/>
        <w:i/>
      </w:rPr>
      <w:tblPr/>
      <w:tcPr>
        <w:tcBorders>
          <w:bottom w:val="single" w:sz="12" w:space="0" w:color="000000"/>
        </w:tcBorders>
        <w:shd w:val="solid" w:color="FFFFFF" w:fill="FFFFFF"/>
      </w:tcPr>
    </w:tblStylePr>
    <w:tblStylePr w:type="firstCol">
      <w:rPr>
        <w:b/>
        <w:bCs/>
        <w:i/>
      </w:rPr>
    </w:tblStylePr>
    <w:tblStylePr w:type="lastCol">
      <w:tblPr/>
      <w:tcPr>
        <w:shd w:val="solid" w:color="FFFFFF" w:fill="FFFFFF"/>
      </w:tcPr>
    </w:tblStylePr>
    <w:tblStylePr w:type="swCell">
      <w:rPr>
        <w:b/>
        <w:bCs/>
        <w:i w:val="0"/>
      </w:rPr>
    </w:tblStylePr>
  </w:style>
  <w:style w:type="table" w:styleId="Barevntabulka3">
    <w:name w:val="Table Colorful 3"/>
    <w:basedOn w:val="Normlntabulka"/>
    <w:uiPriority w:val="99"/>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FFFFFF" w:fill="FFFFFF"/>
    </w:tcPr>
    <w:tblStylePr w:type="firstRow">
      <w:tblPr/>
      <w:tcPr>
        <w:tcBorders>
          <w:bottom w:val="single" w:sz="6" w:space="0" w:color="000000"/>
        </w:tcBorders>
        <w:shd w:val="solid" w:color="FFFFFF" w:fill="FFFFFF"/>
      </w:tcPr>
    </w:tblStylePr>
    <w:tblStylePr w:type="firstCol">
      <w:tblPr/>
      <w:tcPr>
        <w:tcBorders>
          <w:left w:val="single" w:sz="36" w:space="0" w:color="000000"/>
          <w:right w:val="single" w:sz="6" w:space="0" w:color="000000"/>
        </w:tcBorders>
        <w:shd w:val="solid" w:color="FFFFFF" w:fill="FFFFFF"/>
      </w:tcPr>
    </w:tblStylePr>
    <w:tblStylePr w:type="nwCell">
      <w:rPr>
        <w:b/>
        <w:bCs/>
      </w:rPr>
      <w:tblPr/>
      <w:tcPr>
        <w:shd w:val="solid" w:color="FFFFFF" w:fill="FFFFFF"/>
      </w:tcPr>
    </w:tblStylePr>
  </w:style>
  <w:style w:type="table" w:styleId="Elegantntabulka">
    <w:name w:val="Table Elegant"/>
    <w:basedOn w:val="Normlntabulka"/>
    <w:uiPriority w:val="9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rPr>
    </w:tblStylePr>
  </w:style>
  <w:style w:type="table" w:styleId="Jednoduchtabulka1">
    <w:name w:val="Table Simple 1"/>
    <w:basedOn w:val="Normlntabulka"/>
    <w:uiPriority w:val="99"/>
    <w:rPr>
      <w:sz w:val="20"/>
      <w:szCs w:val="20"/>
    </w:rPr>
    <w:tblPr>
      <w:tblBorders>
        <w:top w:val="single" w:sz="12" w:space="0" w:color="008000"/>
        <w:bottom w:val="single" w:sz="12" w:space="0" w:color="008000"/>
      </w:tblBorders>
    </w:tbl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Klasicktabulka2">
    <w:name w:val="Table Classic 2"/>
    <w:basedOn w:val="Normlntabulka"/>
    <w:uiPriority w:val="99"/>
    <w:rPr>
      <w:sz w:val="20"/>
      <w:szCs w:val="20"/>
    </w:rPr>
    <w:tblPr>
      <w:tblBorders>
        <w:top w:val="single" w:sz="12" w:space="0" w:color="000000"/>
        <w:bottom w:val="single" w:sz="12" w:space="0" w:color="000000"/>
      </w:tblBorders>
    </w:tblPr>
    <w:tblStylePr w:type="firstRow">
      <w:tblPr/>
      <w:tcPr>
        <w:tcBorders>
          <w:bottom w:val="single" w:sz="6" w:space="0" w:color="000000"/>
        </w:tcBorders>
        <w:shd w:val="solid" w:color="FFFFFF" w:fill="FFFFFF"/>
      </w:tcPr>
    </w:tblStylePr>
    <w:tblStylePr w:type="lastRow">
      <w:tblPr/>
      <w:tcPr>
        <w:tcBorders>
          <w:top w:val="single" w:sz="6" w:space="0" w:color="000000"/>
        </w:tcBorders>
      </w:tcPr>
    </w:tblStylePr>
    <w:tblStylePr w:type="firstCol">
      <w:rPr>
        <w:b/>
        <w:bCs/>
      </w:rPr>
      <w:tblPr/>
      <w:tcPr>
        <w:shd w:val="solid" w:color="FFFFFF" w:fill="FFFFFF"/>
      </w:tcPr>
    </w:tblStylePr>
    <w:tblStylePr w:type="neCell">
      <w:rPr>
        <w:b/>
        <w:bCs/>
      </w:rPr>
    </w:tblStylePr>
    <w:tblStylePr w:type="nwCell">
      <w:tblPr/>
      <w:tcPr>
        <w:shd w:val="solid" w:color="FFFFFF" w:fill="FFFFFF"/>
      </w:tcPr>
    </w:tblStylePr>
  </w:style>
  <w:style w:type="table" w:styleId="Klasicktabulka3">
    <w:name w:val="Table Classic 3"/>
    <w:basedOn w:val="Normlntabulka"/>
    <w:uiPriority w:val="99"/>
    <w:rPr>
      <w:sz w:val="20"/>
      <w:szCs w:val="20"/>
    </w:rPr>
    <w:tblPr>
      <w:tblBorders>
        <w:top w:val="single" w:sz="12" w:space="0" w:color="000000"/>
        <w:left w:val="single" w:sz="12" w:space="0" w:color="000000"/>
        <w:bottom w:val="single" w:sz="12" w:space="0" w:color="000000"/>
        <w:right w:val="single" w:sz="12" w:space="0" w:color="000000"/>
      </w:tblBorders>
    </w:tblPr>
    <w:tcPr>
      <w:shd w:val="solid" w:color="FFFFFF" w:fill="FFFFFF"/>
    </w:tcPr>
    <w:tblStylePr w:type="firstRow">
      <w:rPr>
        <w:b/>
        <w:bCs/>
        <w:i/>
      </w:rPr>
      <w:tblPr/>
      <w:tcPr>
        <w:tcBorders>
          <w:bottom w:val="single" w:sz="6" w:space="0" w:color="000000"/>
        </w:tcBorders>
        <w:shd w:val="solid" w:color="FFFFFF" w:fill="FFFFFF"/>
      </w:tcPr>
    </w:tblStylePr>
    <w:tblStylePr w:type="lastRow">
      <w:tblPr/>
      <w:tcPr>
        <w:tcBorders>
          <w:top w:val="single" w:sz="12" w:space="0" w:color="000000"/>
        </w:tcBorders>
        <w:shd w:val="solid" w:color="FFFFFF" w:fill="FFFFFF"/>
      </w:tcPr>
    </w:tblStylePr>
    <w:tblStylePr w:type="firstCol">
      <w:rPr>
        <w:b/>
        <w:bCs/>
      </w:rPr>
    </w:tblStylePr>
  </w:style>
  <w:style w:type="table" w:styleId="Tabulkajakoseznam8">
    <w:name w:val="Table List 8"/>
    <w:basedOn w:val="Normlntabulka"/>
    <w:uiPriority w:val="99"/>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cBorders>
        <w:shd w:val="solid" w:color="FFFFFF"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tblPr/>
      <w:tcPr>
        <w:shd w:val="pct25" w:color="FFFFFF" w:fill="FFFFFF"/>
      </w:tcPr>
    </w:tblStylePr>
    <w:tblStylePr w:type="band2Horz">
      <w:tblPr/>
      <w:tcPr>
        <w:shd w:val="pct50" w:color="FFFFFF" w:fill="FFFFFF"/>
      </w:tcPr>
    </w:tblStylePr>
  </w:style>
  <w:style w:type="table" w:styleId="Stednstnovn2zvraznn6">
    <w:name w:val="Medium Shading 2 Accent 6"/>
    <w:basedOn w:val="Normlntabulka"/>
    <w:uiPriority w:val="99"/>
    <w:rPr>
      <w:sz w:val="20"/>
      <w:szCs w:val="20"/>
    </w:rPr>
    <w:tblPr>
      <w:tblStyleRowBandSize w:val="1"/>
      <w:tblStyleColBandSize w:val="1"/>
      <w:tblBorders>
        <w:top w:val="single" w:sz="18" w:space="0" w:color="000000"/>
        <w:bottom w:val="single" w:sz="18" w:space="0" w:color="000000"/>
      </w:tblBorders>
    </w:tblPr>
    <w:tblStylePr w:type="firstRow">
      <w:pPr>
        <w:spacing w:before="0" w:after="0"/>
      </w:pPr>
      <w:rPr>
        <w:b/>
        <w:bCs/>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F79646" w:fill="F79646"/>
      </w:tcPr>
    </w:tblStylePr>
    <w:tblStylePr w:type="lastRow">
      <w:pPr>
        <w:spacing w:before="0" w:after="0"/>
      </w:p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FFFFFF" w:fill="FFFFFF"/>
      </w:tcPr>
    </w:tblStylePr>
    <w:tblStylePr w:type="firstCol">
      <w:rPr>
        <w:b/>
        <w:bCs/>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F79646" w:fill="F79646"/>
      </w:tcPr>
    </w:tblStylePr>
    <w:tblStylePr w:type="lastCol">
      <w:rPr>
        <w:b/>
        <w:bCs/>
      </w:rPr>
      <w:tblPr/>
      <w:tcPr>
        <w:tcBorders>
          <w:left w:val="none" w:sz="4" w:space="0" w:color="000000"/>
          <w:right w:val="none" w:sz="4" w:space="0" w:color="000000"/>
          <w:insideH w:val="none" w:sz="4" w:space="0" w:color="000000"/>
          <w:insideV w:val="none" w:sz="4" w:space="0" w:color="000000"/>
        </w:tcBorders>
        <w:shd w:val="clear" w:color="F79646" w:fill="F79646"/>
      </w:tcPr>
    </w:tblStylePr>
    <w:tblStylePr w:type="band1Vert">
      <w:tblPr/>
      <w:tcPr>
        <w:tcBorders>
          <w:left w:val="none" w:sz="4" w:space="0" w:color="000000"/>
          <w:right w:val="none" w:sz="4" w:space="0" w:color="000000"/>
          <w:insideH w:val="none" w:sz="4" w:space="0" w:color="000000"/>
          <w:insideV w:val="none" w:sz="4" w:space="0" w:color="000000"/>
        </w:tcBorders>
        <w:shd w:val="clear" w:color="D8D8D8" w:fill="D8D8D8"/>
      </w:tcPr>
    </w:tblStylePr>
    <w:tblStylePr w:type="band1Horz">
      <w:tblPr/>
      <w:tcPr>
        <w:shd w:val="clear" w:color="D8D8D8" w:fill="D8D8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7060">
      <w:bodyDiv w:val="1"/>
      <w:marLeft w:val="0"/>
      <w:marRight w:val="0"/>
      <w:marTop w:val="0"/>
      <w:marBottom w:val="0"/>
      <w:divBdr>
        <w:top w:val="none" w:sz="0" w:space="0" w:color="auto"/>
        <w:left w:val="none" w:sz="0" w:space="0" w:color="auto"/>
        <w:bottom w:val="none" w:sz="0" w:space="0" w:color="auto"/>
        <w:right w:val="none" w:sz="0" w:space="0" w:color="auto"/>
      </w:divBdr>
      <w:divsChild>
        <w:div w:id="135489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tel:+42037763226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DD8F774-801F-498D-A8BD-C8D1109B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4495</Words>
  <Characters>26525</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Zadávací</vt:lpstr>
    </vt:vector>
  </TitlesOfParts>
  <Company>Západočeská Univerzita</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subject/>
  <dc:creator>ZCU</dc:creator>
  <dc:description/>
  <cp:lastModifiedBy>Blanka Grebeňová</cp:lastModifiedBy>
  <cp:revision>2</cp:revision>
  <cp:lastPrinted>2025-10-23T10:09:00Z</cp:lastPrinted>
  <dcterms:created xsi:type="dcterms:W3CDTF">2025-11-26T12:09:00Z</dcterms:created>
  <dcterms:modified xsi:type="dcterms:W3CDTF">2025-11-26T12:09:00Z</dcterms:modified>
  <dc:language>cs-CZ</dc:language>
</cp:coreProperties>
</file>