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31480" w14:textId="77777777" w:rsidR="00BA6339" w:rsidRDefault="00BA633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color w:val="0433FF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2D640CE" w14:textId="1D692293" w:rsidR="00BA6339" w:rsidRDefault="000515D9">
      <w:pPr>
        <w:pStyle w:val="Vchoz"/>
        <w:ind w:firstLine="5386"/>
        <w:rPr>
          <w:rFonts w:ascii="Times New Roman" w:eastAsia="Times New Roman" w:hAnsi="Times New Roman" w:cs="Times New Roman"/>
          <w:b/>
          <w:bCs/>
          <w:color w:val="941100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color w:val="941100"/>
          <w:sz w:val="24"/>
          <w:szCs w:val="24"/>
          <w:u w:color="000000"/>
        </w:rPr>
        <w:t xml:space="preserve">Společnost pro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E7B00EF" wp14:editId="6560346C">
                <wp:simplePos x="0" y="0"/>
                <wp:positionH relativeFrom="page">
                  <wp:posOffset>1239305</wp:posOffset>
                </wp:positionH>
                <wp:positionV relativeFrom="page">
                  <wp:posOffset>3183972</wp:posOffset>
                </wp:positionV>
                <wp:extent cx="4699000" cy="3213100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321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A7610" w14:textId="77777777" w:rsidR="000515D9" w:rsidRDefault="000515D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B00EF" id="officeArt object" o:spid="_x0000_s1026" style="position:absolute;left:0;text-align:left;margin-left:97.6pt;margin-top:250.7pt;width:370pt;height:253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" filled="f" stroked="f">
                <v:textbox style="mso-fit-shape-to-text:t" inset="0,0,0,0">
                  <w:txbxContent>
                    <w:p w14:paraId="781A7610" w14:textId="77777777" w:rsidR="000515D9" w:rsidRDefault="000515D9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941100"/>
          <w:sz w:val="24"/>
          <w:szCs w:val="24"/>
          <w:u w:color="000000"/>
        </w:rPr>
        <w:t xml:space="preserve">historii </w:t>
      </w:r>
      <w:proofErr w:type="gramStart"/>
      <w:r>
        <w:rPr>
          <w:rFonts w:ascii="Times New Roman" w:hAnsi="Times New Roman"/>
          <w:b/>
          <w:bCs/>
          <w:color w:val="941100"/>
          <w:sz w:val="24"/>
          <w:szCs w:val="24"/>
          <w:u w:color="000000"/>
        </w:rPr>
        <w:t xml:space="preserve">GRYFF </w:t>
      </w:r>
      <w:proofErr w:type="spellStart"/>
      <w:r>
        <w:rPr>
          <w:rFonts w:ascii="Times New Roman" w:hAnsi="Times New Roman"/>
          <w:b/>
          <w:bCs/>
          <w:color w:val="941100"/>
          <w:sz w:val="24"/>
          <w:szCs w:val="24"/>
          <w:u w:color="000000"/>
        </w:rPr>
        <w:t>z.s</w:t>
      </w:r>
      <w:proofErr w:type="spellEnd"/>
      <w:r>
        <w:rPr>
          <w:rFonts w:ascii="Times New Roman" w:hAnsi="Times New Roman"/>
          <w:b/>
          <w:bCs/>
          <w:color w:val="941100"/>
          <w:sz w:val="24"/>
          <w:szCs w:val="24"/>
          <w:u w:color="000000"/>
        </w:rPr>
        <w:t>.</w:t>
      </w:r>
      <w:proofErr w:type="gramEnd"/>
    </w:p>
    <w:p w14:paraId="4080CB32" w14:textId="77777777" w:rsidR="00BA6339" w:rsidRDefault="000515D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Záhumenní </w:t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214, </w:t>
      </w:r>
    </w:p>
    <w:p w14:paraId="28000506" w14:textId="77777777" w:rsidR="00BA6339" w:rsidRDefault="000515D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708 00 Ostrava 8</w:t>
      </w:r>
    </w:p>
    <w:p w14:paraId="23CD7213" w14:textId="77777777" w:rsidR="00BA6339" w:rsidRDefault="000515D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</w:rPr>
        <w:t>ičo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05886317</w:t>
      </w:r>
    </w:p>
    <w:p w14:paraId="1B9E13E7" w14:textId="77777777" w:rsidR="00BA6339" w:rsidRDefault="000515D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nejsme plátci DPH </w:t>
      </w:r>
    </w:p>
    <w:p w14:paraId="1A6E45F5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37E94F5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A254362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296F247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3D94204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0C68472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AD3F70A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0B8E439" w14:textId="77777777" w:rsidR="00BA6339" w:rsidRDefault="00BA6339">
      <w:pPr>
        <w:pStyle w:val="Vchoz"/>
        <w:ind w:firstLine="538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0180AEA" w14:textId="77777777" w:rsidR="00BA6339" w:rsidRDefault="000515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Smlouva o provedení uměleckého projektu</w:t>
      </w:r>
    </w:p>
    <w:p w14:paraId="4567934B" w14:textId="77777777" w:rsidR="00BA6339" w:rsidRDefault="00BA633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Arial" w:eastAsia="Arial" w:hAnsi="Arial" w:cs="Arial"/>
          <w:b/>
          <w:bCs/>
          <w:sz w:val="32"/>
          <w:szCs w:val="32"/>
        </w:rPr>
      </w:pPr>
    </w:p>
    <w:p w14:paraId="318A72D9" w14:textId="77777777" w:rsidR="00BA6339" w:rsidRDefault="000515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mezi</w:t>
      </w:r>
    </w:p>
    <w:p w14:paraId="2764B711" w14:textId="77777777" w:rsidR="00BA6339" w:rsidRDefault="00BA633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Arial" w:eastAsia="Arial" w:hAnsi="Arial" w:cs="Arial"/>
          <w:b/>
          <w:bCs/>
        </w:rPr>
      </w:pPr>
    </w:p>
    <w:p w14:paraId="5DCFBE8C" w14:textId="77777777" w:rsidR="00BA6339" w:rsidRDefault="000515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sz w:val="26"/>
          <w:szCs w:val="26"/>
        </w:rPr>
        <w:t>1. smluvní strana</w:t>
      </w:r>
    </w:p>
    <w:p w14:paraId="05CDE39E" w14:textId="77777777" w:rsidR="00BA6339" w:rsidRDefault="000515D9">
      <w:pPr>
        <w:pStyle w:val="Vchoz"/>
        <w:rPr>
          <w:rFonts w:ascii="Arial" w:eastAsia="Arial" w:hAnsi="Arial" w:cs="Arial"/>
          <w:b/>
          <w:bCs/>
          <w:color w:val="000080"/>
          <w:sz w:val="24"/>
          <w:szCs w:val="24"/>
          <w:u w:color="000080"/>
        </w:rPr>
      </w:pPr>
      <w:r>
        <w:rPr>
          <w:rFonts w:ascii="Arial" w:hAnsi="Arial"/>
          <w:b/>
          <w:bCs/>
          <w:sz w:val="24"/>
          <w:szCs w:val="24"/>
          <w:u w:color="000080"/>
        </w:rPr>
        <w:t>Společnost pro historii GRYFF z.s.</w:t>
      </w:r>
    </w:p>
    <w:p w14:paraId="46A1E74F" w14:textId="77777777" w:rsidR="00BA6339" w:rsidRDefault="000515D9">
      <w:pPr>
        <w:pStyle w:val="Vchoz"/>
        <w:rPr>
          <w:rFonts w:ascii="Arial" w:eastAsia="Arial" w:hAnsi="Arial" w:cs="Arial"/>
          <w:sz w:val="24"/>
          <w:szCs w:val="24"/>
          <w:u w:color="000080"/>
        </w:rPr>
      </w:pPr>
      <w:r>
        <w:rPr>
          <w:rFonts w:ascii="Arial" w:hAnsi="Arial"/>
          <w:sz w:val="24"/>
          <w:szCs w:val="24"/>
          <w:u w:color="000080"/>
        </w:rPr>
        <w:t xml:space="preserve">Záhumenní </w:t>
      </w:r>
      <w:r>
        <w:rPr>
          <w:rFonts w:ascii="Arial" w:hAnsi="Arial"/>
          <w:sz w:val="24"/>
          <w:szCs w:val="24"/>
          <w:u w:color="000080"/>
          <w:lang w:val="de-DE"/>
        </w:rPr>
        <w:t xml:space="preserve">214, </w:t>
      </w:r>
    </w:p>
    <w:p w14:paraId="4C33A368" w14:textId="77777777" w:rsidR="00BA6339" w:rsidRDefault="000515D9">
      <w:pPr>
        <w:pStyle w:val="Vchoz"/>
        <w:rPr>
          <w:rFonts w:ascii="Arial" w:eastAsia="Arial" w:hAnsi="Arial" w:cs="Arial"/>
          <w:sz w:val="24"/>
          <w:szCs w:val="24"/>
          <w:u w:color="000080"/>
        </w:rPr>
      </w:pPr>
      <w:r>
        <w:rPr>
          <w:rFonts w:ascii="Arial" w:hAnsi="Arial"/>
          <w:sz w:val="24"/>
          <w:szCs w:val="24"/>
          <w:u w:color="000080"/>
        </w:rPr>
        <w:t>708 00 Ostrava 8</w:t>
      </w:r>
    </w:p>
    <w:p w14:paraId="7410A139" w14:textId="77777777" w:rsidR="00BA6339" w:rsidRDefault="000515D9">
      <w:pPr>
        <w:pStyle w:val="Vchoz"/>
        <w:rPr>
          <w:rFonts w:ascii="Arial" w:eastAsia="Arial" w:hAnsi="Arial" w:cs="Arial"/>
          <w:sz w:val="24"/>
          <w:szCs w:val="24"/>
          <w:u w:color="000080"/>
        </w:rPr>
      </w:pPr>
      <w:proofErr w:type="spellStart"/>
      <w:r>
        <w:rPr>
          <w:rFonts w:ascii="Arial" w:hAnsi="Arial"/>
          <w:sz w:val="24"/>
          <w:szCs w:val="24"/>
          <w:u w:color="000080"/>
        </w:rPr>
        <w:t>ič</w:t>
      </w:r>
      <w:proofErr w:type="spellEnd"/>
      <w:r>
        <w:rPr>
          <w:rFonts w:ascii="Arial" w:hAnsi="Arial"/>
          <w:sz w:val="24"/>
          <w:szCs w:val="24"/>
          <w:u w:color="000080"/>
          <w:lang w:val="pt-PT"/>
        </w:rPr>
        <w:t>o 05886317</w:t>
      </w:r>
      <w:r>
        <w:rPr>
          <w:rFonts w:ascii="Arial" w:hAnsi="Arial"/>
          <w:sz w:val="24"/>
          <w:szCs w:val="24"/>
          <w:u w:color="000080"/>
        </w:rPr>
        <w:t>, nejsme plátci DPH</w:t>
      </w:r>
    </w:p>
    <w:p w14:paraId="3D05FCBF" w14:textId="77777777" w:rsidR="00BA6339" w:rsidRDefault="000515D9">
      <w:pPr>
        <w:pStyle w:val="Vchoz"/>
        <w:rPr>
          <w:rFonts w:ascii="Arial" w:eastAsia="Arial" w:hAnsi="Arial" w:cs="Arial"/>
          <w:sz w:val="24"/>
          <w:szCs w:val="24"/>
          <w:u w:color="000080"/>
        </w:rPr>
      </w:pPr>
      <w:r>
        <w:rPr>
          <w:rFonts w:ascii="Arial" w:hAnsi="Arial"/>
          <w:sz w:val="24"/>
          <w:szCs w:val="24"/>
          <w:u w:color="000080"/>
        </w:rPr>
        <w:t>spisová znač</w:t>
      </w:r>
      <w:r>
        <w:rPr>
          <w:rFonts w:ascii="Arial" w:hAnsi="Arial"/>
          <w:sz w:val="24"/>
          <w:szCs w:val="24"/>
          <w:u w:color="000080"/>
          <w:lang w:val="it-IT"/>
        </w:rPr>
        <w:t>ka L 15810 veden</w:t>
      </w:r>
      <w:r>
        <w:rPr>
          <w:rFonts w:ascii="Arial" w:hAnsi="Arial"/>
          <w:sz w:val="24"/>
          <w:szCs w:val="24"/>
          <w:u w:color="000080"/>
        </w:rPr>
        <w:t>á u Krajsk</w:t>
      </w:r>
      <w:r w:rsidRPr="000515D9">
        <w:rPr>
          <w:rFonts w:ascii="Arial" w:hAnsi="Arial"/>
          <w:sz w:val="24"/>
          <w:szCs w:val="24"/>
          <w:u w:color="000080"/>
        </w:rPr>
        <w:t>é</w:t>
      </w:r>
      <w:r>
        <w:rPr>
          <w:rFonts w:ascii="Arial" w:hAnsi="Arial"/>
          <w:sz w:val="24"/>
          <w:szCs w:val="24"/>
          <w:u w:color="000080"/>
        </w:rPr>
        <w:t>ho soudu v Ostravě</w:t>
      </w:r>
    </w:p>
    <w:p w14:paraId="29BDFABD" w14:textId="14442062" w:rsidR="00BA6339" w:rsidRDefault="005D68A3">
      <w:pPr>
        <w:pStyle w:val="Vchoz"/>
        <w:rPr>
          <w:rFonts w:ascii="Arial" w:eastAsia="Arial" w:hAnsi="Arial" w:cs="Arial"/>
          <w:sz w:val="24"/>
          <w:szCs w:val="24"/>
          <w:u w:color="000080"/>
        </w:rPr>
      </w:pPr>
      <w:proofErr w:type="spellStart"/>
      <w:r>
        <w:rPr>
          <w:rFonts w:ascii="Arial" w:hAnsi="Arial"/>
          <w:sz w:val="24"/>
          <w:szCs w:val="24"/>
          <w:u w:color="000080"/>
        </w:rPr>
        <w:t>čú</w:t>
      </w:r>
      <w:proofErr w:type="spellEnd"/>
    </w:p>
    <w:p w14:paraId="7848E5D8" w14:textId="4425CA8E" w:rsidR="00BA6339" w:rsidRDefault="000515D9">
      <w:pPr>
        <w:pStyle w:val="Vchoz"/>
        <w:rPr>
          <w:rFonts w:ascii="Arial" w:eastAsia="Arial" w:hAnsi="Arial" w:cs="Arial"/>
          <w:sz w:val="24"/>
          <w:szCs w:val="24"/>
          <w:u w:color="000000"/>
        </w:rPr>
      </w:pPr>
      <w:proofErr w:type="spellStart"/>
      <w:r>
        <w:rPr>
          <w:rFonts w:ascii="Arial" w:hAnsi="Arial"/>
          <w:sz w:val="24"/>
          <w:szCs w:val="24"/>
          <w:u w:color="000080"/>
        </w:rPr>
        <w:t>vý</w:t>
      </w:r>
      <w:r>
        <w:rPr>
          <w:rFonts w:ascii="Arial" w:hAnsi="Arial"/>
          <w:sz w:val="24"/>
          <w:szCs w:val="24"/>
          <w:u w:color="000080"/>
          <w:lang w:val="de-DE"/>
        </w:rPr>
        <w:t>konn</w:t>
      </w:r>
      <w:proofErr w:type="spellEnd"/>
      <w:r w:rsidR="005D68A3">
        <w:rPr>
          <w:rFonts w:ascii="Arial" w:hAnsi="Arial"/>
          <w:sz w:val="24"/>
          <w:szCs w:val="24"/>
          <w:u w:color="000080"/>
        </w:rPr>
        <w:t xml:space="preserve">ý ředitel </w:t>
      </w:r>
    </w:p>
    <w:p w14:paraId="1FA690B9" w14:textId="77777777" w:rsidR="00BA6339" w:rsidRPr="000515D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0515D9">
        <w:rPr>
          <w:rFonts w:ascii="Arial" w:hAnsi="Arial" w:cs="Arial Unicode MS"/>
          <w:b/>
          <w:bCs/>
          <w:color w:val="000000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(dále jen spolek)</w:t>
      </w:r>
    </w:p>
    <w:p w14:paraId="540AC96B" w14:textId="77777777" w:rsidR="00BA6339" w:rsidRPr="000515D9" w:rsidRDefault="00BA6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CDE0143" w14:textId="77777777" w:rsidR="00BA6339" w:rsidRPr="000515D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0515D9">
        <w:rPr>
          <w:rFonts w:ascii="Arial" w:hAnsi="Arial" w:cs="Arial Unicode MS"/>
          <w:color w:val="000000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0515D9">
        <w:rPr>
          <w:rFonts w:ascii="Arial" w:hAnsi="Arial" w:cs="Arial Unicode MS"/>
          <w:color w:val="000000"/>
          <w:sz w:val="28"/>
          <w:szCs w:val="28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. smluvní strana</w:t>
      </w:r>
    </w:p>
    <w:p w14:paraId="2BE336B1" w14:textId="77777777" w:rsidR="00BA6339" w:rsidRDefault="000515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</w:rPr>
        <w:t>Městsk</w:t>
      </w:r>
      <w:r w:rsidRPr="000515D9">
        <w:rPr>
          <w:rFonts w:ascii="Arial" w:hAnsi="Arial"/>
          <w:b/>
          <w:bCs/>
          <w:sz w:val="24"/>
          <w:szCs w:val="24"/>
          <w:u w:color="000000"/>
        </w:rPr>
        <w:t xml:space="preserve">é </w:t>
      </w:r>
      <w:r>
        <w:rPr>
          <w:rFonts w:ascii="Arial" w:hAnsi="Arial"/>
          <w:b/>
          <w:bCs/>
          <w:sz w:val="24"/>
          <w:szCs w:val="24"/>
          <w:u w:color="000000"/>
        </w:rPr>
        <w:t>kulturní středisko Havířov</w:t>
      </w:r>
    </w:p>
    <w:p w14:paraId="46B5E57D" w14:textId="77777777" w:rsidR="00BA6339" w:rsidRDefault="000515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 xml:space="preserve">se sídlem: Hlavní </w:t>
      </w:r>
      <w:proofErr w:type="spellStart"/>
      <w:r>
        <w:rPr>
          <w:rFonts w:ascii="Arial" w:hAnsi="Arial"/>
          <w:sz w:val="24"/>
          <w:szCs w:val="24"/>
          <w:u w:color="000000"/>
        </w:rPr>
        <w:t>tř</w:t>
      </w:r>
      <w:proofErr w:type="spellEnd"/>
      <w:r>
        <w:rPr>
          <w:rFonts w:ascii="Arial" w:hAnsi="Arial"/>
          <w:sz w:val="24"/>
          <w:szCs w:val="24"/>
          <w:u w:color="000000"/>
          <w:lang w:val="pt-PT"/>
        </w:rPr>
        <w:t>.246/31a , 736 01 Hav</w:t>
      </w:r>
      <w:proofErr w:type="spellStart"/>
      <w:r>
        <w:rPr>
          <w:rFonts w:ascii="Arial" w:hAnsi="Arial"/>
          <w:sz w:val="24"/>
          <w:szCs w:val="24"/>
          <w:u w:color="000000"/>
        </w:rPr>
        <w:t>ířov</w:t>
      </w:r>
      <w:proofErr w:type="spellEnd"/>
      <w:r>
        <w:rPr>
          <w:rFonts w:ascii="Arial" w:hAnsi="Arial"/>
          <w:sz w:val="24"/>
          <w:szCs w:val="24"/>
          <w:u w:color="000000"/>
        </w:rPr>
        <w:t>-Mě</w:t>
      </w:r>
      <w:r>
        <w:rPr>
          <w:rFonts w:ascii="Arial" w:hAnsi="Arial"/>
          <w:sz w:val="24"/>
          <w:szCs w:val="24"/>
          <w:u w:color="000000"/>
          <w:lang w:val="it-IT"/>
        </w:rPr>
        <w:t xml:space="preserve">sto </w:t>
      </w:r>
    </w:p>
    <w:p w14:paraId="4B31C74C" w14:textId="77777777" w:rsidR="00BA6339" w:rsidRDefault="000515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>IČ: 00317985, DIČ: CZ 00317985</w:t>
      </w:r>
    </w:p>
    <w:p w14:paraId="4FB7951C" w14:textId="77777777" w:rsidR="00BA6339" w:rsidRDefault="000515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 xml:space="preserve">zastoupeno: Mgr. Yvona Dlábková – ředitelka </w:t>
      </w:r>
    </w:p>
    <w:p w14:paraId="50E03F98" w14:textId="77777777" w:rsidR="00BA6339" w:rsidRDefault="000515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 xml:space="preserve">bankovní ústav: Česká spořitelna Havířov a.s. </w:t>
      </w:r>
    </w:p>
    <w:p w14:paraId="45F47DB0" w14:textId="77777777" w:rsidR="00BA6339" w:rsidRDefault="000515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>č. účtu:  1722392389/0800</w:t>
      </w:r>
    </w:p>
    <w:p w14:paraId="4F86B01D" w14:textId="77777777" w:rsidR="00BA6339" w:rsidRDefault="000515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</w:rPr>
        <w:t>(dále jen MKS)</w:t>
      </w:r>
    </w:p>
    <w:p w14:paraId="7D1F26F1" w14:textId="77777777" w:rsidR="00BA6339" w:rsidRPr="000515D9" w:rsidRDefault="00BA6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2F25E6A9" w14:textId="77777777" w:rsidR="00BA6339" w:rsidRPr="000515D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color w:val="000080"/>
          <w:u w:color="00008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0515D9">
        <w:rPr>
          <w:rFonts w:ascii="Arial" w:hAnsi="Arial" w:cs="Arial Unicode MS"/>
          <w:b/>
          <w:bCs/>
          <w:color w:val="000080"/>
          <w:u w:color="000080"/>
          <w:lang w:val="cs-CZ"/>
          <w14:textOutline w14:w="0" w14:cap="flat" w14:cmpd="sng" w14:algn="ctr">
            <w14:noFill/>
            <w14:prstDash w14:val="solid"/>
            <w14:bevel/>
          </w14:textOutline>
        </w:rPr>
        <w:t>Na základě této smlouvy se společnost zavazuje k předvedení pořadu:</w:t>
      </w:r>
    </w:p>
    <w:p w14:paraId="5C0EA5A7" w14:textId="77777777" w:rsidR="00BA6339" w:rsidRPr="000515D9" w:rsidRDefault="00BA6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80"/>
          <w:u w:color="00008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8F5E3B7" w14:textId="77777777" w:rsidR="00BA633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Datum:</w:t>
      </w:r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28.11. – 21. 12. 2025,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stavba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27.11</w:t>
      </w:r>
    </w:p>
    <w:p w14:paraId="4C2DBA79" w14:textId="77777777" w:rsidR="00BA633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Program:</w:t>
      </w:r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viz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příloha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č.1</w:t>
      </w:r>
    </w:p>
    <w:p w14:paraId="11578961" w14:textId="77777777" w:rsidR="00BA633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Počet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styl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vystoupení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výprava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viz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příloha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 1</w:t>
      </w:r>
    </w:p>
    <w:p w14:paraId="663E0469" w14:textId="35F51594" w:rsidR="00BA633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Arial" w:eastAsia="Arial" w:hAnsi="Arial" w:cs="Arial"/>
          <w:color w:val="000080"/>
          <w:u w:color="00008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Úhrada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programu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stanovena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výš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i:</w:t>
      </w:r>
      <w:r w:rsidR="005D68A3"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43C167E" w14:textId="77777777" w:rsidR="00BA633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Datum a forma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úhrady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bankovní</w:t>
      </w:r>
      <w:proofErr w:type="spellEnd"/>
      <w:r>
        <w:rPr>
          <w:rFonts w:ascii="Arial" w:hAnsi="Arial" w:cs="Arial Unicode MS"/>
          <w:color w:val="000000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m p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řevodem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30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dnů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akci</w:t>
      </w:r>
      <w:proofErr w:type="spellEnd"/>
    </w:p>
    <w:p w14:paraId="4037E49F" w14:textId="77777777" w:rsidR="00BA6339" w:rsidRDefault="00BA6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B4A838D" w14:textId="77777777" w:rsidR="00BA6339" w:rsidRDefault="000515D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2"/>
        <w:rPr>
          <w:rFonts w:ascii="Arial" w:eastAsia="Arial" w:hAnsi="Arial" w:cs="Arial"/>
          <w:color w:val="000080"/>
          <w:u w:color="00008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I.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závazn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podmínky</w:t>
      </w:r>
      <w:proofErr w:type="spellEnd"/>
    </w:p>
    <w:p w14:paraId="34A57F41" w14:textId="77777777" w:rsidR="00BA6339" w:rsidRDefault="000515D9">
      <w:pPr>
        <w:numPr>
          <w:ilvl w:val="0"/>
          <w:numId w:val="6"/>
        </w:numPr>
        <w:spacing w:before="80"/>
        <w:jc w:val="both"/>
        <w:outlineLvl w:val="0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zavazuje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dostavit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místo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produkce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včas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sjednaný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odv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odpovídající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úrovni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stanoven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rozsahu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přihl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dnutím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k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veškerým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ujednáním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C0FC1F2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Neuskuteční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-li se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sjednaný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vinou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spolku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ttento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povinen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nahradit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MKS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prokázan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náklady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Toto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neplatí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případě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přírodní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katastrofy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havárie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apod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povinován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takový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to d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ůvod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řádně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dolo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žit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39038E2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neodpovídá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případné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úrazy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hmotn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ztráty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MKS,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pomocn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ho person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álu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pořadatele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diváků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MKS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povinen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zajistit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pořadatelskou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službu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EE2F305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MKS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povinen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zajistit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aby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pracoviště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sjednaný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</w:t>
      </w:r>
      <w:proofErr w:type="spellEnd"/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bylo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bezpečnostní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technick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hygienick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stránce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odpovídajícím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způ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sobem p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řipraveno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Nedodržení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technických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podmínek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uvedených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může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bý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ůvodem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nekonání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přičemž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MKS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hradí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vešker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náklady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391D425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uskutečnění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předmětu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zaplatí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MKS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domluvenou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částku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Na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pozdější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námitky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nebude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brá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etel. Pen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ále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prodlení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platby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0,5 %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každý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započatý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den.</w:t>
      </w:r>
    </w:p>
    <w:p w14:paraId="0C84544E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Odřekne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-li MKS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produkci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uhradí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částku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BA2E50A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-li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uskutečnění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znemožně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 v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důsledku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udá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lost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í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ležících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mimo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mají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tyto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odstoupit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bez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jakýchkoliv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nároků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na finan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úhradu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3398D05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Nepřízniv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počasí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nebo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malý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zájem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akci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nejsou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důvodem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zrušení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11E3D13C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nahradit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člena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soubor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jiný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m um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ělcem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v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rámci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dramaturgie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hAnsi="Arial Unicode MS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 v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souladu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filozofií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BDEAB28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disponovat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autorskými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vztahujícími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 k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dan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akci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disponovat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fotografický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m a filmov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ý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m materi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álem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pořízeným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8591EDB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Platnost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začíná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Změny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dodatky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možn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pouze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oboustrann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dohovoru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mezi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oběma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stranami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E01A52D" w14:textId="77777777" w:rsidR="00BA6339" w:rsidRDefault="000515D9">
      <w:pPr>
        <w:numPr>
          <w:ilvl w:val="0"/>
          <w:numId w:val="6"/>
        </w:numPr>
        <w:spacing w:before="80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Tato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uzavřena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základě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autorsk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 121/2000 Sb.</w:t>
      </w:r>
    </w:p>
    <w:p w14:paraId="502AA595" w14:textId="77777777" w:rsidR="00BA6339" w:rsidRDefault="00BA6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2"/>
          <w:szCs w:val="22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F1F373F" w14:textId="77777777" w:rsidR="00BA633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II.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závěrečná</w:t>
      </w:r>
      <w:proofErr w:type="spellEnd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ujednání</w:t>
      </w:r>
      <w:proofErr w:type="spellEnd"/>
    </w:p>
    <w:p w14:paraId="3B9737DD" w14:textId="77777777" w:rsidR="00BA6339" w:rsidRDefault="000515D9">
      <w:pPr>
        <w:numPr>
          <w:ilvl w:val="0"/>
          <w:numId w:val="8"/>
        </w:numPr>
        <w:spacing w:before="80"/>
        <w:ind w:right="4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lze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měnit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doplňovat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výhradně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dodatky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podepsanými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osobami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pověřený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hAnsi="Arial Unicode MS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k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jednání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věcech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346FA2B" w14:textId="77777777" w:rsidR="00BA6339" w:rsidRDefault="000515D9">
      <w:pPr>
        <w:numPr>
          <w:ilvl w:val="0"/>
          <w:numId w:val="8"/>
        </w:numPr>
        <w:spacing w:before="80"/>
        <w:ind w:right="4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Tato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vyhotovena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dvou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originálech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4F81824" w14:textId="77777777" w:rsidR="00BA6339" w:rsidRDefault="000515D9">
      <w:pPr>
        <w:numPr>
          <w:ilvl w:val="0"/>
          <w:numId w:val="8"/>
        </w:numPr>
        <w:spacing w:before="80"/>
        <w:ind w:right="4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Pokud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nen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í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uvedeno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jinak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řídí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povinnosti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závazky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poměry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vyplývající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vznikající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proofErr w:type="spellStart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souvisej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ící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Obč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>ansk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ým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zákoníkem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platn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znění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CC2F2B8" w14:textId="77777777" w:rsidR="00BA6339" w:rsidRDefault="000515D9">
      <w:pPr>
        <w:numPr>
          <w:ilvl w:val="0"/>
          <w:numId w:val="8"/>
        </w:numPr>
        <w:spacing w:before="80"/>
        <w:ind w:right="4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nabývá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účinnosti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DE66E49" w14:textId="3E8A0F9E" w:rsidR="00BA6339" w:rsidRDefault="000515D9">
      <w:pPr>
        <w:numPr>
          <w:ilvl w:val="0"/>
          <w:numId w:val="8"/>
        </w:numPr>
        <w:spacing w:before="80" w:line="264" w:lineRule="auto"/>
        <w:ind w:right="4"/>
        <w:jc w:val="both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dohodly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tom,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tato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uzavřena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okamžikem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smluvních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přičemž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rozhodující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datum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pozdějšího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Městské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kulturní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středisko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Havířov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příspěvková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organizace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povinným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subjektem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 340/2015 Sb., 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registru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v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platn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znění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dohodly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povinnosti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tohoto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souvislosti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uveřejněním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zajistí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Městské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kulturní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středisko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Havířov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příspěvková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organizace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bere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vědomí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Dohoda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předvedení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pořadu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/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jejím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zveřejněna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Registru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registru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 340/2015 Sb.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Odměna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bodu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3) je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údajem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který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nezveřejňuje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smyslu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§ 3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odst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2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písm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j)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 340/2015 Sb.,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jakož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neuve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řejněnou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informací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smyslu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§ 3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odst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1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 340/2015 Sb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tímto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prohlašuje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osobní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údaje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kter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End"/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mu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byly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předány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Městským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kulturním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střediskem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Havířov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příspěvkovou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organizací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zpracovává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spravuje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souladu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nařízením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Evropsk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parlamentu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Rady /EU/ </w:t>
      </w:r>
    </w:p>
    <w:p w14:paraId="6C21C0A8" w14:textId="77777777" w:rsidR="00BA6339" w:rsidRPr="000515D9" w:rsidRDefault="00BA6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right="4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5E8DA93" w14:textId="77777777" w:rsidR="00BA6339" w:rsidRPr="000515D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Arial" w:eastAsia="Arial" w:hAnsi="Arial" w:cs="Arial"/>
          <w:color w:val="000000"/>
          <w:sz w:val="28"/>
          <w:szCs w:val="28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Na d</w:t>
      </w:r>
      <w:r w:rsidRPr="000515D9">
        <w:rPr>
          <w:rFonts w:ascii="Arial" w:hAnsi="Arial" w:cs="Arial Unicode MS"/>
          <w:color w:val="000000"/>
          <w:sz w:val="22"/>
          <w:szCs w:val="22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ůkaz pravdivosti toho, co je shora uvedeno a na důkaz pravé a svobodné vůle připojují obě zúčastněné strany své podpisy.</w:t>
      </w:r>
    </w:p>
    <w:p w14:paraId="311628D2" w14:textId="77777777" w:rsidR="00BA6339" w:rsidRPr="000515D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0"/>
          <w:szCs w:val="2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</w:pPr>
      <w:r w:rsidRPr="000515D9">
        <w:rPr>
          <w:rFonts w:ascii="Arial" w:hAnsi="Arial" w:cs="Arial Unicode MS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A28DDF3" w14:textId="6C1CF84B" w:rsidR="00BA6339" w:rsidRDefault="000515D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V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Ostravě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dne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20. 11. 2025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V 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Havířově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dne</w:t>
      </w:r>
      <w:proofErr w:type="spellEnd"/>
      <w:r w:rsidR="005D68A3"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24. 11. 25</w:t>
      </w:r>
      <w:bookmarkStart w:id="0" w:name="_GoBack"/>
      <w:bookmarkEnd w:id="0"/>
    </w:p>
    <w:p w14:paraId="4CD78F10" w14:textId="77777777" w:rsidR="00BA6339" w:rsidRDefault="000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04984636" w14:textId="77777777" w:rsidR="00BA6339" w:rsidRDefault="00BA6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0CA4096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A1C9275" w14:textId="77777777" w:rsidR="00BA6339" w:rsidRPr="000515D9" w:rsidRDefault="000515D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</w:pPr>
      <w:r w:rsidRPr="000515D9">
        <w:rPr>
          <w:rFonts w:ascii="Arial" w:hAnsi="Arial" w:cs="Arial Unicode MS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Ing. Marek Tichý</w:t>
      </w:r>
      <w:r w:rsidRPr="000515D9">
        <w:rPr>
          <w:rFonts w:ascii="Arial" w:hAnsi="Arial" w:cs="Arial Unicode MS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Mgr. Yvona Dl</w:t>
      </w:r>
      <w:r w:rsidRPr="000515D9">
        <w:rPr>
          <w:rFonts w:ascii="Arial" w:hAnsi="Arial" w:cs="Arial Unicode MS"/>
          <w:color w:val="000000"/>
          <w:u w:color="000000"/>
          <w:lang w:val="nl-NL"/>
          <w14:textOutline w14:w="0" w14:cap="flat" w14:cmpd="sng" w14:algn="ctr">
            <w14:noFill/>
            <w14:prstDash w14:val="solid"/>
            <w14:bevel/>
          </w14:textOutline>
        </w:rPr>
        <w:t>ábková</w:t>
      </w:r>
    </w:p>
    <w:p w14:paraId="452B75C9" w14:textId="77777777" w:rsidR="00BA6339" w:rsidRDefault="000515D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výkonný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ředitel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spolku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</w:t>
      </w:r>
      <w:proofErr w:type="spellStart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ředitelka</w:t>
      </w:r>
      <w:proofErr w:type="spellEnd"/>
      <w:r>
        <w:rPr>
          <w:rFonts w:ascii="Arial" w:hAnsi="Arial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MKS</w:t>
      </w:r>
    </w:p>
    <w:p w14:paraId="2F526D59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839B432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8C292DF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B892B09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844D0AF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306B04D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2A654F0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215424B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49D1F8B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AD011B3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B440A0C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C423851" w14:textId="77777777" w:rsidR="00BA6339" w:rsidRDefault="00BA633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sectPr w:rsidR="00BA633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A2E19" w14:textId="77777777" w:rsidR="007E0A3F" w:rsidRDefault="007E0A3F">
      <w:r>
        <w:separator/>
      </w:r>
    </w:p>
  </w:endnote>
  <w:endnote w:type="continuationSeparator" w:id="0">
    <w:p w14:paraId="5B734D5E" w14:textId="77777777" w:rsidR="007E0A3F" w:rsidRDefault="007E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EB62E" w14:textId="77777777" w:rsidR="00BA6339" w:rsidRDefault="00BA63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419F9" w14:textId="77777777" w:rsidR="007E0A3F" w:rsidRDefault="007E0A3F">
      <w:r>
        <w:separator/>
      </w:r>
    </w:p>
  </w:footnote>
  <w:footnote w:type="continuationSeparator" w:id="0">
    <w:p w14:paraId="76E6B5E1" w14:textId="77777777" w:rsidR="007E0A3F" w:rsidRDefault="007E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585FD" w14:textId="77777777" w:rsidR="00BA6339" w:rsidRDefault="00BA63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C9E"/>
    <w:multiLevelType w:val="multilevel"/>
    <w:tmpl w:val="F6C475C0"/>
    <w:styleLink w:val="Importovanstyl2"/>
    <w:lvl w:ilvl="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8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8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9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9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0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8E706C"/>
    <w:multiLevelType w:val="hybridMultilevel"/>
    <w:tmpl w:val="7068D4A2"/>
    <w:styleLink w:val="Importovanstyl10"/>
    <w:lvl w:ilvl="0" w:tplc="FCD40E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E9254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A419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E1DF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BA774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4FA8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140EF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DA97A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D2242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1E7A7C"/>
    <w:multiLevelType w:val="hybridMultilevel"/>
    <w:tmpl w:val="53EC1F9E"/>
    <w:lvl w:ilvl="0" w:tplc="781A21D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2CF7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90096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EAA68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CAA06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68138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DC3A1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98E3D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AB74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2A75BF"/>
    <w:multiLevelType w:val="hybridMultilevel"/>
    <w:tmpl w:val="7068D4A2"/>
    <w:numStyleLink w:val="Importovanstyl10"/>
  </w:abstractNum>
  <w:abstractNum w:abstractNumId="4" w15:restartNumberingAfterBreak="0">
    <w:nsid w:val="616C383C"/>
    <w:multiLevelType w:val="multilevel"/>
    <w:tmpl w:val="F6C475C0"/>
    <w:numStyleLink w:val="Importovanstyl2"/>
  </w:abstractNum>
  <w:abstractNum w:abstractNumId="5" w15:restartNumberingAfterBreak="0">
    <w:nsid w:val="6F2D697E"/>
    <w:multiLevelType w:val="hybridMultilevel"/>
    <w:tmpl w:val="198A2922"/>
    <w:numStyleLink w:val="Importovanstyl1"/>
  </w:abstractNum>
  <w:abstractNum w:abstractNumId="6" w15:restartNumberingAfterBreak="0">
    <w:nsid w:val="79C253EE"/>
    <w:multiLevelType w:val="hybridMultilevel"/>
    <w:tmpl w:val="198A2922"/>
    <w:styleLink w:val="Importovanstyl1"/>
    <w:lvl w:ilvl="0" w:tplc="47DC2ED6">
      <w:start w:val="1"/>
      <w:numFmt w:val="bullet"/>
      <w:lvlText w:val="·"/>
      <w:lvlJc w:val="left"/>
      <w:pPr>
        <w:tabs>
          <w:tab w:val="num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0" w:firstLine="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EA5AA">
      <w:start w:val="1"/>
      <w:numFmt w:val="bullet"/>
      <w:lvlText w:val="o"/>
      <w:lvlJc w:val="left"/>
      <w:pPr>
        <w:tabs>
          <w:tab w:val="left" w:pos="708"/>
          <w:tab w:val="left" w:pos="1416"/>
          <w:tab w:val="num" w:pos="17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28923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4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80943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firstLine="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E6CDF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390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F442A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D81DA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3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firstLine="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9CBC0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060"/>
          <w:tab w:val="left" w:pos="6372"/>
          <w:tab w:val="left" w:pos="7080"/>
          <w:tab w:val="left" w:pos="7788"/>
          <w:tab w:val="left" w:pos="8496"/>
          <w:tab w:val="left" w:pos="9204"/>
        </w:tabs>
        <w:ind w:left="570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A9D0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780"/>
          <w:tab w:val="left" w:pos="7080"/>
          <w:tab w:val="left" w:pos="7788"/>
          <w:tab w:val="left" w:pos="8496"/>
          <w:tab w:val="left" w:pos="9204"/>
        </w:tabs>
        <w:ind w:left="642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lvl w:ilvl="0" w:tplc="A7B2E150">
        <w:start w:val="1"/>
        <w:numFmt w:val="bullet"/>
        <w:lvlText w:val="·"/>
        <w:lvlJc w:val="left"/>
        <w:pPr>
          <w:tabs>
            <w:tab w:val="num" w:pos="6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01" w:hanging="16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7806A8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num" w:pos="17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81" w:hanging="16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CF8A4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num" w:pos="246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01" w:hanging="16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4ED012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8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521" w:hanging="16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0A046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390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241" w:hanging="16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1E911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62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961" w:hanging="16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909A4C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340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681" w:hanging="16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836FC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060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01" w:hanging="16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20D096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num" w:pos="6780"/>
            <w:tab w:val="left" w:pos="7080"/>
            <w:tab w:val="left" w:pos="7788"/>
            <w:tab w:val="left" w:pos="8496"/>
            <w:tab w:val="left" w:pos="9204"/>
          </w:tabs>
          <w:ind w:left="8121" w:hanging="16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39"/>
    <w:rsid w:val="000515D9"/>
    <w:rsid w:val="005D68A3"/>
    <w:rsid w:val="007E0A3F"/>
    <w:rsid w:val="0092730F"/>
    <w:rsid w:val="00B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F4BB"/>
  <w15:docId w15:val="{63C7827C-09D7-4BC0-85CF-3E00D431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2"/>
      </w:numPr>
    </w:p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0">
    <w:name w:val="Importovaný styl 1.0"/>
    <w:pPr>
      <w:numPr>
        <w:numId w:val="5"/>
      </w:numPr>
    </w:pPr>
  </w:style>
  <w:style w:type="numbering" w:customStyle="1" w:styleId="Importovanstyl2">
    <w:name w:val="Importovaný styl 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2025-11-26T18:05:00Z</dcterms:created>
  <dcterms:modified xsi:type="dcterms:W3CDTF">2025-11-26T18:05:00Z</dcterms:modified>
</cp:coreProperties>
</file>