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51E33" w14:textId="6309191B" w:rsidR="00321D62" w:rsidRPr="008C58EE" w:rsidRDefault="00321D62" w:rsidP="006F7918">
      <w:pPr>
        <w:pStyle w:val="Nadpis"/>
        <w:keepLines/>
        <w:tabs>
          <w:tab w:val="left" w:pos="284"/>
          <w:tab w:val="left" w:pos="567"/>
          <w:tab w:val="left" w:pos="851"/>
        </w:tabs>
        <w:spacing w:before="240" w:after="80" w:line="271" w:lineRule="auto"/>
        <w:jc w:val="center"/>
        <w:outlineLvl w:val="0"/>
        <w:rPr>
          <w:rFonts w:cs="Arial"/>
          <w:noProof w:val="0"/>
          <w:lang w:val="cs-CZ"/>
        </w:rPr>
      </w:pPr>
      <w:r w:rsidRPr="008C58EE">
        <w:rPr>
          <w:rFonts w:cs="Arial"/>
          <w:noProof w:val="0"/>
          <w:lang w:val="cs-CZ"/>
        </w:rPr>
        <w:t xml:space="preserve">SMLOUVA </w:t>
      </w:r>
      <w:r w:rsidR="002A4862">
        <w:rPr>
          <w:rFonts w:cs="Arial"/>
          <w:noProof w:val="0"/>
          <w:lang w:val="cs-CZ"/>
        </w:rPr>
        <w:t>O POSKYTNUTÍ AUDITNÍCH SLUŽEB</w:t>
      </w:r>
    </w:p>
    <w:p w14:paraId="1E1485F0" w14:textId="7600BB0F" w:rsidR="00321D62" w:rsidRPr="008C58EE" w:rsidRDefault="00321D62" w:rsidP="00D420C7">
      <w:pPr>
        <w:jc w:val="center"/>
      </w:pPr>
      <w:r w:rsidRPr="008C58EE">
        <w:t xml:space="preserve">uzavřena podle ust. § </w:t>
      </w:r>
      <w:r w:rsidR="006945B9">
        <w:t>1746 odst. 2</w:t>
      </w:r>
      <w:r w:rsidRPr="008C58EE">
        <w:t xml:space="preserve"> a násl. zákona č. 89/2012, občanského zákoníku</w:t>
      </w:r>
      <w:r w:rsidR="00D420C7">
        <w:t xml:space="preserve"> (dále jen </w:t>
      </w:r>
      <w:r w:rsidR="00D420C7" w:rsidRPr="00951407">
        <w:rPr>
          <w:rFonts w:cs="Arial"/>
          <w:color w:val="000000"/>
          <w:szCs w:val="24"/>
        </w:rPr>
        <w:t>„</w:t>
      </w:r>
      <w:r w:rsidR="00D420C7">
        <w:t>občanský zákoník</w:t>
      </w:r>
      <w:r w:rsidR="00D420C7" w:rsidRPr="00951407">
        <w:rPr>
          <w:rFonts w:cs="Arial"/>
          <w:color w:val="000000"/>
          <w:szCs w:val="24"/>
        </w:rPr>
        <w:t>“</w:t>
      </w:r>
      <w:r w:rsidR="00D420C7">
        <w:t>)</w:t>
      </w:r>
    </w:p>
    <w:p w14:paraId="3049662B" w14:textId="55F8848E" w:rsidR="00321D62" w:rsidRPr="00F960D5" w:rsidRDefault="00321D62" w:rsidP="00F960D5">
      <w:pPr>
        <w:jc w:val="center"/>
        <w:rPr>
          <w:noProof w:val="0"/>
          <w:szCs w:val="24"/>
          <w:lang w:val="cs-CZ"/>
        </w:rPr>
      </w:pPr>
      <w:r w:rsidRPr="008C58EE">
        <w:rPr>
          <w:noProof w:val="0"/>
          <w:szCs w:val="24"/>
          <w:lang w:val="cs-CZ"/>
        </w:rPr>
        <w:t>níže u</w:t>
      </w:r>
      <w:r w:rsidR="00F960D5">
        <w:rPr>
          <w:noProof w:val="0"/>
          <w:szCs w:val="24"/>
          <w:lang w:val="cs-CZ"/>
        </w:rPr>
        <w:t>vedeného dne, měsíce a roku</w:t>
      </w:r>
      <w:r>
        <w:rPr>
          <w:noProof w:val="0"/>
          <w:szCs w:val="24"/>
          <w:lang w:val="cs-CZ"/>
        </w:rPr>
        <w:t>:</w:t>
      </w:r>
    </w:p>
    <w:p w14:paraId="7F6BD57B" w14:textId="459548C7" w:rsidR="00321D62" w:rsidRPr="003A3A5C" w:rsidRDefault="00585F2D" w:rsidP="003A3A5C">
      <w:pPr>
        <w:pStyle w:val="Nadpis1"/>
        <w:rPr>
          <w:lang w:val="cs-CZ"/>
        </w:rPr>
      </w:pPr>
      <w:r w:rsidRPr="003A3A5C">
        <w:rPr>
          <w:lang w:val="cs-CZ"/>
        </w:rPr>
        <w:t xml:space="preserve">I. </w:t>
      </w:r>
      <w:r w:rsidR="00321D62" w:rsidRPr="003A3A5C">
        <w:rPr>
          <w:lang w:val="cs-CZ"/>
        </w:rPr>
        <w:t>Strany</w:t>
      </w:r>
    </w:p>
    <w:p w14:paraId="66E9BD87" w14:textId="77777777" w:rsidR="00321D62" w:rsidRPr="008C58EE" w:rsidRDefault="00321D62" w:rsidP="003A3A5C">
      <w:pPr>
        <w:pStyle w:val="Zkladntext"/>
        <w:keepLines/>
        <w:tabs>
          <w:tab w:val="left" w:pos="284"/>
          <w:tab w:val="left" w:pos="567"/>
          <w:tab w:val="left" w:pos="851"/>
        </w:tabs>
        <w:ind w:left="284" w:hanging="284"/>
        <w:jc w:val="left"/>
        <w:rPr>
          <w:rFonts w:cs="Arial"/>
          <w:b/>
          <w:bCs/>
          <w:noProof w:val="0"/>
          <w:sz w:val="24"/>
          <w:szCs w:val="24"/>
          <w:lang w:val="cs-CZ"/>
        </w:rPr>
      </w:pPr>
    </w:p>
    <w:p w14:paraId="3018C8F9" w14:textId="07DE2728" w:rsidR="00321D62" w:rsidRPr="00F960D5" w:rsidRDefault="00A2697C" w:rsidP="003A3A5C">
      <w:pPr>
        <w:jc w:val="left"/>
        <w:rPr>
          <w:lang w:val="cs-CZ"/>
        </w:rPr>
      </w:pPr>
      <w:r>
        <w:rPr>
          <w:lang w:val="cs-CZ"/>
        </w:rPr>
        <w:t>Objednatel</w:t>
      </w:r>
      <w:r w:rsidR="00321D62" w:rsidRPr="00F960D5">
        <w:rPr>
          <w:lang w:val="cs-CZ"/>
        </w:rPr>
        <w:t>:</w:t>
      </w:r>
    </w:p>
    <w:p w14:paraId="41E2C5A2" w14:textId="77777777" w:rsidR="00321D62" w:rsidRPr="008C58EE" w:rsidRDefault="00321D62" w:rsidP="003A3A5C">
      <w:pPr>
        <w:jc w:val="left"/>
        <w:rPr>
          <w:lang w:val="cs-CZ"/>
        </w:rPr>
      </w:pPr>
    </w:p>
    <w:p w14:paraId="33C4B523" w14:textId="77777777" w:rsidR="00321D62" w:rsidRPr="00585F2D" w:rsidRDefault="00321D62" w:rsidP="003A3A5C">
      <w:pPr>
        <w:jc w:val="left"/>
        <w:rPr>
          <w:b/>
          <w:lang w:val="cs-CZ"/>
        </w:rPr>
      </w:pPr>
      <w:r w:rsidRPr="00585F2D">
        <w:rPr>
          <w:b/>
          <w:lang w:val="cs-CZ"/>
        </w:rPr>
        <w:t>ČESKÉ VYSOKÉ UČENÍ TECHNICKÉ V PRAZE</w:t>
      </w:r>
    </w:p>
    <w:p w14:paraId="1C65DF07" w14:textId="77777777" w:rsidR="00321D62" w:rsidRPr="00585F2D" w:rsidRDefault="00321D62" w:rsidP="003A3A5C">
      <w:pPr>
        <w:jc w:val="left"/>
        <w:rPr>
          <w:b/>
          <w:lang w:val="cs-CZ"/>
        </w:rPr>
      </w:pPr>
      <w:r w:rsidRPr="00585F2D">
        <w:rPr>
          <w:b/>
          <w:lang w:val="cs-CZ"/>
        </w:rPr>
        <w:t>Český institut informatiky, robotiky a kybernetiky</w:t>
      </w:r>
    </w:p>
    <w:p w14:paraId="5C706562" w14:textId="052E23CB" w:rsidR="00321D62" w:rsidRDefault="003A3A5C" w:rsidP="003A3A5C">
      <w:pPr>
        <w:jc w:val="left"/>
        <w:rPr>
          <w:lang w:val="cs-CZ"/>
        </w:rPr>
      </w:pPr>
      <w:r w:rsidRPr="003A3A5C">
        <w:rPr>
          <w:lang w:val="cs-CZ"/>
        </w:rPr>
        <w:t xml:space="preserve">se sídlem </w:t>
      </w:r>
      <w:r w:rsidR="00F960D5" w:rsidRPr="003A3A5C">
        <w:rPr>
          <w:lang w:val="cs-CZ"/>
        </w:rPr>
        <w:t>Jugoslávských partyzánů 3</w:t>
      </w:r>
      <w:r w:rsidR="00321D62" w:rsidRPr="003A3A5C">
        <w:rPr>
          <w:lang w:val="cs-CZ"/>
        </w:rPr>
        <w:t xml:space="preserve">, </w:t>
      </w:r>
      <w:r w:rsidR="00F960D5" w:rsidRPr="003A3A5C">
        <w:rPr>
          <w:lang w:val="cs-CZ"/>
        </w:rPr>
        <w:t>160 00</w:t>
      </w:r>
      <w:r w:rsidR="00321D62" w:rsidRPr="003A3A5C">
        <w:rPr>
          <w:lang w:val="cs-CZ"/>
        </w:rPr>
        <w:t xml:space="preserve"> Praha 6</w:t>
      </w:r>
    </w:p>
    <w:p w14:paraId="561FC79C" w14:textId="0B30DE44" w:rsidR="008E6BA9" w:rsidRPr="003A3A5C" w:rsidRDefault="008E6BA9" w:rsidP="003A3A5C">
      <w:pPr>
        <w:jc w:val="left"/>
        <w:rPr>
          <w:lang w:val="cs-CZ"/>
        </w:rPr>
      </w:pPr>
      <w:r>
        <w:rPr>
          <w:lang w:val="cs-CZ"/>
        </w:rPr>
        <w:t xml:space="preserve">zastoupený: </w:t>
      </w:r>
    </w:p>
    <w:p w14:paraId="052DB365" w14:textId="77777777" w:rsidR="003A3A5C" w:rsidRPr="003A3A5C" w:rsidRDefault="00321D62" w:rsidP="003A3A5C">
      <w:pPr>
        <w:jc w:val="left"/>
        <w:rPr>
          <w:lang w:val="cs-CZ"/>
        </w:rPr>
      </w:pPr>
      <w:r w:rsidRPr="003A3A5C">
        <w:rPr>
          <w:lang w:val="cs-CZ"/>
        </w:rPr>
        <w:t>IČO: 68407700</w:t>
      </w:r>
    </w:p>
    <w:p w14:paraId="76A07790" w14:textId="7548CEAD" w:rsidR="00321D62" w:rsidRPr="003A3A5C" w:rsidRDefault="00321D62" w:rsidP="003A3A5C">
      <w:pPr>
        <w:jc w:val="left"/>
        <w:rPr>
          <w:lang w:val="cs-CZ"/>
        </w:rPr>
      </w:pPr>
      <w:r w:rsidRPr="003A3A5C">
        <w:rPr>
          <w:lang w:val="cs-CZ"/>
        </w:rPr>
        <w:t>DIČ: CZ 68407700</w:t>
      </w:r>
    </w:p>
    <w:p w14:paraId="2BF5376A" w14:textId="1E505746" w:rsidR="006945B9" w:rsidRPr="003A3A5C" w:rsidRDefault="003A3A5C" w:rsidP="003A3A5C">
      <w:pPr>
        <w:jc w:val="left"/>
        <w:rPr>
          <w:lang w:val="cs-CZ"/>
        </w:rPr>
      </w:pPr>
      <w:r>
        <w:rPr>
          <w:lang w:val="cs-CZ"/>
        </w:rPr>
        <w:t>k</w:t>
      </w:r>
      <w:r w:rsidR="006945B9" w:rsidRPr="003A3A5C">
        <w:rPr>
          <w:lang w:val="cs-CZ"/>
        </w:rPr>
        <w:t xml:space="preserve">ontaktní osoba: </w:t>
      </w:r>
    </w:p>
    <w:p w14:paraId="070FD172" w14:textId="01D2C231" w:rsidR="00F960D5" w:rsidRPr="003A3A5C" w:rsidRDefault="00F960D5" w:rsidP="003A3A5C">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left"/>
        <w:rPr>
          <w:rFonts w:cs="Arial"/>
          <w:color w:val="000000"/>
          <w:szCs w:val="24"/>
          <w:lang w:val="cs-CZ"/>
        </w:rPr>
      </w:pPr>
      <w:r w:rsidRPr="003A3A5C">
        <w:rPr>
          <w:rFonts w:cs="Arial"/>
          <w:color w:val="000000"/>
          <w:szCs w:val="24"/>
          <w:lang w:val="cs-CZ"/>
        </w:rPr>
        <w:t xml:space="preserve">jako </w:t>
      </w:r>
      <w:r w:rsidR="00A2697C" w:rsidRPr="003A3A5C">
        <w:rPr>
          <w:rFonts w:cs="Arial"/>
          <w:color w:val="000000"/>
          <w:szCs w:val="24"/>
          <w:lang w:val="cs-CZ"/>
        </w:rPr>
        <w:t>Objednatel</w:t>
      </w:r>
      <w:r w:rsidR="006945B9" w:rsidRPr="003A3A5C">
        <w:rPr>
          <w:rFonts w:cs="Arial"/>
          <w:color w:val="000000"/>
          <w:szCs w:val="24"/>
          <w:lang w:val="cs-CZ"/>
        </w:rPr>
        <w:t xml:space="preserve"> na straně jedné (dále jen „</w:t>
      </w:r>
      <w:r w:rsidR="00FD6A80">
        <w:rPr>
          <w:rFonts w:cs="Arial"/>
          <w:color w:val="000000"/>
          <w:szCs w:val="24"/>
          <w:lang w:val="cs-CZ"/>
        </w:rPr>
        <w:t>O</w:t>
      </w:r>
      <w:r w:rsidR="006945B9" w:rsidRPr="003A3A5C">
        <w:rPr>
          <w:rFonts w:cs="Arial"/>
          <w:color w:val="000000"/>
          <w:szCs w:val="24"/>
          <w:lang w:val="cs-CZ"/>
        </w:rPr>
        <w:t>bjednatel</w:t>
      </w:r>
      <w:r w:rsidRPr="003A3A5C">
        <w:rPr>
          <w:rFonts w:cs="Arial"/>
          <w:color w:val="000000"/>
          <w:szCs w:val="24"/>
          <w:lang w:val="cs-CZ"/>
        </w:rPr>
        <w:t>“)</w:t>
      </w:r>
    </w:p>
    <w:p w14:paraId="0517B9A4" w14:textId="77777777" w:rsidR="00321D62" w:rsidRPr="008C58EE" w:rsidRDefault="00321D62" w:rsidP="003A3A5C">
      <w:pPr>
        <w:pStyle w:val="Zkladntext"/>
        <w:keepLines/>
        <w:tabs>
          <w:tab w:val="left" w:pos="284"/>
          <w:tab w:val="left" w:pos="567"/>
          <w:tab w:val="left" w:pos="851"/>
        </w:tabs>
        <w:ind w:left="284" w:hanging="284"/>
        <w:jc w:val="left"/>
        <w:rPr>
          <w:rFonts w:cs="Arial"/>
          <w:b/>
          <w:bCs/>
          <w:noProof w:val="0"/>
          <w:sz w:val="24"/>
          <w:szCs w:val="24"/>
          <w:lang w:val="cs-CZ"/>
        </w:rPr>
      </w:pPr>
    </w:p>
    <w:p w14:paraId="32CEE585" w14:textId="77777777" w:rsidR="00F960D5" w:rsidRPr="00951407" w:rsidRDefault="00F960D5" w:rsidP="003A3A5C">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left"/>
        <w:rPr>
          <w:rFonts w:cs="Arial"/>
          <w:b/>
          <w:bCs/>
          <w:color w:val="000000"/>
          <w:szCs w:val="24"/>
        </w:rPr>
      </w:pPr>
      <w:r w:rsidRPr="00951407">
        <w:rPr>
          <w:rFonts w:cs="Arial"/>
          <w:b/>
          <w:bCs/>
          <w:color w:val="000000"/>
          <w:szCs w:val="24"/>
        </w:rPr>
        <w:t>a</w:t>
      </w:r>
    </w:p>
    <w:p w14:paraId="4647EE71" w14:textId="77777777" w:rsidR="00F960D5" w:rsidRPr="00951407" w:rsidRDefault="00F960D5" w:rsidP="003A3A5C">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left"/>
        <w:rPr>
          <w:rFonts w:cs="Arial"/>
          <w:b/>
          <w:bCs/>
          <w:color w:val="000000"/>
          <w:szCs w:val="24"/>
        </w:rPr>
      </w:pPr>
    </w:p>
    <w:p w14:paraId="509337B2" w14:textId="550DA96C" w:rsidR="00F960D5" w:rsidRPr="00E02114" w:rsidRDefault="00A2697C" w:rsidP="003A3A5C">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left"/>
        <w:rPr>
          <w:rFonts w:cs="Arial"/>
          <w:bCs/>
          <w:color w:val="000000"/>
          <w:szCs w:val="24"/>
        </w:rPr>
      </w:pPr>
      <w:r>
        <w:rPr>
          <w:rFonts w:cs="Arial"/>
          <w:bCs/>
          <w:color w:val="000000"/>
          <w:szCs w:val="24"/>
        </w:rPr>
        <w:t>Auditor</w:t>
      </w:r>
      <w:r w:rsidR="003A3A5C">
        <w:rPr>
          <w:rFonts w:cs="Arial"/>
          <w:bCs/>
          <w:color w:val="000000"/>
          <w:szCs w:val="24"/>
        </w:rPr>
        <w:t>:</w:t>
      </w:r>
    </w:p>
    <w:p w14:paraId="3ACC8EEA" w14:textId="77777777" w:rsidR="00F960D5" w:rsidRPr="00FD4594" w:rsidRDefault="00F960D5" w:rsidP="003A3A5C">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left"/>
        <w:rPr>
          <w:rFonts w:cs="Arial"/>
          <w:b/>
          <w:bCs/>
          <w:color w:val="000000"/>
          <w:szCs w:val="24"/>
          <w:highlight w:val="yellow"/>
        </w:rPr>
      </w:pPr>
    </w:p>
    <w:p w14:paraId="7799BCEB" w14:textId="77777777" w:rsidR="009B372B" w:rsidRDefault="009B372B" w:rsidP="009B372B">
      <w:pPr>
        <w:jc w:val="left"/>
        <w:rPr>
          <w:rFonts w:ascii="Calibri,Bold" w:hAnsi="Calibri,Bold" w:cs="Calibri,Bold"/>
          <w:b/>
          <w:bCs/>
          <w:noProof w:val="0"/>
          <w:color w:val="000000"/>
          <w:szCs w:val="24"/>
          <w:lang w:val="en-GB"/>
        </w:rPr>
      </w:pPr>
      <w:r>
        <w:rPr>
          <w:rFonts w:ascii="Calibri,Bold" w:hAnsi="Calibri,Bold" w:cs="Calibri,Bold"/>
          <w:b/>
          <w:bCs/>
          <w:noProof w:val="0"/>
          <w:color w:val="000000"/>
          <w:szCs w:val="24"/>
          <w:lang w:val="en-GB"/>
        </w:rPr>
        <w:t xml:space="preserve">INTEREXPERT BOHEMIA, </w:t>
      </w:r>
      <w:proofErr w:type="spellStart"/>
      <w:r>
        <w:rPr>
          <w:rFonts w:ascii="Calibri,Bold" w:hAnsi="Calibri,Bold" w:cs="Calibri,Bold"/>
          <w:b/>
          <w:bCs/>
          <w:noProof w:val="0"/>
          <w:color w:val="000000"/>
          <w:szCs w:val="24"/>
          <w:lang w:val="en-GB"/>
        </w:rPr>
        <w:t>spol</w:t>
      </w:r>
      <w:proofErr w:type="spellEnd"/>
      <w:r>
        <w:rPr>
          <w:rFonts w:ascii="Calibri,Bold" w:hAnsi="Calibri,Bold" w:cs="Calibri,Bold"/>
          <w:b/>
          <w:bCs/>
          <w:noProof w:val="0"/>
          <w:color w:val="000000"/>
          <w:szCs w:val="24"/>
          <w:lang w:val="en-GB"/>
        </w:rPr>
        <w:t xml:space="preserve">. s </w:t>
      </w:r>
      <w:proofErr w:type="spellStart"/>
      <w:r>
        <w:rPr>
          <w:rFonts w:ascii="Calibri,Bold" w:hAnsi="Calibri,Bold" w:cs="Calibri,Bold"/>
          <w:b/>
          <w:bCs/>
          <w:noProof w:val="0"/>
          <w:color w:val="000000"/>
          <w:szCs w:val="24"/>
          <w:lang w:val="en-GB"/>
        </w:rPr>
        <w:t>r.o</w:t>
      </w:r>
      <w:proofErr w:type="spellEnd"/>
      <w:r>
        <w:rPr>
          <w:rFonts w:ascii="Calibri,Bold" w:hAnsi="Calibri,Bold" w:cs="Calibri,Bold"/>
          <w:b/>
          <w:bCs/>
          <w:noProof w:val="0"/>
          <w:color w:val="000000"/>
          <w:szCs w:val="24"/>
          <w:lang w:val="en-GB"/>
        </w:rPr>
        <w:t>.</w:t>
      </w:r>
    </w:p>
    <w:p w14:paraId="5FF18705" w14:textId="77777777" w:rsidR="009B372B" w:rsidRPr="009B372B" w:rsidRDefault="009B372B" w:rsidP="009B372B">
      <w:pPr>
        <w:jc w:val="left"/>
        <w:rPr>
          <w:rFonts w:ascii="Calibri" w:hAnsi="Calibri" w:cs="Calibri"/>
          <w:noProof w:val="0"/>
          <w:color w:val="000000"/>
          <w:szCs w:val="24"/>
          <w:lang w:val="de-DE"/>
        </w:rPr>
      </w:pPr>
      <w:r w:rsidRPr="009B372B">
        <w:rPr>
          <w:rFonts w:ascii="Calibri" w:hAnsi="Calibri" w:cs="Calibri"/>
          <w:noProof w:val="0"/>
          <w:color w:val="000000"/>
          <w:szCs w:val="24"/>
          <w:lang w:val="de-DE"/>
        </w:rPr>
        <w:t xml:space="preserve">se </w:t>
      </w:r>
      <w:proofErr w:type="spellStart"/>
      <w:r w:rsidRPr="009B372B">
        <w:rPr>
          <w:rFonts w:ascii="Calibri" w:hAnsi="Calibri" w:cs="Calibri"/>
          <w:noProof w:val="0"/>
          <w:color w:val="000000"/>
          <w:szCs w:val="24"/>
          <w:lang w:val="de-DE"/>
        </w:rPr>
        <w:t>sídlem</w:t>
      </w:r>
      <w:proofErr w:type="spellEnd"/>
      <w:r w:rsidRPr="009B372B">
        <w:rPr>
          <w:rFonts w:ascii="Calibri" w:hAnsi="Calibri" w:cs="Calibri"/>
          <w:noProof w:val="0"/>
          <w:color w:val="000000"/>
          <w:szCs w:val="24"/>
          <w:lang w:val="de-DE"/>
        </w:rPr>
        <w:t xml:space="preserve">: Praha 1, </w:t>
      </w:r>
      <w:proofErr w:type="spellStart"/>
      <w:r w:rsidRPr="009B372B">
        <w:rPr>
          <w:rFonts w:ascii="Calibri" w:hAnsi="Calibri" w:cs="Calibri"/>
          <w:noProof w:val="0"/>
          <w:color w:val="000000"/>
          <w:szCs w:val="24"/>
          <w:lang w:val="de-DE"/>
        </w:rPr>
        <w:t>Mikulandská</w:t>
      </w:r>
      <w:proofErr w:type="spellEnd"/>
      <w:r w:rsidRPr="009B372B">
        <w:rPr>
          <w:rFonts w:ascii="Calibri" w:hAnsi="Calibri" w:cs="Calibri"/>
          <w:noProof w:val="0"/>
          <w:color w:val="000000"/>
          <w:szCs w:val="24"/>
          <w:lang w:val="de-DE"/>
        </w:rPr>
        <w:t xml:space="preserve"> 2/123, PSČ 11000</w:t>
      </w:r>
    </w:p>
    <w:p w14:paraId="4FD5AA33" w14:textId="6CCB9544" w:rsidR="009B372B" w:rsidRPr="009B372B" w:rsidRDefault="009B372B" w:rsidP="009B372B">
      <w:pPr>
        <w:jc w:val="left"/>
        <w:rPr>
          <w:rFonts w:ascii="Calibri" w:hAnsi="Calibri" w:cs="Calibri"/>
          <w:noProof w:val="0"/>
          <w:color w:val="000000"/>
          <w:szCs w:val="24"/>
          <w:lang w:val="de-DE"/>
        </w:rPr>
      </w:pPr>
      <w:proofErr w:type="spellStart"/>
      <w:r w:rsidRPr="009B372B">
        <w:rPr>
          <w:rFonts w:ascii="Calibri" w:hAnsi="Calibri" w:cs="Calibri"/>
          <w:noProof w:val="0"/>
          <w:color w:val="000000"/>
          <w:szCs w:val="24"/>
          <w:lang w:val="de-DE"/>
        </w:rPr>
        <w:t>zastoupený</w:t>
      </w:r>
      <w:proofErr w:type="spellEnd"/>
      <w:r w:rsidRPr="009B372B">
        <w:rPr>
          <w:rFonts w:ascii="Calibri" w:hAnsi="Calibri" w:cs="Calibri"/>
          <w:noProof w:val="0"/>
          <w:color w:val="000000"/>
          <w:szCs w:val="24"/>
          <w:lang w:val="de-DE"/>
        </w:rPr>
        <w:t>:</w:t>
      </w:r>
    </w:p>
    <w:p w14:paraId="52EF4922" w14:textId="77777777" w:rsidR="009B372B" w:rsidRPr="009B372B" w:rsidRDefault="009B372B" w:rsidP="009B372B">
      <w:pPr>
        <w:jc w:val="left"/>
        <w:rPr>
          <w:rFonts w:ascii="Calibri" w:hAnsi="Calibri" w:cs="Calibri"/>
          <w:noProof w:val="0"/>
          <w:color w:val="000000"/>
          <w:szCs w:val="24"/>
          <w:lang w:val="de-DE"/>
        </w:rPr>
      </w:pPr>
      <w:r w:rsidRPr="009B372B">
        <w:rPr>
          <w:rFonts w:ascii="Calibri" w:hAnsi="Calibri" w:cs="Calibri"/>
          <w:noProof w:val="0"/>
          <w:color w:val="000000"/>
          <w:szCs w:val="24"/>
          <w:lang w:val="de-DE"/>
        </w:rPr>
        <w:t>IČO: 481 12 500</w:t>
      </w:r>
    </w:p>
    <w:p w14:paraId="40D578B0" w14:textId="77777777" w:rsidR="009B372B" w:rsidRPr="009B372B" w:rsidRDefault="009B372B" w:rsidP="009B372B">
      <w:pPr>
        <w:jc w:val="left"/>
        <w:rPr>
          <w:rFonts w:ascii="Calibri" w:hAnsi="Calibri" w:cs="Calibri"/>
          <w:noProof w:val="0"/>
          <w:color w:val="000000"/>
          <w:szCs w:val="24"/>
          <w:lang w:val="de-DE"/>
        </w:rPr>
      </w:pPr>
      <w:r w:rsidRPr="009B372B">
        <w:rPr>
          <w:rFonts w:ascii="Calibri" w:hAnsi="Calibri" w:cs="Calibri"/>
          <w:noProof w:val="0"/>
          <w:color w:val="000000"/>
          <w:szCs w:val="24"/>
          <w:lang w:val="de-DE"/>
        </w:rPr>
        <w:t>DIČ: CZ 481 12 500</w:t>
      </w:r>
    </w:p>
    <w:p w14:paraId="5883E1E3" w14:textId="77777777" w:rsidR="009B372B" w:rsidRPr="009B372B" w:rsidRDefault="009B372B" w:rsidP="009B372B">
      <w:pPr>
        <w:jc w:val="left"/>
        <w:rPr>
          <w:rFonts w:ascii="Calibri" w:hAnsi="Calibri" w:cs="Calibri"/>
          <w:noProof w:val="0"/>
          <w:color w:val="000000"/>
          <w:szCs w:val="24"/>
          <w:lang w:val="de-DE"/>
        </w:rPr>
      </w:pPr>
      <w:proofErr w:type="spellStart"/>
      <w:r w:rsidRPr="009B372B">
        <w:rPr>
          <w:rFonts w:ascii="Calibri" w:hAnsi="Calibri" w:cs="Calibri"/>
          <w:noProof w:val="0"/>
          <w:color w:val="000000"/>
          <w:szCs w:val="24"/>
          <w:lang w:val="de-DE"/>
        </w:rPr>
        <w:t>číslo</w:t>
      </w:r>
      <w:proofErr w:type="spellEnd"/>
      <w:r w:rsidRPr="009B372B">
        <w:rPr>
          <w:rFonts w:ascii="Calibri" w:hAnsi="Calibri" w:cs="Calibri"/>
          <w:noProof w:val="0"/>
          <w:color w:val="000000"/>
          <w:szCs w:val="24"/>
          <w:lang w:val="de-DE"/>
        </w:rPr>
        <w:t xml:space="preserve"> </w:t>
      </w:r>
      <w:proofErr w:type="spellStart"/>
      <w:r w:rsidRPr="009B372B">
        <w:rPr>
          <w:rFonts w:ascii="Calibri" w:hAnsi="Calibri" w:cs="Calibri"/>
          <w:noProof w:val="0"/>
          <w:color w:val="000000"/>
          <w:szCs w:val="24"/>
          <w:lang w:val="de-DE"/>
        </w:rPr>
        <w:t>bankovního</w:t>
      </w:r>
      <w:proofErr w:type="spellEnd"/>
      <w:r w:rsidRPr="009B372B">
        <w:rPr>
          <w:rFonts w:ascii="Calibri" w:hAnsi="Calibri" w:cs="Calibri"/>
          <w:noProof w:val="0"/>
          <w:color w:val="000000"/>
          <w:szCs w:val="24"/>
          <w:lang w:val="de-DE"/>
        </w:rPr>
        <w:t xml:space="preserve"> </w:t>
      </w:r>
      <w:proofErr w:type="spellStart"/>
      <w:r w:rsidRPr="009B372B">
        <w:rPr>
          <w:rFonts w:ascii="Calibri" w:hAnsi="Calibri" w:cs="Calibri"/>
          <w:noProof w:val="0"/>
          <w:color w:val="000000"/>
          <w:szCs w:val="24"/>
          <w:lang w:val="de-DE"/>
        </w:rPr>
        <w:t>účtu</w:t>
      </w:r>
      <w:proofErr w:type="spellEnd"/>
      <w:r w:rsidRPr="009B372B">
        <w:rPr>
          <w:rFonts w:ascii="Calibri" w:hAnsi="Calibri" w:cs="Calibri"/>
          <w:noProof w:val="0"/>
          <w:color w:val="000000"/>
          <w:szCs w:val="24"/>
          <w:lang w:val="de-DE"/>
        </w:rPr>
        <w:t xml:space="preserve">: ČSOB, č. </w:t>
      </w:r>
      <w:proofErr w:type="spellStart"/>
      <w:r w:rsidRPr="009B372B">
        <w:rPr>
          <w:rFonts w:ascii="Calibri" w:hAnsi="Calibri" w:cs="Calibri"/>
          <w:noProof w:val="0"/>
          <w:color w:val="000000"/>
          <w:szCs w:val="24"/>
          <w:lang w:val="de-DE"/>
        </w:rPr>
        <w:t>účtu</w:t>
      </w:r>
      <w:proofErr w:type="spellEnd"/>
      <w:r w:rsidRPr="009B372B">
        <w:rPr>
          <w:rFonts w:ascii="Calibri" w:hAnsi="Calibri" w:cs="Calibri"/>
          <w:noProof w:val="0"/>
          <w:color w:val="000000"/>
          <w:szCs w:val="24"/>
          <w:lang w:val="de-DE"/>
        </w:rPr>
        <w:t xml:space="preserve"> 314 64/0300</w:t>
      </w:r>
    </w:p>
    <w:p w14:paraId="2AD01B9D" w14:textId="592A453E" w:rsidR="009B372B" w:rsidRPr="00721187" w:rsidRDefault="009B372B" w:rsidP="009B372B">
      <w:pPr>
        <w:jc w:val="left"/>
        <w:rPr>
          <w:rFonts w:ascii="Calibri" w:hAnsi="Calibri" w:cs="Calibri"/>
          <w:noProof w:val="0"/>
          <w:color w:val="0000FF"/>
          <w:szCs w:val="24"/>
          <w:lang w:val="en-GB"/>
        </w:rPr>
      </w:pPr>
      <w:proofErr w:type="spellStart"/>
      <w:r w:rsidRPr="009B372B">
        <w:rPr>
          <w:rFonts w:ascii="Calibri" w:hAnsi="Calibri" w:cs="Calibri"/>
          <w:noProof w:val="0"/>
          <w:color w:val="000000"/>
          <w:szCs w:val="24"/>
          <w:lang w:val="de-DE"/>
        </w:rPr>
        <w:t>kontaktní</w:t>
      </w:r>
      <w:proofErr w:type="spellEnd"/>
      <w:r w:rsidRPr="009B372B">
        <w:rPr>
          <w:rFonts w:ascii="Calibri" w:hAnsi="Calibri" w:cs="Calibri"/>
          <w:noProof w:val="0"/>
          <w:color w:val="000000"/>
          <w:szCs w:val="24"/>
          <w:lang w:val="de-DE"/>
        </w:rPr>
        <w:t xml:space="preserve"> </w:t>
      </w:r>
      <w:proofErr w:type="spellStart"/>
      <w:r w:rsidRPr="009B372B">
        <w:rPr>
          <w:rFonts w:ascii="Calibri" w:hAnsi="Calibri" w:cs="Calibri"/>
          <w:noProof w:val="0"/>
          <w:color w:val="000000"/>
          <w:szCs w:val="24"/>
          <w:lang w:val="de-DE"/>
        </w:rPr>
        <w:t>osoba</w:t>
      </w:r>
      <w:proofErr w:type="spellEnd"/>
      <w:r w:rsidRPr="009B372B">
        <w:rPr>
          <w:rFonts w:ascii="Calibri" w:hAnsi="Calibri" w:cs="Calibri"/>
          <w:noProof w:val="0"/>
          <w:color w:val="000000"/>
          <w:szCs w:val="24"/>
          <w:lang w:val="de-DE"/>
        </w:rPr>
        <w:t>:</w:t>
      </w:r>
    </w:p>
    <w:p w14:paraId="5E04FE61" w14:textId="77777777" w:rsidR="00721187" w:rsidRDefault="009B372B" w:rsidP="00721187">
      <w:pPr>
        <w:jc w:val="left"/>
        <w:rPr>
          <w:rFonts w:ascii="Calibri" w:hAnsi="Calibri" w:cs="Calibri"/>
          <w:noProof w:val="0"/>
          <w:color w:val="000000"/>
          <w:szCs w:val="24"/>
          <w:lang w:val="de-DE"/>
        </w:rPr>
      </w:pPr>
      <w:proofErr w:type="spellStart"/>
      <w:r w:rsidRPr="009B372B">
        <w:rPr>
          <w:rFonts w:ascii="Calibri" w:hAnsi="Calibri" w:cs="Calibri"/>
          <w:noProof w:val="0"/>
          <w:color w:val="000000"/>
          <w:szCs w:val="24"/>
          <w:lang w:val="de-DE"/>
        </w:rPr>
        <w:t>společnost</w:t>
      </w:r>
      <w:proofErr w:type="spellEnd"/>
      <w:r w:rsidRPr="009B372B">
        <w:rPr>
          <w:rFonts w:ascii="Calibri" w:hAnsi="Calibri" w:cs="Calibri"/>
          <w:noProof w:val="0"/>
          <w:color w:val="000000"/>
          <w:szCs w:val="24"/>
          <w:lang w:val="de-DE"/>
        </w:rPr>
        <w:t xml:space="preserve"> je </w:t>
      </w:r>
      <w:proofErr w:type="spellStart"/>
      <w:r w:rsidRPr="009B372B">
        <w:rPr>
          <w:rFonts w:ascii="Calibri" w:hAnsi="Calibri" w:cs="Calibri"/>
          <w:noProof w:val="0"/>
          <w:color w:val="000000"/>
          <w:szCs w:val="24"/>
          <w:lang w:val="de-DE"/>
        </w:rPr>
        <w:t>zapsána</w:t>
      </w:r>
      <w:proofErr w:type="spellEnd"/>
      <w:r w:rsidRPr="009B372B">
        <w:rPr>
          <w:rFonts w:ascii="Calibri" w:hAnsi="Calibri" w:cs="Calibri"/>
          <w:noProof w:val="0"/>
          <w:color w:val="000000"/>
          <w:szCs w:val="24"/>
          <w:lang w:val="de-DE"/>
        </w:rPr>
        <w:t xml:space="preserve"> v </w:t>
      </w:r>
      <w:proofErr w:type="spellStart"/>
      <w:r w:rsidRPr="009B372B">
        <w:rPr>
          <w:rFonts w:ascii="Calibri" w:hAnsi="Calibri" w:cs="Calibri"/>
          <w:noProof w:val="0"/>
          <w:color w:val="000000"/>
          <w:szCs w:val="24"/>
          <w:lang w:val="de-DE"/>
        </w:rPr>
        <w:t>obchodním</w:t>
      </w:r>
      <w:proofErr w:type="spellEnd"/>
      <w:r w:rsidRPr="009B372B">
        <w:rPr>
          <w:rFonts w:ascii="Calibri" w:hAnsi="Calibri" w:cs="Calibri"/>
          <w:noProof w:val="0"/>
          <w:color w:val="000000"/>
          <w:szCs w:val="24"/>
          <w:lang w:val="de-DE"/>
        </w:rPr>
        <w:t xml:space="preserve"> </w:t>
      </w:r>
      <w:proofErr w:type="spellStart"/>
      <w:r w:rsidRPr="009B372B">
        <w:rPr>
          <w:rFonts w:ascii="Calibri" w:hAnsi="Calibri" w:cs="Calibri"/>
          <w:noProof w:val="0"/>
          <w:color w:val="000000"/>
          <w:szCs w:val="24"/>
          <w:lang w:val="de-DE"/>
        </w:rPr>
        <w:t>rejstříku</w:t>
      </w:r>
      <w:proofErr w:type="spellEnd"/>
      <w:r w:rsidRPr="009B372B">
        <w:rPr>
          <w:rFonts w:ascii="Calibri" w:hAnsi="Calibri" w:cs="Calibri"/>
          <w:noProof w:val="0"/>
          <w:color w:val="000000"/>
          <w:szCs w:val="24"/>
          <w:lang w:val="de-DE"/>
        </w:rPr>
        <w:t xml:space="preserve"> </w:t>
      </w:r>
      <w:proofErr w:type="spellStart"/>
      <w:r w:rsidRPr="009B372B">
        <w:rPr>
          <w:rFonts w:ascii="Calibri" w:hAnsi="Calibri" w:cs="Calibri"/>
          <w:noProof w:val="0"/>
          <w:color w:val="000000"/>
          <w:szCs w:val="24"/>
          <w:lang w:val="de-DE"/>
        </w:rPr>
        <w:t>vedeném</w:t>
      </w:r>
      <w:proofErr w:type="spellEnd"/>
      <w:r w:rsidRPr="009B372B">
        <w:rPr>
          <w:rFonts w:ascii="Calibri" w:hAnsi="Calibri" w:cs="Calibri"/>
          <w:noProof w:val="0"/>
          <w:color w:val="000000"/>
          <w:szCs w:val="24"/>
          <w:lang w:val="de-DE"/>
        </w:rPr>
        <w:t xml:space="preserve"> u </w:t>
      </w:r>
      <w:proofErr w:type="spellStart"/>
      <w:r w:rsidRPr="009B372B">
        <w:rPr>
          <w:rFonts w:ascii="Calibri" w:hAnsi="Calibri" w:cs="Calibri"/>
          <w:noProof w:val="0"/>
          <w:color w:val="000000"/>
          <w:szCs w:val="24"/>
          <w:lang w:val="de-DE"/>
        </w:rPr>
        <w:t>Městkého</w:t>
      </w:r>
      <w:proofErr w:type="spellEnd"/>
      <w:r w:rsidRPr="009B372B">
        <w:rPr>
          <w:rFonts w:ascii="Calibri" w:hAnsi="Calibri" w:cs="Calibri"/>
          <w:noProof w:val="0"/>
          <w:color w:val="000000"/>
          <w:szCs w:val="24"/>
          <w:lang w:val="de-DE"/>
        </w:rPr>
        <w:t xml:space="preserve"> </w:t>
      </w:r>
      <w:proofErr w:type="spellStart"/>
      <w:r w:rsidRPr="009B372B">
        <w:rPr>
          <w:rFonts w:ascii="Calibri" w:hAnsi="Calibri" w:cs="Calibri"/>
          <w:noProof w:val="0"/>
          <w:color w:val="000000"/>
          <w:szCs w:val="24"/>
          <w:lang w:val="de-DE"/>
        </w:rPr>
        <w:t>soudu</w:t>
      </w:r>
      <w:proofErr w:type="spellEnd"/>
      <w:r w:rsidRPr="009B372B">
        <w:rPr>
          <w:rFonts w:ascii="Calibri" w:hAnsi="Calibri" w:cs="Calibri"/>
          <w:noProof w:val="0"/>
          <w:color w:val="000000"/>
          <w:szCs w:val="24"/>
          <w:lang w:val="de-DE"/>
        </w:rPr>
        <w:t xml:space="preserve"> v </w:t>
      </w:r>
      <w:proofErr w:type="spellStart"/>
      <w:r w:rsidRPr="009B372B">
        <w:rPr>
          <w:rFonts w:ascii="Calibri" w:hAnsi="Calibri" w:cs="Calibri"/>
          <w:noProof w:val="0"/>
          <w:color w:val="000000"/>
          <w:szCs w:val="24"/>
          <w:lang w:val="de-DE"/>
        </w:rPr>
        <w:t>Praze</w:t>
      </w:r>
      <w:proofErr w:type="spellEnd"/>
      <w:r w:rsidRPr="009B372B">
        <w:rPr>
          <w:rFonts w:ascii="Calibri" w:hAnsi="Calibri" w:cs="Calibri"/>
          <w:noProof w:val="0"/>
          <w:color w:val="000000"/>
          <w:szCs w:val="24"/>
          <w:lang w:val="de-DE"/>
        </w:rPr>
        <w:t>, C 16372</w:t>
      </w:r>
    </w:p>
    <w:p w14:paraId="2BB83C92" w14:textId="52CEAE63" w:rsidR="00F960D5" w:rsidRDefault="009B372B" w:rsidP="00721187">
      <w:pPr>
        <w:jc w:val="left"/>
        <w:rPr>
          <w:rFonts w:ascii="Calibri" w:hAnsi="Calibri" w:cs="Calibri"/>
          <w:noProof w:val="0"/>
          <w:color w:val="000000"/>
          <w:szCs w:val="24"/>
          <w:lang w:val="en-GB"/>
        </w:rPr>
      </w:pPr>
      <w:proofErr w:type="spellStart"/>
      <w:r>
        <w:rPr>
          <w:rFonts w:ascii="Calibri" w:hAnsi="Calibri" w:cs="Calibri"/>
          <w:noProof w:val="0"/>
          <w:color w:val="000000"/>
          <w:szCs w:val="24"/>
          <w:lang w:val="en-GB"/>
        </w:rPr>
        <w:t>jako</w:t>
      </w:r>
      <w:proofErr w:type="spellEnd"/>
      <w:r>
        <w:rPr>
          <w:rFonts w:ascii="Calibri" w:hAnsi="Calibri" w:cs="Calibri"/>
          <w:noProof w:val="0"/>
          <w:color w:val="000000"/>
          <w:szCs w:val="24"/>
          <w:lang w:val="en-GB"/>
        </w:rPr>
        <w:t xml:space="preserve"> Auditor </w:t>
      </w:r>
      <w:proofErr w:type="spellStart"/>
      <w:r>
        <w:rPr>
          <w:rFonts w:ascii="Calibri" w:hAnsi="Calibri" w:cs="Calibri"/>
          <w:noProof w:val="0"/>
          <w:color w:val="000000"/>
          <w:szCs w:val="24"/>
          <w:lang w:val="en-GB"/>
        </w:rPr>
        <w:t>na</w:t>
      </w:r>
      <w:proofErr w:type="spellEnd"/>
      <w:r>
        <w:rPr>
          <w:rFonts w:ascii="Calibri" w:hAnsi="Calibri" w:cs="Calibri"/>
          <w:noProof w:val="0"/>
          <w:color w:val="000000"/>
          <w:szCs w:val="24"/>
          <w:lang w:val="en-GB"/>
        </w:rPr>
        <w:t xml:space="preserve"> </w:t>
      </w:r>
      <w:proofErr w:type="spellStart"/>
      <w:r>
        <w:rPr>
          <w:rFonts w:ascii="Calibri" w:hAnsi="Calibri" w:cs="Calibri"/>
          <w:noProof w:val="0"/>
          <w:color w:val="000000"/>
          <w:szCs w:val="24"/>
          <w:lang w:val="en-GB"/>
        </w:rPr>
        <w:t>straně</w:t>
      </w:r>
      <w:proofErr w:type="spellEnd"/>
      <w:r>
        <w:rPr>
          <w:rFonts w:ascii="Calibri" w:hAnsi="Calibri" w:cs="Calibri"/>
          <w:noProof w:val="0"/>
          <w:color w:val="000000"/>
          <w:szCs w:val="24"/>
          <w:lang w:val="en-GB"/>
        </w:rPr>
        <w:t xml:space="preserve"> </w:t>
      </w:r>
      <w:proofErr w:type="spellStart"/>
      <w:r>
        <w:rPr>
          <w:rFonts w:ascii="Calibri" w:hAnsi="Calibri" w:cs="Calibri"/>
          <w:noProof w:val="0"/>
          <w:color w:val="000000"/>
          <w:szCs w:val="24"/>
          <w:lang w:val="en-GB"/>
        </w:rPr>
        <w:t>druhé</w:t>
      </w:r>
      <w:proofErr w:type="spellEnd"/>
      <w:r>
        <w:rPr>
          <w:rFonts w:ascii="Calibri" w:hAnsi="Calibri" w:cs="Calibri"/>
          <w:noProof w:val="0"/>
          <w:color w:val="000000"/>
          <w:szCs w:val="24"/>
          <w:lang w:val="en-GB"/>
        </w:rPr>
        <w:t xml:space="preserve"> (</w:t>
      </w:r>
      <w:proofErr w:type="spellStart"/>
      <w:r>
        <w:rPr>
          <w:rFonts w:ascii="Calibri" w:hAnsi="Calibri" w:cs="Calibri"/>
          <w:noProof w:val="0"/>
          <w:color w:val="000000"/>
          <w:szCs w:val="24"/>
          <w:lang w:val="en-GB"/>
        </w:rPr>
        <w:t>dále</w:t>
      </w:r>
      <w:proofErr w:type="spellEnd"/>
      <w:r>
        <w:rPr>
          <w:rFonts w:ascii="Calibri" w:hAnsi="Calibri" w:cs="Calibri"/>
          <w:noProof w:val="0"/>
          <w:color w:val="000000"/>
          <w:szCs w:val="24"/>
          <w:lang w:val="en-GB"/>
        </w:rPr>
        <w:t xml:space="preserve"> </w:t>
      </w:r>
      <w:proofErr w:type="spellStart"/>
      <w:r>
        <w:rPr>
          <w:rFonts w:ascii="Calibri" w:hAnsi="Calibri" w:cs="Calibri"/>
          <w:noProof w:val="0"/>
          <w:color w:val="000000"/>
          <w:szCs w:val="24"/>
          <w:lang w:val="en-GB"/>
        </w:rPr>
        <w:t>jen</w:t>
      </w:r>
      <w:proofErr w:type="spellEnd"/>
      <w:r>
        <w:rPr>
          <w:rFonts w:ascii="Calibri" w:hAnsi="Calibri" w:cs="Calibri"/>
          <w:noProof w:val="0"/>
          <w:color w:val="000000"/>
          <w:szCs w:val="24"/>
          <w:lang w:val="en-GB"/>
        </w:rPr>
        <w:t xml:space="preserve"> „</w:t>
      </w:r>
      <w:proofErr w:type="gramStart"/>
      <w:r>
        <w:rPr>
          <w:rFonts w:ascii="Calibri" w:hAnsi="Calibri" w:cs="Calibri"/>
          <w:noProof w:val="0"/>
          <w:color w:val="000000"/>
          <w:szCs w:val="24"/>
          <w:lang w:val="en-GB"/>
        </w:rPr>
        <w:t>Auditor“</w:t>
      </w:r>
      <w:proofErr w:type="gramEnd"/>
      <w:r>
        <w:rPr>
          <w:rFonts w:ascii="Calibri" w:hAnsi="Calibri" w:cs="Calibri"/>
          <w:noProof w:val="0"/>
          <w:color w:val="000000"/>
          <w:szCs w:val="24"/>
          <w:lang w:val="en-GB"/>
        </w:rPr>
        <w:t>)</w:t>
      </w:r>
    </w:p>
    <w:p w14:paraId="64988D6B" w14:textId="77777777" w:rsidR="009B372B" w:rsidRDefault="009B372B" w:rsidP="009B372B">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color w:val="000000"/>
          <w:szCs w:val="24"/>
        </w:rPr>
      </w:pPr>
    </w:p>
    <w:p w14:paraId="23BABC5E" w14:textId="77777777" w:rsidR="00F960D5" w:rsidRPr="00951407" w:rsidRDefault="00F960D5" w:rsidP="00F960D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ind w:left="284" w:hanging="284"/>
        <w:jc w:val="center"/>
        <w:rPr>
          <w:rFonts w:cs="Arial"/>
          <w:color w:val="000000"/>
          <w:szCs w:val="24"/>
        </w:rPr>
      </w:pPr>
      <w:r>
        <w:rPr>
          <w:rFonts w:cs="Arial"/>
          <w:color w:val="000000"/>
          <w:szCs w:val="24"/>
        </w:rPr>
        <w:t>společně též „smluvní strany“</w:t>
      </w:r>
    </w:p>
    <w:p w14:paraId="6A2401FC" w14:textId="338AAC31" w:rsidR="00321D62" w:rsidRPr="00585F2D" w:rsidRDefault="00585F2D" w:rsidP="00D97CA9">
      <w:pPr>
        <w:pStyle w:val="Nadpis1"/>
      </w:pPr>
      <w:r w:rsidRPr="00585F2D">
        <w:t xml:space="preserve">II. </w:t>
      </w:r>
      <w:r w:rsidR="00321D62" w:rsidRPr="00585F2D">
        <w:t>Účel smlouvy</w:t>
      </w:r>
    </w:p>
    <w:p w14:paraId="04B96395" w14:textId="3D093CA4" w:rsidR="00A605D9" w:rsidRDefault="00321D62" w:rsidP="0068304F">
      <w:pPr>
        <w:pStyle w:val="Odstavecseseznamem"/>
        <w:numPr>
          <w:ilvl w:val="0"/>
          <w:numId w:val="1"/>
        </w:numPr>
        <w:ind w:left="284" w:hanging="284"/>
        <w:rPr>
          <w:lang w:val="cs-CZ"/>
        </w:rPr>
      </w:pPr>
      <w:r w:rsidRPr="00585F2D">
        <w:rPr>
          <w:lang w:val="cs-CZ"/>
        </w:rPr>
        <w:t>Účelem této smlouvy je</w:t>
      </w:r>
      <w:r w:rsidR="00A605D9">
        <w:rPr>
          <w:lang w:val="cs-CZ"/>
        </w:rPr>
        <w:t xml:space="preserve"> upavení vzájemných práv a povinností smluvních stran pro</w:t>
      </w:r>
      <w:r w:rsidRPr="00585F2D">
        <w:rPr>
          <w:lang w:val="cs-CZ"/>
        </w:rPr>
        <w:t xml:space="preserve"> řádné, kompl</w:t>
      </w:r>
      <w:r w:rsidR="00585F2D" w:rsidRPr="00585F2D">
        <w:rPr>
          <w:lang w:val="cs-CZ"/>
        </w:rPr>
        <w:t xml:space="preserve">etní a včasné </w:t>
      </w:r>
      <w:r w:rsidR="006945B9">
        <w:rPr>
          <w:lang w:val="cs-CZ"/>
        </w:rPr>
        <w:t xml:space="preserve">poskytnutí služeb spočívajících v auditorské činnosti vybraných projektů </w:t>
      </w:r>
      <w:r w:rsidR="00A605D9">
        <w:rPr>
          <w:lang w:val="cs-CZ"/>
        </w:rPr>
        <w:t>O</w:t>
      </w:r>
      <w:r w:rsidR="006945B9">
        <w:rPr>
          <w:lang w:val="cs-CZ"/>
        </w:rPr>
        <w:t xml:space="preserve">bjednatele </w:t>
      </w:r>
      <w:r w:rsidR="006945B9" w:rsidRPr="00A81409">
        <w:rPr>
          <w:lang w:val="cs-CZ"/>
        </w:rPr>
        <w:t>specifikovaných v příloz</w:t>
      </w:r>
      <w:r w:rsidR="00B33805" w:rsidRPr="00A81409">
        <w:rPr>
          <w:lang w:val="cs-CZ"/>
        </w:rPr>
        <w:t>e</w:t>
      </w:r>
      <w:r w:rsidR="006945B9" w:rsidRPr="00A81409">
        <w:rPr>
          <w:lang w:val="cs-CZ"/>
        </w:rPr>
        <w:t xml:space="preserve"> A této smlouvy</w:t>
      </w:r>
      <w:r w:rsidR="00585F2D" w:rsidRPr="00585F2D">
        <w:rPr>
          <w:lang w:val="cs-CZ"/>
        </w:rPr>
        <w:t xml:space="preserve">, </w:t>
      </w:r>
      <w:r w:rsidR="00337F1C" w:rsidRPr="00585F2D">
        <w:rPr>
          <w:lang w:val="cs-CZ"/>
        </w:rPr>
        <w:t>které</w:t>
      </w:r>
      <w:r w:rsidRPr="00585F2D">
        <w:rPr>
          <w:lang w:val="cs-CZ"/>
        </w:rPr>
        <w:t xml:space="preserve"> je předmětem </w:t>
      </w:r>
      <w:r w:rsidR="00380824">
        <w:rPr>
          <w:lang w:val="cs-CZ"/>
        </w:rPr>
        <w:t xml:space="preserve"> </w:t>
      </w:r>
      <w:r w:rsidR="00A81409">
        <w:rPr>
          <w:lang w:val="cs-CZ"/>
        </w:rPr>
        <w:t xml:space="preserve">podlimitní </w:t>
      </w:r>
      <w:r w:rsidRPr="00585F2D">
        <w:rPr>
          <w:lang w:val="cs-CZ"/>
        </w:rPr>
        <w:t>veřejné zakázky s názvem</w:t>
      </w:r>
      <w:r w:rsidRPr="008E6BA9">
        <w:rPr>
          <w:b/>
          <w:lang w:val="cs-CZ"/>
        </w:rPr>
        <w:t xml:space="preserve"> </w:t>
      </w:r>
      <w:r w:rsidR="00585F2D" w:rsidRPr="008E6BA9">
        <w:rPr>
          <w:b/>
          <w:lang w:val="cs-CZ"/>
        </w:rPr>
        <w:t>„</w:t>
      </w:r>
      <w:r w:rsidR="00A81409" w:rsidRPr="008E6BA9">
        <w:rPr>
          <w:b/>
          <w:lang w:val="cs-CZ"/>
        </w:rPr>
        <w:t>ČVUT-CIIRC: Finanční audity projektů H2020, HE a DEP</w:t>
      </w:r>
      <w:r w:rsidR="00585F2D" w:rsidRPr="008E6BA9">
        <w:rPr>
          <w:b/>
          <w:lang w:val="cs-CZ"/>
        </w:rPr>
        <w:t>“</w:t>
      </w:r>
      <w:r w:rsidR="00585F2D" w:rsidRPr="00A81409">
        <w:rPr>
          <w:lang w:val="cs-CZ"/>
        </w:rPr>
        <w:t>.</w:t>
      </w:r>
      <w:r w:rsidR="00A605D9" w:rsidRPr="00A605D9">
        <w:rPr>
          <w:lang w:val="cs-CZ"/>
        </w:rPr>
        <w:t xml:space="preserve"> </w:t>
      </w:r>
    </w:p>
    <w:p w14:paraId="2FD33452" w14:textId="02D37BC3" w:rsidR="00FB680E" w:rsidRPr="00E80A3D" w:rsidRDefault="00A605D9" w:rsidP="0068304F">
      <w:pPr>
        <w:pStyle w:val="Odstavecseseznamem"/>
        <w:numPr>
          <w:ilvl w:val="0"/>
          <w:numId w:val="1"/>
        </w:numPr>
        <w:ind w:left="284" w:hanging="284"/>
        <w:rPr>
          <w:lang w:val="cs-CZ"/>
        </w:rPr>
      </w:pPr>
      <w:r>
        <w:rPr>
          <w:lang w:val="cs-CZ"/>
        </w:rPr>
        <w:lastRenderedPageBreak/>
        <w:t>Služby Auditora jsou po</w:t>
      </w:r>
      <w:r w:rsidRPr="00A605D9">
        <w:rPr>
          <w:lang w:val="cs-CZ"/>
        </w:rPr>
        <w:t>skytovány zejména za</w:t>
      </w:r>
      <w:r w:rsidR="00E80A3D">
        <w:rPr>
          <w:lang w:val="cs-CZ"/>
        </w:rPr>
        <w:t xml:space="preserve"> účelem vyhotovení O</w:t>
      </w:r>
      <w:r w:rsidRPr="00A605D9">
        <w:rPr>
          <w:lang w:val="cs-CZ"/>
        </w:rPr>
        <w:t>svědčení</w:t>
      </w:r>
      <w:r w:rsidR="00B33805">
        <w:rPr>
          <w:lang w:val="cs-CZ"/>
        </w:rPr>
        <w:t xml:space="preserve"> </w:t>
      </w:r>
      <w:r w:rsidR="00B33805" w:rsidRPr="003A3A5C">
        <w:rPr>
          <w:lang w:val="cs-CZ"/>
        </w:rPr>
        <w:t>o finančních výkazech</w:t>
      </w:r>
      <w:r w:rsidRPr="00A605D9">
        <w:rPr>
          <w:lang w:val="cs-CZ"/>
        </w:rPr>
        <w:t>, které j</w:t>
      </w:r>
      <w:r>
        <w:rPr>
          <w:lang w:val="cs-CZ"/>
        </w:rPr>
        <w:t>e Objednatel povinen předložit Evropské Komisi (dále jen jako „poskytovatel</w:t>
      </w:r>
      <w:r w:rsidRPr="00A605D9">
        <w:rPr>
          <w:lang w:val="cs-CZ"/>
        </w:rPr>
        <w:t xml:space="preserve"> dotace</w:t>
      </w:r>
      <w:r>
        <w:rPr>
          <w:lang w:val="cs-CZ"/>
        </w:rPr>
        <w:t>“)</w:t>
      </w:r>
      <w:r w:rsidR="00E80A3D">
        <w:rPr>
          <w:lang w:val="cs-CZ"/>
        </w:rPr>
        <w:t xml:space="preserve"> ke každému p</w:t>
      </w:r>
      <w:r w:rsidRPr="00A605D9">
        <w:rPr>
          <w:lang w:val="cs-CZ"/>
        </w:rPr>
        <w:t>rojektu</w:t>
      </w:r>
      <w:r w:rsidR="0026646F">
        <w:rPr>
          <w:lang w:val="cs-CZ"/>
        </w:rPr>
        <w:t xml:space="preserve"> dle</w:t>
      </w:r>
      <w:r w:rsidR="003A3A5C">
        <w:rPr>
          <w:lang w:val="cs-CZ"/>
        </w:rPr>
        <w:t xml:space="preserve"> přílohy A</w:t>
      </w:r>
      <w:r w:rsidRPr="00A605D9">
        <w:rPr>
          <w:lang w:val="cs-CZ"/>
        </w:rPr>
        <w:t xml:space="preserve">. </w:t>
      </w:r>
      <w:r>
        <w:rPr>
          <w:lang w:val="cs-CZ"/>
        </w:rPr>
        <w:t>Na řádném a včasném poskytnutí auditoských služeb je tak</w:t>
      </w:r>
      <w:r w:rsidRPr="00A605D9">
        <w:rPr>
          <w:lang w:val="cs-CZ"/>
        </w:rPr>
        <w:t xml:space="preserve"> Objednatel závislý a nelze je nijak adekvátně nahradit. </w:t>
      </w:r>
    </w:p>
    <w:p w14:paraId="714C7B38" w14:textId="404D6B5C" w:rsidR="00321D62" w:rsidRPr="00EB1680" w:rsidRDefault="00321D62" w:rsidP="00585F2D">
      <w:pPr>
        <w:pStyle w:val="Nadpis1"/>
        <w:rPr>
          <w:snapToGrid w:val="0"/>
          <w:lang w:val="cs-CZ"/>
        </w:rPr>
      </w:pPr>
      <w:r w:rsidRPr="003A3A5C">
        <w:rPr>
          <w:snapToGrid w:val="0"/>
          <w:lang w:val="cs-CZ"/>
        </w:rPr>
        <w:t>III.</w:t>
      </w:r>
      <w:r w:rsidR="00585F2D" w:rsidRPr="003A3A5C">
        <w:rPr>
          <w:snapToGrid w:val="0"/>
          <w:lang w:val="cs-CZ"/>
        </w:rPr>
        <w:t xml:space="preserve"> </w:t>
      </w:r>
      <w:r w:rsidRPr="00EB1680">
        <w:rPr>
          <w:snapToGrid w:val="0"/>
          <w:lang w:val="cs-CZ"/>
        </w:rPr>
        <w:t>Předmět smlouvy</w:t>
      </w:r>
    </w:p>
    <w:p w14:paraId="4AF78918" w14:textId="5701F1B2" w:rsidR="00321D62" w:rsidRDefault="00A605D9" w:rsidP="00A81409">
      <w:pPr>
        <w:pStyle w:val="Odstavecseseznamem"/>
        <w:numPr>
          <w:ilvl w:val="0"/>
          <w:numId w:val="12"/>
        </w:numPr>
        <w:ind w:left="284" w:hanging="284"/>
        <w:rPr>
          <w:lang w:val="cs-CZ"/>
        </w:rPr>
      </w:pPr>
      <w:r w:rsidRPr="00A605D9">
        <w:rPr>
          <w:lang w:val="cs-CZ"/>
        </w:rPr>
        <w:t xml:space="preserve">Auditor se zavazuje, že Objednateli na základě </w:t>
      </w:r>
      <w:r>
        <w:rPr>
          <w:lang w:val="cs-CZ"/>
        </w:rPr>
        <w:t>této smlouvy</w:t>
      </w:r>
      <w:r w:rsidRPr="00A605D9">
        <w:rPr>
          <w:lang w:val="cs-CZ"/>
        </w:rPr>
        <w:t xml:space="preserve"> poskytne </w:t>
      </w:r>
      <w:r>
        <w:rPr>
          <w:lang w:val="cs-CZ"/>
        </w:rPr>
        <w:t>s</w:t>
      </w:r>
      <w:r w:rsidRPr="00A605D9">
        <w:rPr>
          <w:lang w:val="cs-CZ"/>
        </w:rPr>
        <w:t xml:space="preserve">lužby </w:t>
      </w:r>
      <w:r>
        <w:rPr>
          <w:lang w:val="cs-CZ"/>
        </w:rPr>
        <w:t xml:space="preserve">spočívající v auditorské činnosti </w:t>
      </w:r>
      <w:r w:rsidR="00B33805">
        <w:rPr>
          <w:lang w:val="cs-CZ"/>
        </w:rPr>
        <w:t>a vyhotovení O</w:t>
      </w:r>
      <w:r w:rsidR="00B33805" w:rsidRPr="00A605D9">
        <w:rPr>
          <w:lang w:val="cs-CZ"/>
        </w:rPr>
        <w:t>svědčení</w:t>
      </w:r>
      <w:r w:rsidR="00B33805">
        <w:rPr>
          <w:lang w:val="cs-CZ"/>
        </w:rPr>
        <w:t xml:space="preserve"> </w:t>
      </w:r>
      <w:r w:rsidR="00B33805" w:rsidRPr="003A3A5C">
        <w:rPr>
          <w:lang w:val="cs-CZ"/>
        </w:rPr>
        <w:t>o finančních výkazech</w:t>
      </w:r>
      <w:r w:rsidR="008E6BA9">
        <w:rPr>
          <w:lang w:val="cs-CZ"/>
        </w:rPr>
        <w:t xml:space="preserve"> (anglicky také „</w:t>
      </w:r>
      <w:r w:rsidR="008E6BA9" w:rsidRPr="009B372B">
        <w:rPr>
          <w:rFonts w:cstheme="minorHAnsi"/>
          <w:lang w:val="cs-CZ"/>
        </w:rPr>
        <w:t>Certificate on the Financial Statements”)</w:t>
      </w:r>
      <w:r w:rsidR="00B33805">
        <w:rPr>
          <w:lang w:val="cs-CZ"/>
        </w:rPr>
        <w:t xml:space="preserve"> </w:t>
      </w:r>
      <w:r>
        <w:rPr>
          <w:lang w:val="cs-CZ"/>
        </w:rPr>
        <w:t xml:space="preserve">vybraných projektů Objednatele </w:t>
      </w:r>
      <w:r w:rsidRPr="003A3A5C">
        <w:rPr>
          <w:lang w:val="cs-CZ"/>
        </w:rPr>
        <w:t>v rámci rámcového programu Horizont 2020</w:t>
      </w:r>
      <w:r w:rsidR="00FD6A80">
        <w:rPr>
          <w:lang w:val="cs-CZ"/>
        </w:rPr>
        <w:t>, Horizont Evropa a Digital Europe</w:t>
      </w:r>
      <w:r w:rsidRPr="003A3A5C">
        <w:rPr>
          <w:lang w:val="cs-CZ"/>
        </w:rPr>
        <w:t xml:space="preserve"> specifikovaných v příloz</w:t>
      </w:r>
      <w:r w:rsidR="00A81409">
        <w:rPr>
          <w:lang w:val="cs-CZ"/>
        </w:rPr>
        <w:t>e</w:t>
      </w:r>
      <w:r w:rsidRPr="003A3A5C">
        <w:rPr>
          <w:lang w:val="cs-CZ"/>
        </w:rPr>
        <w:t xml:space="preserve"> A této smlouvy </w:t>
      </w:r>
      <w:r w:rsidRPr="00A605D9">
        <w:rPr>
          <w:lang w:val="cs-CZ"/>
        </w:rPr>
        <w:t xml:space="preserve">a že splní další s tím související závazky uvedené ve </w:t>
      </w:r>
      <w:r>
        <w:rPr>
          <w:lang w:val="cs-CZ"/>
        </w:rPr>
        <w:t>této smlouvě</w:t>
      </w:r>
      <w:r w:rsidR="00441E19">
        <w:rPr>
          <w:lang w:val="cs-CZ"/>
        </w:rPr>
        <w:t xml:space="preserve"> (dále jen jako „služby“)</w:t>
      </w:r>
      <w:r>
        <w:rPr>
          <w:lang w:val="cs-CZ"/>
        </w:rPr>
        <w:t xml:space="preserve">. </w:t>
      </w:r>
      <w:r w:rsidRPr="00A605D9">
        <w:rPr>
          <w:lang w:val="cs-CZ"/>
        </w:rPr>
        <w:t>Objednatel se za to zavazuje Auditorovi zaplatit dohodnutou odměnu</w:t>
      </w:r>
      <w:r w:rsidR="0026646F">
        <w:rPr>
          <w:lang w:val="cs-CZ"/>
        </w:rPr>
        <w:t>.</w:t>
      </w:r>
    </w:p>
    <w:p w14:paraId="00A22F28" w14:textId="16AEB714" w:rsidR="00A9022D" w:rsidRPr="00A605D9" w:rsidRDefault="00A9022D" w:rsidP="00A81409">
      <w:pPr>
        <w:pStyle w:val="Odstavecseseznamem"/>
        <w:numPr>
          <w:ilvl w:val="0"/>
          <w:numId w:val="12"/>
        </w:numPr>
        <w:ind w:left="284" w:hanging="284"/>
        <w:rPr>
          <w:lang w:val="cs-CZ"/>
        </w:rPr>
      </w:pPr>
      <w:r w:rsidRPr="00A9022D">
        <w:rPr>
          <w:lang w:val="cs-CZ"/>
        </w:rPr>
        <w:t xml:space="preserve">Smluvní strany se výslovně dohodly, že poskytnutí služeb podle této Smlouvy se sjednává s možností uplatnění </w:t>
      </w:r>
      <w:r w:rsidRPr="008E64EC">
        <w:rPr>
          <w:b/>
          <w:lang w:val="cs-CZ"/>
        </w:rPr>
        <w:t>opčního práva</w:t>
      </w:r>
      <w:r w:rsidRPr="00A9022D">
        <w:rPr>
          <w:lang w:val="cs-CZ"/>
        </w:rPr>
        <w:t xml:space="preserve"> ze strany Objednatele na realizaci dalších auditů obdobných projektů, a to za podmínek stanovených touto Smlouvou a jejími přílohami. </w:t>
      </w:r>
    </w:p>
    <w:p w14:paraId="099DB15D" w14:textId="26410DA9" w:rsidR="00321D62" w:rsidRPr="00585F2D" w:rsidRDefault="00321D62" w:rsidP="00585F2D">
      <w:pPr>
        <w:pStyle w:val="Nadpis1"/>
        <w:rPr>
          <w:snapToGrid w:val="0"/>
          <w:lang w:val="cs-CZ"/>
        </w:rPr>
      </w:pPr>
      <w:r w:rsidRPr="00EB1680">
        <w:rPr>
          <w:snapToGrid w:val="0"/>
          <w:lang w:val="cs-CZ"/>
        </w:rPr>
        <w:t>IV.</w:t>
      </w:r>
      <w:r w:rsidR="00585F2D">
        <w:rPr>
          <w:snapToGrid w:val="0"/>
          <w:lang w:val="cs-CZ"/>
        </w:rPr>
        <w:t xml:space="preserve"> </w:t>
      </w:r>
      <w:r w:rsidRPr="00EB1680">
        <w:rPr>
          <w:snapToGrid w:val="0"/>
          <w:lang w:val="cs-CZ"/>
        </w:rPr>
        <w:t>Kvali</w:t>
      </w:r>
      <w:r w:rsidR="00A605D9">
        <w:rPr>
          <w:snapToGrid w:val="0"/>
          <w:lang w:val="cs-CZ"/>
        </w:rPr>
        <w:t>tativní požadavky na poskytnutí služeb</w:t>
      </w:r>
    </w:p>
    <w:p w14:paraId="1638D3B7" w14:textId="457A1C7B" w:rsidR="00D420C7" w:rsidRPr="00AF29F2" w:rsidRDefault="00441E19" w:rsidP="0068304F">
      <w:pPr>
        <w:pStyle w:val="Odstavecseseznamem"/>
        <w:numPr>
          <w:ilvl w:val="0"/>
          <w:numId w:val="3"/>
        </w:numPr>
        <w:ind w:left="284" w:hanging="284"/>
        <w:rPr>
          <w:lang w:val="cs-CZ"/>
        </w:rPr>
      </w:pPr>
      <w:r>
        <w:rPr>
          <w:lang w:val="cs-CZ"/>
        </w:rPr>
        <w:t xml:space="preserve">Auditor je povinnen poskytovat </w:t>
      </w:r>
      <w:r w:rsidR="00D420C7">
        <w:rPr>
          <w:lang w:val="cs-CZ"/>
        </w:rPr>
        <w:t xml:space="preserve">služby </w:t>
      </w:r>
      <w:r w:rsidR="00D420C7" w:rsidRPr="00D420C7">
        <w:rPr>
          <w:lang w:val="cs-CZ"/>
        </w:rPr>
        <w:t>s odbornou péčí v souladu s příslušnými právními předpisy, zejména</w:t>
      </w:r>
      <w:r w:rsidR="00D420C7" w:rsidRPr="00E80A3D">
        <w:rPr>
          <w:lang w:val="cs-CZ"/>
        </w:rPr>
        <w:t xml:space="preserve"> zákon č. 93/2009 Sb., o auditorech a o změně některých zákonů (zákon o auditorech</w:t>
      </w:r>
      <w:r w:rsidR="00D420C7">
        <w:rPr>
          <w:lang w:val="cs-CZ"/>
        </w:rPr>
        <w:t>), ve znění pozdějších předpisů</w:t>
      </w:r>
      <w:r w:rsidR="00D420C7" w:rsidRPr="00D420C7">
        <w:rPr>
          <w:lang w:val="cs-CZ"/>
        </w:rPr>
        <w:t xml:space="preserve">, </w:t>
      </w:r>
      <w:r w:rsidR="00D420C7">
        <w:rPr>
          <w:lang w:val="cs-CZ"/>
        </w:rPr>
        <w:t>ustanovení § 2652 a násl. občanského zákoníku</w:t>
      </w:r>
      <w:r w:rsidR="00D420C7" w:rsidRPr="00D420C7">
        <w:rPr>
          <w:lang w:val="cs-CZ"/>
        </w:rPr>
        <w:t>, podle mezinárodních auditorských standardů a auditorských standardů a předpisů vydaných Komorou auditorů České republiky.</w:t>
      </w:r>
    </w:p>
    <w:p w14:paraId="0E2AC46A" w14:textId="78A38228" w:rsidR="00E80A3D" w:rsidRPr="00A67A55" w:rsidRDefault="00441E19" w:rsidP="0068304F">
      <w:pPr>
        <w:pStyle w:val="Odstavecseseznamem"/>
        <w:numPr>
          <w:ilvl w:val="0"/>
          <w:numId w:val="3"/>
        </w:numPr>
        <w:ind w:left="284" w:hanging="284"/>
        <w:rPr>
          <w:lang w:val="cs-CZ"/>
        </w:rPr>
      </w:pPr>
      <w:r w:rsidRPr="00A67A55">
        <w:rPr>
          <w:lang w:val="cs-CZ"/>
        </w:rPr>
        <w:t xml:space="preserve">Auditor se zavazuje, že </w:t>
      </w:r>
      <w:r w:rsidR="00E80A3D" w:rsidRPr="00A67A55">
        <w:rPr>
          <w:lang w:val="cs-CZ"/>
        </w:rPr>
        <w:t>služby budou poskytnuty</w:t>
      </w:r>
      <w:r w:rsidR="00067489" w:rsidRPr="00A67A55">
        <w:rPr>
          <w:lang w:val="cs-CZ"/>
        </w:rPr>
        <w:t xml:space="preserve"> kvalifikovanými</w:t>
      </w:r>
      <w:r w:rsidR="00E80A3D" w:rsidRPr="00A67A55">
        <w:rPr>
          <w:lang w:val="cs-CZ"/>
        </w:rPr>
        <w:t xml:space="preserve"> osobam</w:t>
      </w:r>
      <w:r w:rsidR="00067489" w:rsidRPr="00A67A55">
        <w:rPr>
          <w:lang w:val="cs-CZ"/>
        </w:rPr>
        <w:t>i v seznamu členů realizačního týmu v příloze B této smlouvy</w:t>
      </w:r>
      <w:r w:rsidR="00E80A3D" w:rsidRPr="00A67A55">
        <w:rPr>
          <w:lang w:val="cs-CZ"/>
        </w:rPr>
        <w:t>.</w:t>
      </w:r>
      <w:r w:rsidR="00067489" w:rsidRPr="00A67A55">
        <w:rPr>
          <w:lang w:val="cs-CZ"/>
        </w:rPr>
        <w:t xml:space="preserve"> Auditor je oprávněn provést z</w:t>
      </w:r>
      <w:r w:rsidR="0026646F">
        <w:rPr>
          <w:lang w:val="cs-CZ"/>
        </w:rPr>
        <w:t>m</w:t>
      </w:r>
      <w:r w:rsidR="00067489" w:rsidRPr="00A67A55">
        <w:rPr>
          <w:lang w:val="cs-CZ"/>
        </w:rPr>
        <w:t>ě</w:t>
      </w:r>
      <w:r w:rsidR="0026646F">
        <w:rPr>
          <w:lang w:val="cs-CZ"/>
        </w:rPr>
        <w:t>n</w:t>
      </w:r>
      <w:r w:rsidR="00067489" w:rsidRPr="00A67A55">
        <w:rPr>
          <w:lang w:val="cs-CZ"/>
        </w:rPr>
        <w:t>u člena realizačního týmu</w:t>
      </w:r>
      <w:r w:rsidR="00E80A3D" w:rsidRPr="00A67A55">
        <w:rPr>
          <w:lang w:val="cs-CZ"/>
        </w:rPr>
        <w:t xml:space="preserve"> </w:t>
      </w:r>
      <w:r w:rsidR="00067489" w:rsidRPr="00A67A55">
        <w:rPr>
          <w:lang w:val="cs-CZ"/>
        </w:rPr>
        <w:t>jen s </w:t>
      </w:r>
      <w:r w:rsidR="00A67A55" w:rsidRPr="00A67A55">
        <w:rPr>
          <w:lang w:val="cs-CZ"/>
        </w:rPr>
        <w:t>p</w:t>
      </w:r>
      <w:r w:rsidR="00067489" w:rsidRPr="00A67A55">
        <w:rPr>
          <w:lang w:val="cs-CZ"/>
        </w:rPr>
        <w:t>ředchozím souhlasem Obje</w:t>
      </w:r>
      <w:r w:rsidR="00742EE6">
        <w:rPr>
          <w:lang w:val="cs-CZ"/>
        </w:rPr>
        <w:t>d</w:t>
      </w:r>
      <w:r w:rsidR="00067489" w:rsidRPr="00A67A55">
        <w:rPr>
          <w:lang w:val="cs-CZ"/>
        </w:rPr>
        <w:t>natele</w:t>
      </w:r>
      <w:r w:rsidR="0026646F">
        <w:rPr>
          <w:lang w:val="cs-CZ"/>
        </w:rPr>
        <w:t>,</w:t>
      </w:r>
      <w:r w:rsidR="00067489" w:rsidRPr="00A67A55">
        <w:rPr>
          <w:lang w:val="cs-CZ"/>
        </w:rPr>
        <w:t xml:space="preserve"> a to pouze za osobu s minimálně stejnou či vyšší kvalifikací pro plnění této smlouvy.</w:t>
      </w:r>
      <w:r w:rsidR="00541E2E" w:rsidRPr="00A67A55">
        <w:rPr>
          <w:lang w:val="cs-CZ"/>
        </w:rPr>
        <w:t xml:space="preserve"> Porušení tohoto závazku se považuje za podstatné porušení této smlouvy.</w:t>
      </w:r>
    </w:p>
    <w:p w14:paraId="20233499" w14:textId="77777777" w:rsidR="00FD6A80" w:rsidRDefault="00E80A3D" w:rsidP="0068304F">
      <w:pPr>
        <w:pStyle w:val="Odstavecseseznamem"/>
        <w:numPr>
          <w:ilvl w:val="0"/>
          <w:numId w:val="3"/>
        </w:numPr>
        <w:ind w:left="284" w:hanging="284"/>
        <w:rPr>
          <w:lang w:val="cs-CZ"/>
        </w:rPr>
      </w:pPr>
      <w:r w:rsidRPr="00E80A3D">
        <w:rPr>
          <w:lang w:val="cs-CZ"/>
        </w:rPr>
        <w:t xml:space="preserve">Auditor se zavazuje řídit se </w:t>
      </w:r>
      <w:r w:rsidRPr="003A3A5C">
        <w:rPr>
          <w:lang w:val="cs-CZ"/>
        </w:rPr>
        <w:t>závaznými dokumenty Evropské Komise k</w:t>
      </w:r>
      <w:r w:rsidR="00FD6A80">
        <w:rPr>
          <w:lang w:val="cs-CZ"/>
        </w:rPr>
        <w:t> </w:t>
      </w:r>
      <w:r w:rsidRPr="003A3A5C">
        <w:rPr>
          <w:lang w:val="cs-CZ"/>
        </w:rPr>
        <w:t>projektům</w:t>
      </w:r>
      <w:r w:rsidR="00FD6A80">
        <w:rPr>
          <w:lang w:val="cs-CZ"/>
        </w:rPr>
        <w:t>:</w:t>
      </w:r>
    </w:p>
    <w:p w14:paraId="7BDD34DC" w14:textId="3B66EBA5" w:rsidR="00E80A3D" w:rsidRDefault="00E80A3D" w:rsidP="00FD6A80">
      <w:pPr>
        <w:pStyle w:val="Odstavecseseznamem"/>
        <w:numPr>
          <w:ilvl w:val="0"/>
          <w:numId w:val="13"/>
        </w:numPr>
        <w:rPr>
          <w:lang w:val="cs-CZ"/>
        </w:rPr>
      </w:pPr>
      <w:r w:rsidRPr="003A3A5C">
        <w:rPr>
          <w:lang w:val="cs-CZ"/>
        </w:rPr>
        <w:t xml:space="preserve">Horizont 2020 včetně Audit Templates (vzorů pro auditní zprávu) – Certificate on Financial </w:t>
      </w:r>
      <w:r w:rsidR="00DF7594">
        <w:rPr>
          <w:lang w:val="cs-CZ"/>
        </w:rPr>
        <w:t>S</w:t>
      </w:r>
      <w:r w:rsidRPr="003A3A5C">
        <w:rPr>
          <w:lang w:val="cs-CZ"/>
        </w:rPr>
        <w:t xml:space="preserve">tatements (Osvědčení o </w:t>
      </w:r>
      <w:r w:rsidR="00B33805" w:rsidRPr="003A3A5C">
        <w:rPr>
          <w:lang w:val="cs-CZ"/>
        </w:rPr>
        <w:t>finančních výkazech</w:t>
      </w:r>
      <w:r w:rsidR="0026646F">
        <w:rPr>
          <w:lang w:val="cs-CZ"/>
        </w:rPr>
        <w:t xml:space="preserve">, </w:t>
      </w:r>
      <w:r w:rsidR="0026646F">
        <w:rPr>
          <w:rFonts w:cs="Arial"/>
          <w:lang w:val="cs-CZ"/>
        </w:rPr>
        <w:t>dále jen jako „osvědčení“)</w:t>
      </w:r>
      <w:r w:rsidRPr="003A3A5C">
        <w:rPr>
          <w:lang w:val="cs-CZ"/>
        </w:rPr>
        <w:t>, které jsou dostupné na odkaze:</w:t>
      </w:r>
      <w:r w:rsidR="00DF7594">
        <w:rPr>
          <w:lang w:val="cs-CZ"/>
        </w:rPr>
        <w:t xml:space="preserve"> </w:t>
      </w:r>
      <w:hyperlink r:id="rId8" w:history="1">
        <w:r w:rsidR="00DF7594" w:rsidRPr="00FD6A80">
          <w:rPr>
            <w:rStyle w:val="Hypertextovodkaz"/>
            <w:lang w:val="cs-CZ"/>
          </w:rPr>
          <w:t>https://ec.europa.eu/info/funding-tenders/opportunities/portal/screen/how-to-participate/reference-documents?selectedProgrammePeriod=2014-2020</w:t>
        </w:r>
      </w:hyperlink>
      <w:r w:rsidR="00DF7594">
        <w:rPr>
          <w:lang w:val="cs-CZ"/>
        </w:rPr>
        <w:t xml:space="preserve"> </w:t>
      </w:r>
    </w:p>
    <w:p w14:paraId="0BB46136" w14:textId="4518517D" w:rsidR="00FD6A80" w:rsidRPr="009B372B" w:rsidRDefault="00FD6A80" w:rsidP="00FD6A80">
      <w:pPr>
        <w:pStyle w:val="Odstavecseseznamem"/>
        <w:numPr>
          <w:ilvl w:val="0"/>
          <w:numId w:val="13"/>
        </w:numPr>
        <w:rPr>
          <w:rFonts w:cstheme="minorHAnsi"/>
          <w:lang w:val="cs-CZ"/>
        </w:rPr>
      </w:pPr>
      <w:r w:rsidRPr="00FD6A80">
        <w:rPr>
          <w:lang w:val="cs-CZ"/>
        </w:rPr>
        <w:t xml:space="preserve">Horizont Evropa včetně Audit Templates (vzorů pro auditní zprávu) – Certificate on Financial Statements (Osvědčení o finančních výkazech, </w:t>
      </w:r>
      <w:r w:rsidRPr="00FD6A80">
        <w:rPr>
          <w:rFonts w:cs="Arial"/>
          <w:lang w:val="cs-CZ"/>
        </w:rPr>
        <w:t>dále jen jako „osvědčení“)</w:t>
      </w:r>
      <w:r w:rsidRPr="00FD6A80">
        <w:rPr>
          <w:lang w:val="cs-CZ"/>
        </w:rPr>
        <w:t xml:space="preserve">, které jsou dostupné na odkaze: </w:t>
      </w:r>
      <w:hyperlink r:id="rId9" w:history="1">
        <w:r w:rsidRPr="009B372B">
          <w:rPr>
            <w:rStyle w:val="Hypertextovodkaz"/>
            <w:rFonts w:cstheme="minorHAnsi"/>
            <w:lang w:val="cs-CZ"/>
          </w:rPr>
          <w:t>https://ec.europa.eu/info/funding-tenders/opportunities/portal/screen/how-to-participate/reference-documents?programmePeriod=2021-2027&amp;frameworkProgramme=43108390</w:t>
        </w:r>
      </w:hyperlink>
    </w:p>
    <w:p w14:paraId="57351366" w14:textId="1548827F" w:rsidR="00FD6A80" w:rsidRPr="009B372B" w:rsidRDefault="00FD6A80" w:rsidP="00FD6A80">
      <w:pPr>
        <w:pStyle w:val="Odstavecseseznamem"/>
        <w:numPr>
          <w:ilvl w:val="0"/>
          <w:numId w:val="13"/>
        </w:numPr>
        <w:rPr>
          <w:rFonts w:cstheme="minorHAnsi"/>
          <w:lang w:val="cs-CZ"/>
        </w:rPr>
      </w:pPr>
      <w:r w:rsidRPr="00FD6A80">
        <w:rPr>
          <w:lang w:val="cs-CZ"/>
        </w:rPr>
        <w:t xml:space="preserve">Digital Europe včetně Audit Templates (vzorů pro auditní zprávu) – Certificate on Financial Statements (Osvědčení o finančních výkazech, </w:t>
      </w:r>
      <w:r w:rsidRPr="00FD6A80">
        <w:rPr>
          <w:rFonts w:cs="Arial"/>
          <w:lang w:val="cs-CZ"/>
        </w:rPr>
        <w:t>dále jen jako „osvědčení“)</w:t>
      </w:r>
      <w:r w:rsidRPr="00FD6A80">
        <w:rPr>
          <w:lang w:val="cs-CZ"/>
        </w:rPr>
        <w:t xml:space="preserve">, které jsou dostupné na </w:t>
      </w:r>
      <w:r w:rsidRPr="00FD6A80">
        <w:rPr>
          <w:lang w:val="cs-CZ"/>
        </w:rPr>
        <w:lastRenderedPageBreak/>
        <w:t xml:space="preserve">odkaze: </w:t>
      </w:r>
      <w:hyperlink r:id="rId10" w:history="1">
        <w:r w:rsidRPr="009B372B">
          <w:rPr>
            <w:rStyle w:val="Hypertextovodkaz"/>
            <w:rFonts w:cstheme="minorHAnsi"/>
            <w:lang w:val="cs-CZ"/>
          </w:rPr>
          <w:t>https://ec.europa.eu/info/funding-tenders/opportunities/portal/screen/how-to-participate/reference-documents?programmePeriod=2021-2027&amp;frameworkProgramme=43152860</w:t>
        </w:r>
      </w:hyperlink>
    </w:p>
    <w:p w14:paraId="766ADAE0" w14:textId="2AAA3260" w:rsidR="00FD6A80" w:rsidRPr="00E80A3D" w:rsidRDefault="00FD6A80" w:rsidP="00FD6A80">
      <w:pPr>
        <w:pStyle w:val="Odstavecseseznamem"/>
        <w:ind w:left="644"/>
        <w:rPr>
          <w:lang w:val="cs-CZ"/>
        </w:rPr>
      </w:pPr>
    </w:p>
    <w:p w14:paraId="0AEF32BE" w14:textId="5773120B" w:rsidR="00AF29F2" w:rsidRDefault="00AF29F2" w:rsidP="00FD6A80">
      <w:pPr>
        <w:pStyle w:val="Odstavecseseznamem"/>
        <w:numPr>
          <w:ilvl w:val="0"/>
          <w:numId w:val="3"/>
        </w:numPr>
        <w:ind w:left="284" w:hanging="284"/>
        <w:rPr>
          <w:lang w:val="cs-CZ"/>
        </w:rPr>
      </w:pPr>
      <w:r w:rsidRPr="003A3A5C">
        <w:rPr>
          <w:lang w:val="cs-CZ"/>
        </w:rPr>
        <w:t>Objednatel je p</w:t>
      </w:r>
      <w:r w:rsidR="009461BC" w:rsidRPr="003A3A5C">
        <w:rPr>
          <w:lang w:val="cs-CZ"/>
        </w:rPr>
        <w:t>ovinnen</w:t>
      </w:r>
      <w:r w:rsidRPr="003A3A5C">
        <w:rPr>
          <w:lang w:val="cs-CZ"/>
        </w:rPr>
        <w:t xml:space="preserve"> poskytnout nezbytnou s</w:t>
      </w:r>
      <w:r w:rsidR="00441E19" w:rsidRPr="003A3A5C">
        <w:rPr>
          <w:lang w:val="cs-CZ"/>
        </w:rPr>
        <w:t>oučinnost potřebnou pro to, aby</w:t>
      </w:r>
      <w:r w:rsidRPr="003A3A5C">
        <w:rPr>
          <w:lang w:val="cs-CZ"/>
        </w:rPr>
        <w:t xml:space="preserve"> služby mohly být řádně a včas poskytnuty. Objednatel je zejména povinen umožnit Auditorovi potřebný přístup ke všem relevantním dokumentům k projektům, kterých je pro poskytnutí služeb třeba, a sdělit veškeré relevantní informace, které si Auditor vyžádal a které jsou pro řádné a včasné poskytování služeb nezbytné. Místem přístupu Auditora k</w:t>
      </w:r>
      <w:r w:rsidR="00A67A55">
        <w:rPr>
          <w:lang w:val="cs-CZ"/>
        </w:rPr>
        <w:t> </w:t>
      </w:r>
      <w:r w:rsidRPr="003A3A5C">
        <w:rPr>
          <w:lang w:val="cs-CZ"/>
        </w:rPr>
        <w:t>dokumentům</w:t>
      </w:r>
      <w:r w:rsidR="00A67A55">
        <w:rPr>
          <w:lang w:val="cs-CZ"/>
        </w:rPr>
        <w:t xml:space="preserve"> v listinné podobě</w:t>
      </w:r>
      <w:r w:rsidRPr="003A3A5C">
        <w:rPr>
          <w:lang w:val="cs-CZ"/>
        </w:rPr>
        <w:t xml:space="preserve"> je sídlo Objednatele, nebude-li mezi Objednatelem a Auditorem dohodnuto jinak; dokumenty je Auditor oprávněn vynášet mimo tyto prostory pouze po předchozím písemném souhlasu Objednatele.</w:t>
      </w:r>
    </w:p>
    <w:p w14:paraId="3E26DF1B" w14:textId="1FE59704" w:rsidR="00DF7594" w:rsidRPr="003A3A5C" w:rsidRDefault="00DF7594" w:rsidP="00FD6A80">
      <w:pPr>
        <w:pStyle w:val="Odstavecseseznamem"/>
        <w:numPr>
          <w:ilvl w:val="0"/>
          <w:numId w:val="3"/>
        </w:numPr>
        <w:ind w:left="284" w:hanging="284"/>
        <w:rPr>
          <w:lang w:val="cs-CZ"/>
        </w:rPr>
      </w:pPr>
      <w:r>
        <w:rPr>
          <w:lang w:val="cs-CZ"/>
        </w:rPr>
        <w:t xml:space="preserve">Komunikace mezi Objednatelem a Auditorem bude probíhat osobně či dle prostředků vzdálené komunikace. Průběžné výstupy bude Auditor předávat Objednateli elektronicky, </w:t>
      </w:r>
      <w:r w:rsidRPr="003A3A5C">
        <w:rPr>
          <w:lang w:val="cs-CZ"/>
        </w:rPr>
        <w:t xml:space="preserve">Certificate on Financial </w:t>
      </w:r>
      <w:r>
        <w:rPr>
          <w:lang w:val="cs-CZ"/>
        </w:rPr>
        <w:t>S</w:t>
      </w:r>
      <w:r w:rsidRPr="003A3A5C">
        <w:rPr>
          <w:lang w:val="cs-CZ"/>
        </w:rPr>
        <w:t>tatements</w:t>
      </w:r>
      <w:r>
        <w:rPr>
          <w:lang w:val="cs-CZ"/>
        </w:rPr>
        <w:t xml:space="preserve"> pak vždy v elektronickém originále</w:t>
      </w:r>
      <w:r w:rsidR="0026646F">
        <w:rPr>
          <w:lang w:val="cs-CZ"/>
        </w:rPr>
        <w:t>, případně</w:t>
      </w:r>
      <w:r>
        <w:rPr>
          <w:lang w:val="cs-CZ"/>
        </w:rPr>
        <w:t xml:space="preserve"> v listinném originále s předáním osobně v sídle Objednatele či doporučeně poštou.</w:t>
      </w:r>
    </w:p>
    <w:p w14:paraId="087AA289" w14:textId="09B3B8DA" w:rsidR="00321D62" w:rsidRPr="00585F2D" w:rsidRDefault="00321D62" w:rsidP="00585F2D">
      <w:pPr>
        <w:pStyle w:val="Nadpis1"/>
        <w:rPr>
          <w:snapToGrid w:val="0"/>
          <w:lang w:val="cs-CZ"/>
        </w:rPr>
      </w:pPr>
      <w:r w:rsidRPr="003A3A5C">
        <w:rPr>
          <w:snapToGrid w:val="0"/>
          <w:lang w:val="cs-CZ"/>
        </w:rPr>
        <w:t>V.</w:t>
      </w:r>
      <w:r w:rsidR="00585F2D" w:rsidRPr="003A3A5C">
        <w:rPr>
          <w:snapToGrid w:val="0"/>
          <w:lang w:val="cs-CZ"/>
        </w:rPr>
        <w:t xml:space="preserve"> </w:t>
      </w:r>
      <w:r w:rsidRPr="003F4434">
        <w:rPr>
          <w:snapToGrid w:val="0"/>
          <w:lang w:val="cs-CZ"/>
        </w:rPr>
        <w:t>Doba</w:t>
      </w:r>
      <w:r w:rsidR="00067489">
        <w:rPr>
          <w:snapToGrid w:val="0"/>
          <w:lang w:val="cs-CZ"/>
        </w:rPr>
        <w:t xml:space="preserve"> a </w:t>
      </w:r>
      <w:r w:rsidRPr="003F4434">
        <w:rPr>
          <w:snapToGrid w:val="0"/>
          <w:lang w:val="cs-CZ"/>
        </w:rPr>
        <w:t xml:space="preserve">způsob </w:t>
      </w:r>
      <w:r w:rsidR="00240BE5">
        <w:rPr>
          <w:snapToGrid w:val="0"/>
          <w:lang w:val="cs-CZ"/>
        </w:rPr>
        <w:t>poskytnutí služeb</w:t>
      </w:r>
    </w:p>
    <w:p w14:paraId="362D87C8" w14:textId="19F2CAC4" w:rsidR="009461BC" w:rsidRDefault="00D420C7" w:rsidP="0068304F">
      <w:pPr>
        <w:pStyle w:val="Odstavecseseznamem"/>
        <w:numPr>
          <w:ilvl w:val="0"/>
          <w:numId w:val="4"/>
        </w:numPr>
        <w:ind w:left="284" w:hanging="426"/>
        <w:rPr>
          <w:rFonts w:cs="Arial"/>
          <w:lang w:val="cs-CZ"/>
        </w:rPr>
      </w:pPr>
      <w:r>
        <w:rPr>
          <w:rFonts w:cs="Arial"/>
          <w:lang w:val="cs-CZ"/>
        </w:rPr>
        <w:t>Auditor se zavazuje poskytova</w:t>
      </w:r>
      <w:r w:rsidR="00441E19">
        <w:rPr>
          <w:rFonts w:cs="Arial"/>
          <w:lang w:val="cs-CZ"/>
        </w:rPr>
        <w:t>t</w:t>
      </w:r>
      <w:r>
        <w:rPr>
          <w:rFonts w:cs="Arial"/>
          <w:lang w:val="cs-CZ"/>
        </w:rPr>
        <w:t xml:space="preserve"> služby k jednotlivým projektům v termínech uvedených v příloze A této smlouvy</w:t>
      </w:r>
      <w:r w:rsidR="0026646F">
        <w:rPr>
          <w:rFonts w:cs="Arial"/>
          <w:lang w:val="cs-CZ"/>
        </w:rPr>
        <w:t xml:space="preserve"> a zavazuje se předložit osvědčení nejpozději do termínu </w:t>
      </w:r>
      <w:r w:rsidRPr="00D420C7">
        <w:rPr>
          <w:rFonts w:cs="Arial"/>
          <w:lang w:val="cs-CZ"/>
        </w:rPr>
        <w:t xml:space="preserve">pro předložení </w:t>
      </w:r>
      <w:r w:rsidR="00441E19">
        <w:rPr>
          <w:rFonts w:cs="Arial"/>
          <w:lang w:val="cs-CZ"/>
        </w:rPr>
        <w:t>pro každý jednotlivý projekt dle přílohy A</w:t>
      </w:r>
      <w:r w:rsidR="00FD6A80">
        <w:rPr>
          <w:rFonts w:cs="Arial"/>
          <w:lang w:val="cs-CZ"/>
        </w:rPr>
        <w:t>, uvedeném v části „</w:t>
      </w:r>
      <w:r w:rsidR="00FD6A80" w:rsidRPr="00FD6A80">
        <w:rPr>
          <w:rFonts w:cs="Arial"/>
          <w:lang w:val="cs-CZ"/>
        </w:rPr>
        <w:t>Termín pro předložení finálního osvědčení  CFS po ukončení období řešení projektu</w:t>
      </w:r>
      <w:r w:rsidR="00FD6A80">
        <w:rPr>
          <w:rFonts w:cs="Arial"/>
          <w:lang w:val="cs-CZ"/>
        </w:rPr>
        <w:t>“</w:t>
      </w:r>
      <w:r>
        <w:rPr>
          <w:rFonts w:cs="Arial"/>
          <w:lang w:val="cs-CZ"/>
        </w:rPr>
        <w:t>.</w:t>
      </w:r>
    </w:p>
    <w:p w14:paraId="4DF626E0" w14:textId="346CF62E" w:rsidR="009461BC" w:rsidRDefault="009461BC" w:rsidP="0068304F">
      <w:pPr>
        <w:pStyle w:val="Odstavecseseznamem"/>
        <w:numPr>
          <w:ilvl w:val="0"/>
          <w:numId w:val="4"/>
        </w:numPr>
        <w:ind w:left="284" w:hanging="426"/>
        <w:rPr>
          <w:rFonts w:cs="Arial"/>
          <w:lang w:val="cs-CZ"/>
        </w:rPr>
      </w:pPr>
      <w:r w:rsidRPr="009461BC">
        <w:rPr>
          <w:rFonts w:cs="Arial"/>
          <w:lang w:val="cs-CZ"/>
        </w:rPr>
        <w:t>Auditor se zavazuje předložit Objednateli návrh osvědčení alespoň 5 pracovních před stanoveným termínem</w:t>
      </w:r>
      <w:r w:rsidR="00700C93">
        <w:rPr>
          <w:rFonts w:cs="Arial"/>
          <w:lang w:val="cs-CZ"/>
        </w:rPr>
        <w:t xml:space="preserve"> pro každý jednotlivý pro</w:t>
      </w:r>
      <w:r w:rsidRPr="009461BC">
        <w:rPr>
          <w:rFonts w:cs="Arial"/>
          <w:lang w:val="cs-CZ"/>
        </w:rPr>
        <w:t xml:space="preserve">jekt dle </w:t>
      </w:r>
      <w:r w:rsidR="00700C93">
        <w:rPr>
          <w:rFonts w:cs="Arial"/>
          <w:lang w:val="cs-CZ"/>
        </w:rPr>
        <w:t>přílohy A</w:t>
      </w:r>
      <w:r w:rsidRPr="009461BC">
        <w:rPr>
          <w:rFonts w:cs="Arial"/>
          <w:lang w:val="cs-CZ"/>
        </w:rPr>
        <w:t>. Objednatel je oprávněn se k návrhu osvědčení vyjádřit, a to do 3 pracovních dní ode dne jeho předložení. Veškeré připomínky Objednatele je Auditor buď povinen zohlednit v osvědčení, nebo s odůvodněním písemně vypořádat, proč je do osvědčení nezohlednil; písemné vypořádání připomínek Objednatele je Auditor povinen předat Objednateli nejpozději spolu s</w:t>
      </w:r>
      <w:r w:rsidR="0026646F">
        <w:rPr>
          <w:rFonts w:cs="Arial"/>
          <w:lang w:val="cs-CZ"/>
        </w:rPr>
        <w:t> </w:t>
      </w:r>
      <w:r w:rsidRPr="009461BC">
        <w:rPr>
          <w:rFonts w:cs="Arial"/>
          <w:lang w:val="cs-CZ"/>
        </w:rPr>
        <w:t>osvědčením</w:t>
      </w:r>
      <w:r w:rsidR="0026646F">
        <w:rPr>
          <w:rFonts w:cs="Arial"/>
          <w:lang w:val="cs-CZ"/>
        </w:rPr>
        <w:t>; uvedené nemá vliv na povinnost Auditora dodržet stanovený termín pro předložení osvědčení</w:t>
      </w:r>
      <w:r w:rsidRPr="009461BC">
        <w:rPr>
          <w:rFonts w:cs="Arial"/>
          <w:lang w:val="cs-CZ"/>
        </w:rPr>
        <w:t xml:space="preserve">. </w:t>
      </w:r>
    </w:p>
    <w:p w14:paraId="4DA9DEB7" w14:textId="1324B09A" w:rsidR="00700C93" w:rsidRDefault="00541E2E" w:rsidP="0068304F">
      <w:pPr>
        <w:pStyle w:val="Odstavecseseznamem"/>
        <w:numPr>
          <w:ilvl w:val="0"/>
          <w:numId w:val="4"/>
        </w:numPr>
        <w:ind w:left="284" w:hanging="426"/>
        <w:rPr>
          <w:rFonts w:cs="Arial"/>
          <w:lang w:val="cs-CZ"/>
        </w:rPr>
      </w:pPr>
      <w:r w:rsidRPr="00541E2E">
        <w:rPr>
          <w:rFonts w:cs="Arial"/>
          <w:lang w:val="cs-CZ"/>
        </w:rPr>
        <w:t xml:space="preserve">Služby budou poskytovány </w:t>
      </w:r>
      <w:r w:rsidR="00A67A55">
        <w:rPr>
          <w:rFonts w:cs="Arial"/>
          <w:lang w:val="cs-CZ"/>
        </w:rPr>
        <w:t xml:space="preserve">elektronicky a dále </w:t>
      </w:r>
      <w:r w:rsidRPr="00541E2E">
        <w:rPr>
          <w:rFonts w:cs="Arial"/>
          <w:lang w:val="cs-CZ"/>
        </w:rPr>
        <w:t>na adrese sídla Objednatele, nevyplývá-li z pov</w:t>
      </w:r>
      <w:r>
        <w:rPr>
          <w:rFonts w:cs="Arial"/>
          <w:lang w:val="cs-CZ"/>
        </w:rPr>
        <w:t>ahy konkrétní činnosti v rámci auditorských s</w:t>
      </w:r>
      <w:r w:rsidRPr="00541E2E">
        <w:rPr>
          <w:rFonts w:cs="Arial"/>
          <w:lang w:val="cs-CZ"/>
        </w:rPr>
        <w:t>lužeb či nebude-li mezi Objednatelem a Auditorem dohodnuto jinak. Přesný termín, kdy Au</w:t>
      </w:r>
      <w:r w:rsidR="00441E19">
        <w:rPr>
          <w:rFonts w:cs="Arial"/>
          <w:lang w:val="cs-CZ"/>
        </w:rPr>
        <w:t>ditor Objednatele k poskytnutí s</w:t>
      </w:r>
      <w:r w:rsidRPr="00541E2E">
        <w:rPr>
          <w:rFonts w:cs="Arial"/>
          <w:lang w:val="cs-CZ"/>
        </w:rPr>
        <w:t>lužeb nav</w:t>
      </w:r>
      <w:r>
        <w:rPr>
          <w:rFonts w:cs="Arial"/>
          <w:lang w:val="cs-CZ"/>
        </w:rPr>
        <w:t xml:space="preserve">štíví, sdělí Auditor alespoň </w:t>
      </w:r>
      <w:r w:rsidR="00B33805">
        <w:rPr>
          <w:rFonts w:cs="Arial"/>
          <w:lang w:val="cs-CZ"/>
        </w:rPr>
        <w:t xml:space="preserve">4 </w:t>
      </w:r>
      <w:r w:rsidRPr="00541E2E">
        <w:rPr>
          <w:rFonts w:cs="Arial"/>
          <w:lang w:val="cs-CZ"/>
        </w:rPr>
        <w:t>pracovní dny předem, nebude-li mezi Objednatelem a Auditorem dohodnuto jinak.</w:t>
      </w:r>
    </w:p>
    <w:p w14:paraId="029C76CA" w14:textId="75DEB343" w:rsidR="00700C93" w:rsidRDefault="0026646F" w:rsidP="0068304F">
      <w:pPr>
        <w:pStyle w:val="Odstavecseseznamem"/>
        <w:numPr>
          <w:ilvl w:val="0"/>
          <w:numId w:val="4"/>
        </w:numPr>
        <w:ind w:left="284" w:hanging="426"/>
        <w:rPr>
          <w:rFonts w:cs="Arial"/>
          <w:lang w:val="cs-CZ"/>
        </w:rPr>
      </w:pPr>
      <w:r>
        <w:rPr>
          <w:rFonts w:cs="Arial"/>
          <w:lang w:val="cs-CZ"/>
        </w:rPr>
        <w:t>Strany o dokončení poskytování a</w:t>
      </w:r>
      <w:r w:rsidR="00742EE6">
        <w:rPr>
          <w:rFonts w:cs="Arial"/>
          <w:lang w:val="cs-CZ"/>
        </w:rPr>
        <w:t>u</w:t>
      </w:r>
      <w:r>
        <w:rPr>
          <w:rFonts w:cs="Arial"/>
          <w:lang w:val="cs-CZ"/>
        </w:rPr>
        <w:t>ditorských služeb k jednotlivým protokolům se</w:t>
      </w:r>
      <w:r w:rsidR="009971E7">
        <w:rPr>
          <w:rFonts w:cs="Arial"/>
          <w:lang w:val="cs-CZ"/>
        </w:rPr>
        <w:t>staví protokol o převzetí osvědčení, protokol může nahradit e-mailové potvrzení Objednatele o přijetí osvědčení (akceptace).</w:t>
      </w:r>
      <w:r w:rsidR="00700C93" w:rsidRPr="00700C93">
        <w:rPr>
          <w:rFonts w:cs="Arial"/>
          <w:lang w:val="cs-CZ"/>
        </w:rPr>
        <w:t xml:space="preserve"> </w:t>
      </w:r>
    </w:p>
    <w:p w14:paraId="4C840AEE" w14:textId="77777777" w:rsidR="009B372B" w:rsidRDefault="00700C93" w:rsidP="0068304F">
      <w:pPr>
        <w:pStyle w:val="Odstavecseseznamem"/>
        <w:numPr>
          <w:ilvl w:val="0"/>
          <w:numId w:val="4"/>
        </w:numPr>
        <w:ind w:left="284" w:hanging="426"/>
        <w:rPr>
          <w:rFonts w:cs="Arial"/>
          <w:lang w:val="cs-CZ"/>
        </w:rPr>
      </w:pPr>
      <w:r w:rsidRPr="00700C93">
        <w:rPr>
          <w:rFonts w:cs="Arial"/>
          <w:lang w:val="cs-CZ"/>
        </w:rPr>
        <w:t>Ob</w:t>
      </w:r>
      <w:r>
        <w:rPr>
          <w:rFonts w:cs="Arial"/>
          <w:lang w:val="cs-CZ"/>
        </w:rPr>
        <w:t>jednatel je oprávněn odmítnout a</w:t>
      </w:r>
      <w:r w:rsidRPr="00700C93">
        <w:rPr>
          <w:rFonts w:cs="Arial"/>
          <w:lang w:val="cs-CZ"/>
        </w:rPr>
        <w:t>kceptaci, vyk</w:t>
      </w:r>
      <w:r>
        <w:rPr>
          <w:rFonts w:cs="Arial"/>
          <w:lang w:val="cs-CZ"/>
        </w:rPr>
        <w:t>azují-li výsledky poskytnutých s</w:t>
      </w:r>
      <w:r w:rsidRPr="00700C93">
        <w:rPr>
          <w:rFonts w:cs="Arial"/>
          <w:lang w:val="cs-CZ"/>
        </w:rPr>
        <w:t>lužeb vady.</w:t>
      </w:r>
      <w:r>
        <w:rPr>
          <w:rFonts w:cs="Arial"/>
          <w:lang w:val="cs-CZ"/>
        </w:rPr>
        <w:t xml:space="preserve"> V takovém případě se na s</w:t>
      </w:r>
      <w:r w:rsidRPr="00700C93">
        <w:rPr>
          <w:rFonts w:cs="Arial"/>
          <w:lang w:val="cs-CZ"/>
        </w:rPr>
        <w:t>lužby hledí, jako by nebyly poskytnuty. Uplynu</w:t>
      </w:r>
      <w:r>
        <w:rPr>
          <w:rFonts w:cs="Arial"/>
          <w:lang w:val="cs-CZ"/>
        </w:rPr>
        <w:t xml:space="preserve">la-li již lhůta </w:t>
      </w:r>
    </w:p>
    <w:p w14:paraId="131728DC" w14:textId="50B1B545" w:rsidR="00700C93" w:rsidRDefault="00700C93" w:rsidP="009B372B">
      <w:pPr>
        <w:pStyle w:val="Odstavecseseznamem"/>
        <w:ind w:left="284"/>
        <w:rPr>
          <w:rFonts w:cs="Arial"/>
          <w:lang w:val="cs-CZ"/>
        </w:rPr>
      </w:pPr>
      <w:r>
        <w:rPr>
          <w:rFonts w:cs="Arial"/>
          <w:lang w:val="cs-CZ"/>
        </w:rPr>
        <w:t>pro poskytnutí s</w:t>
      </w:r>
      <w:r w:rsidRPr="00700C93">
        <w:rPr>
          <w:rFonts w:cs="Arial"/>
          <w:lang w:val="cs-CZ"/>
        </w:rPr>
        <w:t>lužeb, je Auditor v prodlení, a to se všemi důsledky, které se s takovým prodlením pojí.</w:t>
      </w:r>
    </w:p>
    <w:p w14:paraId="4E099AA6" w14:textId="5E262F33" w:rsidR="00700C93" w:rsidRDefault="00700C93" w:rsidP="0068304F">
      <w:pPr>
        <w:pStyle w:val="Odstavecseseznamem"/>
        <w:numPr>
          <w:ilvl w:val="0"/>
          <w:numId w:val="4"/>
        </w:numPr>
        <w:ind w:left="284" w:hanging="426"/>
        <w:rPr>
          <w:rFonts w:cs="Arial"/>
          <w:lang w:val="cs-CZ"/>
        </w:rPr>
      </w:pPr>
      <w:r w:rsidRPr="00700C93">
        <w:rPr>
          <w:rFonts w:cs="Arial"/>
          <w:lang w:val="cs-CZ"/>
        </w:rPr>
        <w:lastRenderedPageBreak/>
        <w:t>Nevyužije-li Ob</w:t>
      </w:r>
      <w:r>
        <w:rPr>
          <w:rFonts w:cs="Arial"/>
          <w:lang w:val="cs-CZ"/>
        </w:rPr>
        <w:t>jednatel svého práva odmítnout a</w:t>
      </w:r>
      <w:r w:rsidRPr="00700C93">
        <w:rPr>
          <w:rFonts w:cs="Arial"/>
          <w:lang w:val="cs-CZ"/>
        </w:rPr>
        <w:t xml:space="preserve">kceptaci, uvede soupis zjištěných vad. Auditor je povinen takové vady odstranit nejpozději ve lhůtě či termínu uvedeném v protokolu. Nebude-li taková lhůta či termín v protokolu uveden, je Auditor povinen tyto </w:t>
      </w:r>
      <w:r>
        <w:rPr>
          <w:rFonts w:cs="Arial"/>
          <w:lang w:val="cs-CZ"/>
        </w:rPr>
        <w:t xml:space="preserve">vady odstranit nejpozději do 3 </w:t>
      </w:r>
      <w:r w:rsidRPr="00700C93">
        <w:rPr>
          <w:rFonts w:cs="Arial"/>
          <w:lang w:val="cs-CZ"/>
        </w:rPr>
        <w:t>pracovních dnů</w:t>
      </w:r>
      <w:r w:rsidR="009971E7">
        <w:rPr>
          <w:rFonts w:cs="Arial"/>
          <w:lang w:val="cs-CZ"/>
        </w:rPr>
        <w:t xml:space="preserve"> od akceptace</w:t>
      </w:r>
      <w:r w:rsidRPr="00700C93">
        <w:rPr>
          <w:rFonts w:cs="Arial"/>
          <w:lang w:val="cs-CZ"/>
        </w:rPr>
        <w:t>, nebude-li mezi Objednatelem a Auditorem dohodnuto jinak. Neoznámení vad nevylučuje jejich reklamaci v průběhu reklamační lhůty.</w:t>
      </w:r>
    </w:p>
    <w:p w14:paraId="144E5A3E" w14:textId="2D897C80" w:rsidR="00700C93" w:rsidRDefault="00700C93" w:rsidP="0068304F">
      <w:pPr>
        <w:pStyle w:val="Odstavecseseznamem"/>
        <w:numPr>
          <w:ilvl w:val="0"/>
          <w:numId w:val="4"/>
        </w:numPr>
        <w:ind w:left="284" w:hanging="426"/>
        <w:rPr>
          <w:rFonts w:cs="Arial"/>
          <w:lang w:val="cs-CZ"/>
        </w:rPr>
      </w:pPr>
      <w:r w:rsidRPr="00700C93">
        <w:rPr>
          <w:rFonts w:cs="Arial"/>
          <w:lang w:val="cs-CZ"/>
        </w:rPr>
        <w:t>Nejpozději do 3 pracovních dn</w:t>
      </w:r>
      <w:r w:rsidR="009971E7">
        <w:rPr>
          <w:rFonts w:cs="Arial"/>
          <w:lang w:val="cs-CZ"/>
        </w:rPr>
        <w:t>ů</w:t>
      </w:r>
      <w:r w:rsidRPr="00700C93">
        <w:rPr>
          <w:rFonts w:cs="Arial"/>
          <w:lang w:val="cs-CZ"/>
        </w:rPr>
        <w:t xml:space="preserve"> po </w:t>
      </w:r>
      <w:r w:rsidR="009971E7">
        <w:rPr>
          <w:rFonts w:cs="Arial"/>
          <w:lang w:val="cs-CZ"/>
        </w:rPr>
        <w:t>a</w:t>
      </w:r>
      <w:r w:rsidRPr="00700C93">
        <w:rPr>
          <w:rFonts w:cs="Arial"/>
          <w:lang w:val="cs-CZ"/>
        </w:rPr>
        <w:t xml:space="preserve">kceptaci je Auditor povinen odevzdat Objednateli  veškeré dokumenty, které mu byly poskytnuty v souladu s poskytnutím služeb ze strany Objednatele, případně další dokumenty, které Auditor v souvislosti s poskytováním služeb obdržel nebo vyhotovil, je-li v zájmu Objednatele mít tyto dokumenty u sebe. </w:t>
      </w:r>
    </w:p>
    <w:p w14:paraId="317F633E" w14:textId="533FC480" w:rsidR="00775799" w:rsidRDefault="00775799" w:rsidP="0068304F">
      <w:pPr>
        <w:pStyle w:val="Odstavecseseznamem"/>
        <w:numPr>
          <w:ilvl w:val="0"/>
          <w:numId w:val="4"/>
        </w:numPr>
        <w:ind w:left="284" w:hanging="426"/>
        <w:rPr>
          <w:rFonts w:cs="Arial"/>
          <w:lang w:val="cs-CZ"/>
        </w:rPr>
      </w:pPr>
      <w:r>
        <w:rPr>
          <w:rFonts w:cs="Arial"/>
          <w:lang w:val="cs-CZ"/>
        </w:rPr>
        <w:t>Kontaktní osoby pro plnění smlouvy jsou:</w:t>
      </w:r>
    </w:p>
    <w:p w14:paraId="416BB3A3" w14:textId="3561F6A5" w:rsidR="00FD4594" w:rsidRDefault="00B30293" w:rsidP="00FD4594">
      <w:pPr>
        <w:pStyle w:val="Odstavecseseznamem"/>
        <w:numPr>
          <w:ilvl w:val="1"/>
          <w:numId w:val="4"/>
        </w:numPr>
        <w:rPr>
          <w:rFonts w:cs="Arial"/>
          <w:lang w:val="cs-CZ"/>
        </w:rPr>
      </w:pPr>
      <w:r>
        <w:rPr>
          <w:rFonts w:cs="Arial"/>
          <w:lang w:val="cs-CZ"/>
        </w:rPr>
        <w:t>n</w:t>
      </w:r>
      <w:r w:rsidR="00775799">
        <w:rPr>
          <w:rFonts w:cs="Arial"/>
          <w:lang w:val="cs-CZ"/>
        </w:rPr>
        <w:t xml:space="preserve">a straně Objednatele: </w:t>
      </w:r>
    </w:p>
    <w:p w14:paraId="7DFCBA8D" w14:textId="6E28FC3F" w:rsidR="00FD4594" w:rsidRPr="009B372B" w:rsidRDefault="00B30293" w:rsidP="009B372B">
      <w:pPr>
        <w:pStyle w:val="Odstavecseseznamem"/>
        <w:numPr>
          <w:ilvl w:val="1"/>
          <w:numId w:val="4"/>
        </w:numPr>
        <w:jc w:val="left"/>
        <w:rPr>
          <w:rFonts w:cs="Arial"/>
          <w:lang w:val="cs-CZ"/>
        </w:rPr>
      </w:pPr>
      <w:r w:rsidRPr="009B372B">
        <w:rPr>
          <w:rFonts w:cs="Arial"/>
          <w:lang w:val="cs-CZ"/>
        </w:rPr>
        <w:t>n</w:t>
      </w:r>
      <w:r w:rsidR="00775799" w:rsidRPr="009B372B">
        <w:rPr>
          <w:rFonts w:cs="Arial"/>
          <w:lang w:val="cs-CZ"/>
        </w:rPr>
        <w:t>a straně Auditora:</w:t>
      </w:r>
      <w:r w:rsidR="00FD4594" w:rsidRPr="009B372B">
        <w:rPr>
          <w:rFonts w:cs="Arial"/>
          <w:lang w:val="cs-CZ"/>
        </w:rPr>
        <w:t xml:space="preserve"> </w:t>
      </w:r>
    </w:p>
    <w:p w14:paraId="672CE82B" w14:textId="1E829592" w:rsidR="00775799" w:rsidRPr="00775799" w:rsidRDefault="00775799" w:rsidP="00FD4594">
      <w:pPr>
        <w:pStyle w:val="Odstavecseseznamem"/>
        <w:ind w:left="1440"/>
        <w:rPr>
          <w:rFonts w:cs="Arial"/>
          <w:highlight w:val="yellow"/>
          <w:lang w:val="cs-CZ"/>
        </w:rPr>
      </w:pPr>
    </w:p>
    <w:p w14:paraId="4063E7CD" w14:textId="602EDF2A" w:rsidR="00285CE1" w:rsidRDefault="005841F8" w:rsidP="00285CE1">
      <w:pPr>
        <w:pStyle w:val="Nadpis1"/>
        <w:rPr>
          <w:snapToGrid w:val="0"/>
          <w:lang w:val="en-GB"/>
        </w:rPr>
      </w:pPr>
      <w:r w:rsidRPr="00983C66">
        <w:rPr>
          <w:snapToGrid w:val="0"/>
          <w:lang w:val="cs-CZ"/>
        </w:rPr>
        <w:tab/>
      </w:r>
      <w:r w:rsidR="00321D62" w:rsidRPr="00630C36">
        <w:rPr>
          <w:snapToGrid w:val="0"/>
          <w:lang w:val="en-GB"/>
        </w:rPr>
        <w:t>VI.</w:t>
      </w:r>
      <w:r w:rsidR="00585F2D">
        <w:rPr>
          <w:snapToGrid w:val="0"/>
          <w:lang w:val="en-GB"/>
        </w:rPr>
        <w:t xml:space="preserve"> </w:t>
      </w:r>
      <w:r w:rsidR="0023299F">
        <w:rPr>
          <w:snapToGrid w:val="0"/>
          <w:lang w:val="en-GB"/>
        </w:rPr>
        <w:t>Podmínky uplatnění opčního práva</w:t>
      </w:r>
    </w:p>
    <w:p w14:paraId="37C41BFB" w14:textId="7370E573" w:rsidR="00285CE1" w:rsidRPr="0023299F" w:rsidRDefault="00285CE1" w:rsidP="00285CE1">
      <w:pPr>
        <w:pStyle w:val="Odstavecseseznamem"/>
        <w:numPr>
          <w:ilvl w:val="0"/>
          <w:numId w:val="14"/>
        </w:numPr>
        <w:ind w:left="284"/>
        <w:rPr>
          <w:lang w:val="en-GB"/>
        </w:rPr>
      </w:pPr>
      <w:r w:rsidRPr="00A9022D">
        <w:rPr>
          <w:lang w:val="cs-CZ"/>
        </w:rPr>
        <w:t xml:space="preserve">Uplatnění opčního práva je vázáno na odkládací podmínku spočívající v písemné výzvě Objednatele adresované </w:t>
      </w:r>
      <w:r>
        <w:rPr>
          <w:lang w:val="cs-CZ"/>
        </w:rPr>
        <w:t>Auditorovi</w:t>
      </w:r>
      <w:r w:rsidRPr="00A9022D">
        <w:rPr>
          <w:lang w:val="cs-CZ"/>
        </w:rPr>
        <w:t xml:space="preserve">, která bude obsahovat specifikaci dalších auditovaných projektů. </w:t>
      </w:r>
    </w:p>
    <w:p w14:paraId="4D1F6869" w14:textId="0F2D2BEB" w:rsidR="0023299F" w:rsidRPr="00285CE1" w:rsidRDefault="0023299F" w:rsidP="00285CE1">
      <w:pPr>
        <w:pStyle w:val="Odstavecseseznamem"/>
        <w:numPr>
          <w:ilvl w:val="0"/>
          <w:numId w:val="14"/>
        </w:numPr>
        <w:ind w:left="284"/>
        <w:rPr>
          <w:lang w:val="en-GB"/>
        </w:rPr>
      </w:pPr>
      <w:r w:rsidRPr="0023299F">
        <w:rPr>
          <w:lang w:val="en-GB"/>
        </w:rPr>
        <w:t>Objednatel není povinen opční právo uplatnit. Uplatnění opčního práva je zcela v jeho dispozici.</w:t>
      </w:r>
    </w:p>
    <w:p w14:paraId="1DB3741B" w14:textId="04E2517B" w:rsidR="00285CE1" w:rsidRPr="00285CE1" w:rsidRDefault="00285CE1" w:rsidP="00285CE1">
      <w:pPr>
        <w:pStyle w:val="Odstavecseseznamem"/>
        <w:numPr>
          <w:ilvl w:val="0"/>
          <w:numId w:val="14"/>
        </w:numPr>
        <w:ind w:left="284"/>
        <w:rPr>
          <w:lang w:val="en-GB"/>
        </w:rPr>
      </w:pPr>
      <w:r w:rsidRPr="00A9022D">
        <w:rPr>
          <w:lang w:val="cs-CZ"/>
        </w:rPr>
        <w:t xml:space="preserve">Výzva může být doručena kdykoli po uzavření Smlouvy až do uplynutí její platnosti. </w:t>
      </w:r>
    </w:p>
    <w:p w14:paraId="2FBE884F" w14:textId="3D28B5D7" w:rsidR="00285CE1" w:rsidRDefault="00285CE1" w:rsidP="00285CE1">
      <w:pPr>
        <w:pStyle w:val="Odstavecseseznamem"/>
        <w:numPr>
          <w:ilvl w:val="0"/>
          <w:numId w:val="14"/>
        </w:numPr>
        <w:ind w:left="284"/>
        <w:rPr>
          <w:lang w:val="en-GB"/>
        </w:rPr>
      </w:pPr>
      <w:r w:rsidRPr="00285CE1">
        <w:rPr>
          <w:lang w:val="en-GB"/>
        </w:rPr>
        <w:t>Objednatel je oprávněn uplatňovat opční právo opakovaně, a to formou samostatných písemných výzev. Každá výzva bude obsahovat: označení projektu, předpokládaný rozsah auditu, požadovaný termín zahájení a dokončení.</w:t>
      </w:r>
    </w:p>
    <w:p w14:paraId="5DD4C7DB" w14:textId="3D7A0C51" w:rsidR="00285CE1" w:rsidRPr="00285CE1" w:rsidRDefault="00285CE1" w:rsidP="00285CE1">
      <w:pPr>
        <w:pStyle w:val="Odstavecseseznamem"/>
        <w:numPr>
          <w:ilvl w:val="0"/>
          <w:numId w:val="14"/>
        </w:numPr>
        <w:ind w:left="284"/>
        <w:rPr>
          <w:lang w:val="en-GB"/>
        </w:rPr>
      </w:pPr>
      <w:r w:rsidRPr="00285CE1">
        <w:rPr>
          <w:lang w:val="en-GB"/>
        </w:rPr>
        <w:t>Auditor je povinen na základě písemné výzvy Objednatele opční plnění realizovat za podmínek uvedených ve Smlouvě.</w:t>
      </w:r>
    </w:p>
    <w:p w14:paraId="676D90B6" w14:textId="7BC17740" w:rsidR="00321D62" w:rsidRPr="00630C36" w:rsidRDefault="00285CE1" w:rsidP="00285CE1">
      <w:pPr>
        <w:pStyle w:val="Nadpis1"/>
        <w:rPr>
          <w:snapToGrid w:val="0"/>
          <w:lang w:val="en-GB"/>
        </w:rPr>
      </w:pPr>
      <w:r>
        <w:rPr>
          <w:snapToGrid w:val="0"/>
          <w:lang w:val="cs-CZ"/>
        </w:rPr>
        <w:t>V</w:t>
      </w:r>
      <w:r w:rsidR="00742EE6">
        <w:rPr>
          <w:snapToGrid w:val="0"/>
          <w:lang w:val="cs-CZ"/>
        </w:rPr>
        <w:t>I</w:t>
      </w:r>
      <w:r>
        <w:rPr>
          <w:snapToGrid w:val="0"/>
          <w:lang w:val="cs-CZ"/>
        </w:rPr>
        <w:t xml:space="preserve">I. </w:t>
      </w:r>
      <w:r w:rsidR="00F060FB">
        <w:rPr>
          <w:snapToGrid w:val="0"/>
          <w:lang w:val="cs-CZ"/>
        </w:rPr>
        <w:t>C</w:t>
      </w:r>
      <w:r w:rsidR="00321D62" w:rsidRPr="000A4933">
        <w:rPr>
          <w:snapToGrid w:val="0"/>
          <w:lang w:val="cs-CZ"/>
        </w:rPr>
        <w:t>ena</w:t>
      </w:r>
      <w:r w:rsidR="00321D62" w:rsidRPr="00974D24">
        <w:rPr>
          <w:snapToGrid w:val="0"/>
          <w:lang w:val="en-GB"/>
        </w:rPr>
        <w:t xml:space="preserve"> a</w:t>
      </w:r>
      <w:r w:rsidR="00321D62" w:rsidRPr="000A4933">
        <w:rPr>
          <w:snapToGrid w:val="0"/>
          <w:lang w:val="cs-CZ"/>
        </w:rPr>
        <w:t xml:space="preserve"> platební podmínky</w:t>
      </w:r>
    </w:p>
    <w:p w14:paraId="058A5F18" w14:textId="77777777" w:rsidR="00FE0B2D" w:rsidRDefault="00221F19" w:rsidP="0068304F">
      <w:pPr>
        <w:pStyle w:val="Odstavecseseznamem"/>
        <w:numPr>
          <w:ilvl w:val="0"/>
          <w:numId w:val="2"/>
        </w:numPr>
        <w:ind w:left="284"/>
        <w:rPr>
          <w:lang w:val="cs-CZ"/>
        </w:rPr>
      </w:pPr>
      <w:r w:rsidRPr="00221F19">
        <w:rPr>
          <w:lang w:val="cs-CZ"/>
        </w:rPr>
        <w:t xml:space="preserve">Objednatel se za předmět plnění uvedený v čl. III této smlouvy zavazuje Auditorovi zaplatit cenu za audit každého z projektů v souladu s podmínkami uvedenými v Příloze A této smlouvy. </w:t>
      </w:r>
    </w:p>
    <w:p w14:paraId="3B10BCF0" w14:textId="3DC9571C" w:rsidR="00D34A2D" w:rsidRDefault="00221F19" w:rsidP="0068304F">
      <w:pPr>
        <w:pStyle w:val="Odstavecseseznamem"/>
        <w:numPr>
          <w:ilvl w:val="0"/>
          <w:numId w:val="2"/>
        </w:numPr>
        <w:ind w:left="284"/>
        <w:rPr>
          <w:lang w:val="cs-CZ"/>
        </w:rPr>
      </w:pPr>
      <w:r w:rsidRPr="00221F19">
        <w:rPr>
          <w:lang w:val="cs-CZ"/>
        </w:rPr>
        <w:t>Celková cena za plnění</w:t>
      </w:r>
      <w:r w:rsidR="00FD4594">
        <w:rPr>
          <w:lang w:val="cs-CZ"/>
        </w:rPr>
        <w:t xml:space="preserve"> </w:t>
      </w:r>
      <w:r w:rsidR="00FD4594" w:rsidRPr="00FD4594">
        <w:rPr>
          <w:b/>
          <w:lang w:val="cs-CZ"/>
        </w:rPr>
        <w:t>pevně stanovených projektových položek</w:t>
      </w:r>
      <w:r w:rsidRPr="00221F19">
        <w:rPr>
          <w:lang w:val="cs-CZ"/>
        </w:rPr>
        <w:t xml:space="preserve"> dle této smlouvy činí </w:t>
      </w:r>
      <w:r w:rsidR="00FD4594" w:rsidRPr="00FD4594">
        <w:rPr>
          <w:rFonts w:cs="Arial"/>
          <w:highlight w:val="yellow"/>
          <w:lang w:val="cs-CZ"/>
        </w:rPr>
        <w:t xml:space="preserve"> </w:t>
      </w:r>
      <w:r w:rsidR="009B372B" w:rsidRPr="005E3142">
        <w:rPr>
          <w:rFonts w:cs="Arial"/>
          <w:b/>
          <w:bCs/>
          <w:lang w:val="cs-CZ"/>
        </w:rPr>
        <w:t xml:space="preserve">1 196 000 </w:t>
      </w:r>
      <w:r w:rsidRPr="005E3142">
        <w:rPr>
          <w:b/>
          <w:bCs/>
          <w:lang w:val="cs-CZ"/>
        </w:rPr>
        <w:t>Kč bez DPH</w:t>
      </w:r>
      <w:r w:rsidRPr="00221F19">
        <w:rPr>
          <w:lang w:val="cs-CZ"/>
        </w:rPr>
        <w:t>. K této částce bude připočtena daň z přidané hodnoty ve výši dle platných právních předpisů.</w:t>
      </w:r>
    </w:p>
    <w:p w14:paraId="315CB603" w14:textId="77777777" w:rsidR="005E3142" w:rsidRDefault="00FE0B2D" w:rsidP="0068304F">
      <w:pPr>
        <w:pStyle w:val="Odstavecseseznamem"/>
        <w:numPr>
          <w:ilvl w:val="0"/>
          <w:numId w:val="2"/>
        </w:numPr>
        <w:ind w:left="284"/>
        <w:rPr>
          <w:lang w:val="cs-CZ"/>
        </w:rPr>
      </w:pPr>
      <w:r w:rsidRPr="009B372B">
        <w:rPr>
          <w:lang w:val="cs-CZ"/>
        </w:rPr>
        <w:t xml:space="preserve">Cenové podmínky případné </w:t>
      </w:r>
      <w:r w:rsidRPr="009B372B">
        <w:rPr>
          <w:b/>
          <w:lang w:val="cs-CZ"/>
        </w:rPr>
        <w:t>opce</w:t>
      </w:r>
      <w:r w:rsidRPr="009B372B">
        <w:rPr>
          <w:lang w:val="cs-CZ"/>
        </w:rPr>
        <w:t xml:space="preserve">, pokud bude Objednatelem uplatněna, jsou uvedeny v Příloze A této smlouvy. V případě realizace bude odměna účtována podle sjednané </w:t>
      </w:r>
      <w:r w:rsidRPr="005E3142">
        <w:rPr>
          <w:bCs/>
          <w:lang w:val="cs-CZ"/>
        </w:rPr>
        <w:t>hodinové sazby</w:t>
      </w:r>
      <w:r w:rsidRPr="009B372B">
        <w:rPr>
          <w:b/>
          <w:lang w:val="cs-CZ"/>
        </w:rPr>
        <w:t xml:space="preserve"> </w:t>
      </w:r>
      <w:r w:rsidR="005E3142">
        <w:rPr>
          <w:b/>
          <w:lang w:val="cs-CZ"/>
        </w:rPr>
        <w:t xml:space="preserve">1820 Kč bez DPH </w:t>
      </w:r>
      <w:r w:rsidRPr="009B372B">
        <w:rPr>
          <w:lang w:val="cs-CZ"/>
        </w:rPr>
        <w:t xml:space="preserve">v závislosti na skutečném rozsahu plnění, přičemž celková </w:t>
      </w:r>
    </w:p>
    <w:p w14:paraId="66B3E21B" w14:textId="3C7A0D4A" w:rsidR="00FE0B2D" w:rsidRDefault="00FE0B2D" w:rsidP="005E3142">
      <w:pPr>
        <w:pStyle w:val="Odstavecseseznamem"/>
        <w:ind w:left="284"/>
        <w:rPr>
          <w:lang w:val="cs-CZ"/>
        </w:rPr>
      </w:pPr>
      <w:r w:rsidRPr="009B372B">
        <w:rPr>
          <w:lang w:val="cs-CZ"/>
        </w:rPr>
        <w:t xml:space="preserve">výše plnění na základě opce nepřesáhne částku 3 000 000 Kč bez DPH. Modelový počet 1 000 hodin uvedený v Příloze A sloužil výhradně pro účely hodnocení ekonomické výhodnosti nabídky a nezakládá povinnost Objednatele tento rozsah služeb odebrat ani </w:t>
      </w:r>
      <w:r w:rsidRPr="009B372B">
        <w:rPr>
          <w:lang w:val="cs-CZ"/>
        </w:rPr>
        <w:lastRenderedPageBreak/>
        <w:t>povinnost Auditora jej poskytnout.</w:t>
      </w:r>
    </w:p>
    <w:p w14:paraId="1E259E33" w14:textId="1AD489B7" w:rsidR="00D34A2D" w:rsidRDefault="00221F19" w:rsidP="0068304F">
      <w:pPr>
        <w:pStyle w:val="Odstavecseseznamem"/>
        <w:numPr>
          <w:ilvl w:val="0"/>
          <w:numId w:val="2"/>
        </w:numPr>
        <w:ind w:left="284"/>
        <w:rPr>
          <w:lang w:val="cs-CZ"/>
        </w:rPr>
      </w:pPr>
      <w:r w:rsidRPr="00221F19">
        <w:rPr>
          <w:lang w:val="cs-CZ"/>
        </w:rPr>
        <w:t xml:space="preserve">Celková cena je cenou konečnou, nepřekročitelnou a zahrnuje veškeré náklady, které Auditorovi v souvislosti s plněním této smlouvy vzniknou, včetně nákladů na dopravu, komunikaci, administrativu, zprávy, účast na jednáních a další činnosti nezbytné pro řádné splnění předmětu smlouvy. </w:t>
      </w:r>
    </w:p>
    <w:p w14:paraId="0EA100B0" w14:textId="589067CA" w:rsidR="00C063B4" w:rsidRDefault="00C063B4" w:rsidP="0068304F">
      <w:pPr>
        <w:pStyle w:val="Odstavecseseznamem"/>
        <w:numPr>
          <w:ilvl w:val="0"/>
          <w:numId w:val="2"/>
        </w:numPr>
        <w:ind w:left="284"/>
        <w:rPr>
          <w:lang w:val="cs-CZ"/>
        </w:rPr>
      </w:pPr>
      <w:r w:rsidRPr="00C063B4">
        <w:rPr>
          <w:lang w:val="cs-CZ"/>
        </w:rPr>
        <w:t xml:space="preserve">Objednatel umožňuje poskytnutí </w:t>
      </w:r>
      <w:r w:rsidRPr="00FD4594">
        <w:rPr>
          <w:b/>
          <w:lang w:val="cs-CZ"/>
        </w:rPr>
        <w:t xml:space="preserve">zálohové platby </w:t>
      </w:r>
      <w:r w:rsidRPr="00C063B4">
        <w:rPr>
          <w:lang w:val="cs-CZ"/>
        </w:rPr>
        <w:t xml:space="preserve">na plnění </w:t>
      </w:r>
      <w:r>
        <w:rPr>
          <w:lang w:val="cs-CZ"/>
        </w:rPr>
        <w:t>ze smlouvy</w:t>
      </w:r>
      <w:r w:rsidRPr="00C063B4">
        <w:rPr>
          <w:lang w:val="cs-CZ"/>
        </w:rPr>
        <w:t xml:space="preserve">, a to pouze na základě písemné žádosti </w:t>
      </w:r>
      <w:r>
        <w:rPr>
          <w:lang w:val="cs-CZ"/>
        </w:rPr>
        <w:t>Auditora</w:t>
      </w:r>
      <w:r w:rsidRPr="00C063B4">
        <w:rPr>
          <w:lang w:val="cs-CZ"/>
        </w:rPr>
        <w:t xml:space="preserve">. Záloha může být poskytnuta výhradně pro konkrétní auditní plnění jednotlivého projektu, jehož realizace již byla zahájena (tj. auditní činnost dle harmonogramu u daného projektu již probíhá), a to nejdříve ke dni zahájení prací na daném projektu, jak je uvedeno v harmonogramu plnění, který tvoří přílohu </w:t>
      </w:r>
      <w:r>
        <w:rPr>
          <w:lang w:val="cs-CZ"/>
        </w:rPr>
        <w:t xml:space="preserve">A </w:t>
      </w:r>
      <w:r w:rsidRPr="00C063B4">
        <w:rPr>
          <w:lang w:val="cs-CZ"/>
        </w:rPr>
        <w:t xml:space="preserve">smlouvy. </w:t>
      </w:r>
    </w:p>
    <w:p w14:paraId="142D404B" w14:textId="77777777" w:rsidR="00C063B4" w:rsidRDefault="00C063B4" w:rsidP="0068304F">
      <w:pPr>
        <w:pStyle w:val="Odstavecseseznamem"/>
        <w:numPr>
          <w:ilvl w:val="0"/>
          <w:numId w:val="2"/>
        </w:numPr>
        <w:ind w:left="284"/>
        <w:rPr>
          <w:lang w:val="cs-CZ"/>
        </w:rPr>
      </w:pPr>
      <w:r w:rsidRPr="00C063B4">
        <w:rPr>
          <w:lang w:val="cs-CZ"/>
        </w:rPr>
        <w:t xml:space="preserve">Výše zálohové platby nesmí překročit procentuální limit uvedený u konkrétního projektu v příloze zadávací dokumentace v části </w:t>
      </w:r>
      <w:r w:rsidRPr="00FD4594">
        <w:rPr>
          <w:b/>
          <w:lang w:val="cs-CZ"/>
        </w:rPr>
        <w:t>„Možná procentuální výše zálohové faktury z ceny“</w:t>
      </w:r>
      <w:r w:rsidRPr="00C063B4">
        <w:rPr>
          <w:lang w:val="cs-CZ"/>
        </w:rPr>
        <w:t>.</w:t>
      </w:r>
    </w:p>
    <w:p w14:paraId="20338A3A" w14:textId="3C73709E" w:rsidR="00C063B4" w:rsidRPr="009971E7" w:rsidRDefault="00C063B4" w:rsidP="0068304F">
      <w:pPr>
        <w:pStyle w:val="Odstavecseseznamem"/>
        <w:numPr>
          <w:ilvl w:val="0"/>
          <w:numId w:val="2"/>
        </w:numPr>
        <w:ind w:left="284"/>
        <w:rPr>
          <w:lang w:val="cs-CZ"/>
        </w:rPr>
      </w:pPr>
      <w:r>
        <w:rPr>
          <w:lang w:val="cs-CZ"/>
        </w:rPr>
        <w:t>Auditor</w:t>
      </w:r>
      <w:r w:rsidRPr="00C063B4">
        <w:rPr>
          <w:lang w:val="cs-CZ"/>
        </w:rPr>
        <w:t xml:space="preserve"> je povinen ke každé žádosti o zálohu doložit: identifikaci příslušného projektu, potvrzení zahájení příslušného dílčího plnění, navrhovanou výši zálohy v souladu s přílohou. Záloha bude poskytnuta po schválení </w:t>
      </w:r>
      <w:r>
        <w:rPr>
          <w:lang w:val="cs-CZ"/>
        </w:rPr>
        <w:t>O</w:t>
      </w:r>
      <w:r w:rsidRPr="00C063B4">
        <w:rPr>
          <w:lang w:val="cs-CZ"/>
        </w:rPr>
        <w:t>bjednatelem a vystavení zálohové faktury. Poskytnutá záloha bude započtena při následné fakturaci za dokončený audit příslušného projektu.</w:t>
      </w:r>
    </w:p>
    <w:p w14:paraId="5733F279" w14:textId="0F1A3720" w:rsidR="00F960D5" w:rsidRDefault="00321D62" w:rsidP="0068304F">
      <w:pPr>
        <w:pStyle w:val="Odstavecseseznamem"/>
        <w:numPr>
          <w:ilvl w:val="0"/>
          <w:numId w:val="2"/>
        </w:numPr>
        <w:ind w:left="284"/>
        <w:rPr>
          <w:lang w:val="cs-CZ"/>
        </w:rPr>
      </w:pPr>
      <w:r w:rsidRPr="00585F2D">
        <w:rPr>
          <w:lang w:val="cs-CZ"/>
        </w:rPr>
        <w:t xml:space="preserve">Úhrada ceny bude </w:t>
      </w:r>
      <w:r w:rsidR="00FB4DAC">
        <w:rPr>
          <w:lang w:val="cs-CZ"/>
        </w:rPr>
        <w:t>Objednatelem</w:t>
      </w:r>
      <w:r w:rsidRPr="00585F2D">
        <w:rPr>
          <w:lang w:val="cs-CZ"/>
        </w:rPr>
        <w:t xml:space="preserve"> provedena bezhotovostním převodem na účet </w:t>
      </w:r>
      <w:r w:rsidR="00A2697C">
        <w:rPr>
          <w:lang w:val="cs-CZ"/>
        </w:rPr>
        <w:t>Audito</w:t>
      </w:r>
      <w:r w:rsidR="00B33805">
        <w:rPr>
          <w:lang w:val="cs-CZ"/>
        </w:rPr>
        <w:t>ra</w:t>
      </w:r>
      <w:r w:rsidRPr="00585F2D">
        <w:rPr>
          <w:lang w:val="cs-CZ"/>
        </w:rPr>
        <w:t xml:space="preserve"> uvedený v čl. I</w:t>
      </w:r>
      <w:r w:rsidR="009971E7">
        <w:rPr>
          <w:lang w:val="cs-CZ"/>
        </w:rPr>
        <w:t xml:space="preserve"> t</w:t>
      </w:r>
      <w:r w:rsidRPr="00585F2D">
        <w:rPr>
          <w:lang w:val="cs-CZ"/>
        </w:rPr>
        <w:t xml:space="preserve">éto </w:t>
      </w:r>
      <w:r w:rsidR="00441E19">
        <w:rPr>
          <w:lang w:val="cs-CZ"/>
        </w:rPr>
        <w:t>smlouvy, a to na základě faktur vystavených</w:t>
      </w:r>
      <w:r w:rsidRPr="00585F2D">
        <w:rPr>
          <w:lang w:val="cs-CZ"/>
        </w:rPr>
        <w:t xml:space="preserve"> </w:t>
      </w:r>
      <w:r w:rsidR="00F060FB">
        <w:rPr>
          <w:lang w:val="cs-CZ"/>
        </w:rPr>
        <w:t>Auditorem</w:t>
      </w:r>
      <w:r w:rsidRPr="00585F2D">
        <w:rPr>
          <w:lang w:val="cs-CZ"/>
        </w:rPr>
        <w:t xml:space="preserve"> po </w:t>
      </w:r>
      <w:r w:rsidR="009971E7">
        <w:rPr>
          <w:lang w:val="cs-CZ"/>
        </w:rPr>
        <w:t>akceptaci</w:t>
      </w:r>
      <w:r w:rsidRPr="00585F2D">
        <w:rPr>
          <w:lang w:val="cs-CZ"/>
        </w:rPr>
        <w:t>.</w:t>
      </w:r>
      <w:r w:rsidR="009971E7">
        <w:rPr>
          <w:lang w:val="cs-CZ"/>
        </w:rPr>
        <w:t xml:space="preserve"> </w:t>
      </w:r>
      <w:r w:rsidRPr="00585F2D">
        <w:rPr>
          <w:lang w:val="cs-CZ"/>
        </w:rPr>
        <w:t>Splatnost</w:t>
      </w:r>
      <w:r w:rsidR="00441E19">
        <w:rPr>
          <w:lang w:val="cs-CZ"/>
        </w:rPr>
        <w:t xml:space="preserve"> každé</w:t>
      </w:r>
      <w:r w:rsidRPr="00585F2D">
        <w:rPr>
          <w:lang w:val="cs-CZ"/>
        </w:rPr>
        <w:t xml:space="preserve"> faktury je </w:t>
      </w:r>
      <w:r w:rsidR="009971E7">
        <w:rPr>
          <w:lang w:val="cs-CZ"/>
        </w:rPr>
        <w:t>30</w:t>
      </w:r>
      <w:r w:rsidR="00B33805" w:rsidRPr="00585F2D">
        <w:rPr>
          <w:lang w:val="cs-CZ"/>
        </w:rPr>
        <w:t xml:space="preserve"> </w:t>
      </w:r>
      <w:r w:rsidRPr="00585F2D">
        <w:rPr>
          <w:lang w:val="cs-CZ"/>
        </w:rPr>
        <w:t xml:space="preserve">dnů od jejího doručení. Závazek splatnosti ceny je splněn okamžikem odeslání příslušné částky z účtu </w:t>
      </w:r>
      <w:r w:rsidR="00FB4DAC">
        <w:rPr>
          <w:lang w:val="cs-CZ"/>
        </w:rPr>
        <w:t>Obje</w:t>
      </w:r>
      <w:r w:rsidR="00742EE6">
        <w:rPr>
          <w:lang w:val="cs-CZ"/>
        </w:rPr>
        <w:t>d</w:t>
      </w:r>
      <w:r w:rsidR="00FB4DAC">
        <w:rPr>
          <w:lang w:val="cs-CZ"/>
        </w:rPr>
        <w:t>natele</w:t>
      </w:r>
      <w:r w:rsidRPr="00585F2D">
        <w:rPr>
          <w:lang w:val="cs-CZ"/>
        </w:rPr>
        <w:t xml:space="preserve"> na účet </w:t>
      </w:r>
      <w:r w:rsidR="00FB4DAC">
        <w:rPr>
          <w:lang w:val="cs-CZ"/>
        </w:rPr>
        <w:t>Auditora</w:t>
      </w:r>
      <w:r w:rsidRPr="00585F2D">
        <w:rPr>
          <w:lang w:val="cs-CZ"/>
        </w:rPr>
        <w:t>. Faktura musí mít veškeré náležitosti daňového a účetního dokladu dle příslušných právních přepisů; nebude-li faktura uvedené náležitosti obsahovat, bude ve lhůtě její splatnosti vrácena k opravě a po jejím opětovném zaslání počíná běžet nová lhůta splatnosti v souladu s podmínkami uvedenými v tomto odstavci.</w:t>
      </w:r>
      <w:r w:rsidR="00DE1FBB" w:rsidRPr="00585F2D">
        <w:rPr>
          <w:lang w:val="cs-CZ"/>
        </w:rPr>
        <w:t xml:space="preserve"> </w:t>
      </w:r>
    </w:p>
    <w:p w14:paraId="6A680912" w14:textId="0C7CB2E0" w:rsidR="00FD4594" w:rsidRPr="00FD4594" w:rsidRDefault="00FD4594" w:rsidP="00FD4594">
      <w:pPr>
        <w:pStyle w:val="Odstavecseseznamem"/>
        <w:numPr>
          <w:ilvl w:val="0"/>
          <w:numId w:val="2"/>
        </w:numPr>
        <w:ind w:left="284"/>
        <w:rPr>
          <w:szCs w:val="24"/>
          <w:lang w:val="cs-CZ"/>
        </w:rPr>
      </w:pPr>
      <w:r>
        <w:rPr>
          <w:lang w:val="cs-CZ"/>
        </w:rPr>
        <w:t>Auditor</w:t>
      </w:r>
      <w:r w:rsidRPr="00FD4594">
        <w:rPr>
          <w:lang w:val="cs-CZ"/>
        </w:rPr>
        <w:t xml:space="preserve"> se zavazuje vystavit po případné poradě s kupujícím 2 dílčí faktury, přičemž jedna faktura </w:t>
      </w:r>
      <w:r w:rsidRPr="00FD4594">
        <w:rPr>
          <w:szCs w:val="24"/>
          <w:lang w:val="cs-CZ"/>
        </w:rPr>
        <w:t>bude vystavena na položky předmětu plnění investičního charakteru a druhá bude vystavena na položky předmětu plnění neinvestičního charakteru.</w:t>
      </w:r>
      <w:r w:rsidRPr="00FD4594" w:rsidDel="00380C01">
        <w:rPr>
          <w:szCs w:val="24"/>
          <w:lang w:val="cs-CZ"/>
        </w:rPr>
        <w:t xml:space="preserve"> </w:t>
      </w:r>
    </w:p>
    <w:p w14:paraId="3430F259" w14:textId="55ED769E" w:rsidR="00FD4594" w:rsidRPr="00FD4594" w:rsidRDefault="00FD4594" w:rsidP="00FD4594">
      <w:pPr>
        <w:pStyle w:val="Odstavecseseznamem"/>
        <w:numPr>
          <w:ilvl w:val="0"/>
          <w:numId w:val="2"/>
        </w:numPr>
        <w:ind w:left="284"/>
        <w:rPr>
          <w:szCs w:val="24"/>
          <w:lang w:val="cs-CZ"/>
        </w:rPr>
      </w:pPr>
      <w:r w:rsidRPr="00FD4594">
        <w:rPr>
          <w:szCs w:val="24"/>
          <w:lang w:val="cs-CZ"/>
        </w:rPr>
        <w:t>Auditor se zavazuje po poradě s Objednatem na fakturu uvést označení projektu, z něhož je zboží hrazeno:</w:t>
      </w:r>
    </w:p>
    <w:p w14:paraId="189F9A93" w14:textId="5D34DE38" w:rsidR="00FD4594" w:rsidRPr="00FD4594" w:rsidRDefault="00FD4594" w:rsidP="00FD4594">
      <w:pPr>
        <w:pStyle w:val="PFI-odstavec"/>
        <w:tabs>
          <w:tab w:val="clear" w:pos="680"/>
        </w:tabs>
        <w:ind w:left="426"/>
        <w:jc w:val="center"/>
        <w:rPr>
          <w:rFonts w:asciiTheme="minorHAnsi" w:hAnsiTheme="minorHAnsi" w:cstheme="minorHAnsi"/>
          <w:sz w:val="24"/>
        </w:rPr>
      </w:pPr>
      <w:r w:rsidRPr="00FD4594">
        <w:rPr>
          <w:rFonts w:asciiTheme="minorHAnsi" w:hAnsiTheme="minorHAnsi" w:cstheme="minorHAnsi"/>
          <w:sz w:val="24"/>
        </w:rPr>
        <w:t xml:space="preserve">„Centrum pro umělou inteligenci a kvantové výpočty v systémovém výzkumu mozku“, </w:t>
      </w:r>
      <w:proofErr w:type="spellStart"/>
      <w:r w:rsidRPr="00FD4594">
        <w:rPr>
          <w:rFonts w:asciiTheme="minorHAnsi" w:hAnsiTheme="minorHAnsi" w:cstheme="minorHAnsi"/>
          <w:sz w:val="24"/>
        </w:rPr>
        <w:t>reg</w:t>
      </w:r>
      <w:proofErr w:type="spellEnd"/>
      <w:r w:rsidRPr="00FD4594">
        <w:rPr>
          <w:rFonts w:asciiTheme="minorHAnsi" w:hAnsiTheme="minorHAnsi" w:cstheme="minorHAnsi"/>
          <w:sz w:val="24"/>
        </w:rPr>
        <w:t>. č. CZ.02.01.01/00/23_029/0008437, zajišťovaného z prostředků Evropské unie a ČR v rámci OP JAK.</w:t>
      </w:r>
    </w:p>
    <w:p w14:paraId="32E7D1AE" w14:textId="71E34B2F" w:rsidR="00FD4594" w:rsidRPr="00FD4594" w:rsidRDefault="00FD4594" w:rsidP="00FD4594">
      <w:pPr>
        <w:pStyle w:val="PFI-odstavec"/>
        <w:tabs>
          <w:tab w:val="clear" w:pos="680"/>
        </w:tabs>
        <w:ind w:left="426"/>
        <w:jc w:val="center"/>
        <w:rPr>
          <w:rFonts w:asciiTheme="minorHAnsi" w:hAnsiTheme="minorHAnsi" w:cstheme="minorHAnsi"/>
          <w:sz w:val="24"/>
        </w:rPr>
      </w:pPr>
      <w:r w:rsidRPr="00FD4594">
        <w:rPr>
          <w:rFonts w:asciiTheme="minorHAnsi" w:hAnsiTheme="minorHAnsi" w:cstheme="minorHAnsi"/>
          <w:sz w:val="24"/>
        </w:rPr>
        <w:t>RICAIP – 37280/603/6031901Z000/1ND</w:t>
      </w:r>
    </w:p>
    <w:p w14:paraId="0263DACE" w14:textId="37C83213" w:rsidR="00FD4594" w:rsidRPr="00FD4594" w:rsidRDefault="00FD4594" w:rsidP="00FD4594">
      <w:pPr>
        <w:pStyle w:val="PFI-odstavec"/>
        <w:tabs>
          <w:tab w:val="clear" w:pos="680"/>
        </w:tabs>
        <w:ind w:left="426"/>
        <w:jc w:val="center"/>
        <w:rPr>
          <w:rFonts w:asciiTheme="minorHAnsi" w:hAnsiTheme="minorHAnsi" w:cstheme="minorHAnsi"/>
          <w:sz w:val="24"/>
        </w:rPr>
      </w:pPr>
      <w:proofErr w:type="spellStart"/>
      <w:r w:rsidRPr="00FD4594">
        <w:rPr>
          <w:rFonts w:asciiTheme="minorHAnsi" w:hAnsiTheme="minorHAnsi" w:cstheme="minorHAnsi"/>
          <w:sz w:val="24"/>
        </w:rPr>
        <w:t>CoreSense</w:t>
      </w:r>
      <w:proofErr w:type="spellEnd"/>
      <w:r w:rsidRPr="00FD4594">
        <w:rPr>
          <w:rFonts w:asciiTheme="minorHAnsi" w:hAnsiTheme="minorHAnsi" w:cstheme="minorHAnsi"/>
          <w:sz w:val="24"/>
        </w:rPr>
        <w:t xml:space="preserve"> – 37213/606/6062305Z000/1ND</w:t>
      </w:r>
    </w:p>
    <w:p w14:paraId="4BCDB51A" w14:textId="1635E13D" w:rsidR="00FD4594" w:rsidRPr="00FD4594" w:rsidRDefault="00FD4594" w:rsidP="00FD4594">
      <w:pPr>
        <w:pStyle w:val="PFI-odstavec"/>
        <w:tabs>
          <w:tab w:val="clear" w:pos="680"/>
        </w:tabs>
        <w:ind w:left="426"/>
        <w:jc w:val="center"/>
        <w:rPr>
          <w:rFonts w:asciiTheme="minorHAnsi" w:hAnsiTheme="minorHAnsi" w:cstheme="minorHAnsi"/>
          <w:sz w:val="24"/>
        </w:rPr>
      </w:pPr>
      <w:r w:rsidRPr="00FD4594">
        <w:rPr>
          <w:rFonts w:asciiTheme="minorHAnsi" w:hAnsiTheme="minorHAnsi" w:cstheme="minorHAnsi"/>
          <w:sz w:val="24"/>
        </w:rPr>
        <w:t>CLARA – 37990/605/6052501Z000/1ND</w:t>
      </w:r>
    </w:p>
    <w:p w14:paraId="2DA97CFE" w14:textId="2C0EAEF0" w:rsidR="00FD4594" w:rsidRPr="00FD4594" w:rsidRDefault="00FD4594" w:rsidP="00FD4594">
      <w:pPr>
        <w:pStyle w:val="PFI-odstavec"/>
        <w:tabs>
          <w:tab w:val="clear" w:pos="680"/>
        </w:tabs>
        <w:ind w:left="426"/>
        <w:jc w:val="center"/>
        <w:rPr>
          <w:rFonts w:asciiTheme="minorHAnsi" w:hAnsiTheme="minorHAnsi" w:cstheme="minorHAnsi"/>
          <w:sz w:val="24"/>
        </w:rPr>
      </w:pPr>
      <w:r w:rsidRPr="00FD4594">
        <w:rPr>
          <w:rFonts w:asciiTheme="minorHAnsi" w:hAnsiTheme="minorHAnsi" w:cstheme="minorHAnsi"/>
          <w:sz w:val="24"/>
        </w:rPr>
        <w:t>EDIH – - 37986/605/2012301Z000/1ND (50 %) - 37986/297/2012301Z000/1ND (50 %)</w:t>
      </w:r>
    </w:p>
    <w:p w14:paraId="5A2CDEE2" w14:textId="4A59F57E" w:rsidR="00FD4594" w:rsidRPr="00FD4594" w:rsidRDefault="00FD4594" w:rsidP="00FD4594">
      <w:pPr>
        <w:pStyle w:val="PFI-odstavec"/>
        <w:tabs>
          <w:tab w:val="clear" w:pos="680"/>
        </w:tabs>
        <w:ind w:left="426"/>
        <w:jc w:val="center"/>
        <w:rPr>
          <w:rFonts w:asciiTheme="minorHAnsi" w:hAnsiTheme="minorHAnsi" w:cstheme="minorHAnsi"/>
          <w:sz w:val="24"/>
        </w:rPr>
      </w:pPr>
      <w:r w:rsidRPr="00FD4594">
        <w:rPr>
          <w:rFonts w:asciiTheme="minorHAnsi" w:hAnsiTheme="minorHAnsi" w:cstheme="minorHAnsi"/>
          <w:sz w:val="24"/>
        </w:rPr>
        <w:t>ELIAS – 37244/606/6062307Z000/1ND</w:t>
      </w:r>
    </w:p>
    <w:p w14:paraId="066F704D" w14:textId="782BC779" w:rsidR="00FD4594" w:rsidRPr="00FD4594" w:rsidRDefault="00FD4594" w:rsidP="00FD4594">
      <w:pPr>
        <w:pStyle w:val="PFI-odstavec"/>
        <w:tabs>
          <w:tab w:val="clear" w:pos="680"/>
        </w:tabs>
        <w:ind w:left="426"/>
        <w:jc w:val="center"/>
        <w:rPr>
          <w:rFonts w:asciiTheme="minorHAnsi" w:hAnsiTheme="minorHAnsi" w:cstheme="minorHAnsi"/>
          <w:sz w:val="24"/>
        </w:rPr>
      </w:pPr>
      <w:r w:rsidRPr="00FD4594">
        <w:rPr>
          <w:rFonts w:asciiTheme="minorHAnsi" w:hAnsiTheme="minorHAnsi" w:cstheme="minorHAnsi"/>
          <w:sz w:val="24"/>
        </w:rPr>
        <w:t>AI-MATTERS – - 37990/606/2012302Z000/1ND (50 %) - 37990/297/2012302Z000/1ND (50 %) AGIMUS – 37244/606/6062201Z000/1ND</w:t>
      </w:r>
    </w:p>
    <w:p w14:paraId="7C33F889" w14:textId="429071F4" w:rsidR="00FD4594" w:rsidRPr="00FD4594" w:rsidRDefault="00FD4594" w:rsidP="00FD4594">
      <w:pPr>
        <w:pStyle w:val="PFI-odstavec"/>
        <w:tabs>
          <w:tab w:val="clear" w:pos="680"/>
        </w:tabs>
        <w:ind w:left="426"/>
        <w:jc w:val="center"/>
        <w:rPr>
          <w:rFonts w:asciiTheme="minorHAnsi" w:hAnsiTheme="minorHAnsi" w:cstheme="minorHAnsi"/>
          <w:sz w:val="24"/>
        </w:rPr>
      </w:pPr>
      <w:r w:rsidRPr="00FD4594">
        <w:rPr>
          <w:rFonts w:asciiTheme="minorHAnsi" w:hAnsiTheme="minorHAnsi" w:cstheme="minorHAnsi"/>
          <w:sz w:val="24"/>
        </w:rPr>
        <w:lastRenderedPageBreak/>
        <w:t>ELLIOT – 37244/606/6062501Z000/1ND</w:t>
      </w:r>
    </w:p>
    <w:p w14:paraId="70D2934E" w14:textId="77777777" w:rsidR="00FD4594" w:rsidRPr="00FD4594" w:rsidRDefault="00FD4594" w:rsidP="00FD4594">
      <w:pPr>
        <w:pStyle w:val="PFI-odstavec"/>
        <w:tabs>
          <w:tab w:val="clear" w:pos="680"/>
        </w:tabs>
        <w:ind w:left="426"/>
        <w:jc w:val="center"/>
        <w:rPr>
          <w:rFonts w:asciiTheme="minorHAnsi" w:hAnsiTheme="minorHAnsi" w:cstheme="minorHAnsi"/>
          <w:sz w:val="24"/>
          <w:highlight w:val="yellow"/>
        </w:rPr>
      </w:pPr>
      <w:r w:rsidRPr="00FD4594">
        <w:rPr>
          <w:rFonts w:asciiTheme="minorHAnsi" w:hAnsiTheme="minorHAnsi" w:cstheme="minorHAnsi"/>
          <w:sz w:val="24"/>
        </w:rPr>
        <w:t>FRONTIER – 37244/605/6052401Z000/1ND</w:t>
      </w:r>
    </w:p>
    <w:p w14:paraId="00228EEE" w14:textId="0FED75DA" w:rsidR="00FD4594" w:rsidRPr="00FD4594" w:rsidRDefault="00FD4594" w:rsidP="00FD4594">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spacing w:after="120"/>
        <w:rPr>
          <w:szCs w:val="24"/>
        </w:rPr>
      </w:pPr>
      <w:r w:rsidRPr="00FD4594">
        <w:rPr>
          <w:szCs w:val="24"/>
        </w:rPr>
        <w:t>Nevejde-li se na fakturu údaj celý, postačí alespoň registrační číslo projektu bez názvu dotačního projektu.</w:t>
      </w:r>
    </w:p>
    <w:p w14:paraId="258E6CB9" w14:textId="4808CE08" w:rsidR="00312A41" w:rsidRDefault="00312A41" w:rsidP="00312A41">
      <w:pPr>
        <w:pStyle w:val="Nadpis1"/>
        <w:rPr>
          <w:lang w:val="cs-CZ"/>
        </w:rPr>
      </w:pPr>
      <w:r>
        <w:rPr>
          <w:lang w:val="cs-CZ"/>
        </w:rPr>
        <w:t>VI</w:t>
      </w:r>
      <w:r w:rsidR="00742EE6">
        <w:rPr>
          <w:lang w:val="cs-CZ"/>
        </w:rPr>
        <w:t>I</w:t>
      </w:r>
      <w:r>
        <w:rPr>
          <w:lang w:val="cs-CZ"/>
        </w:rPr>
        <w:t>I. Pojištění Auditora</w:t>
      </w:r>
    </w:p>
    <w:p w14:paraId="416A0815" w14:textId="2CE6351B" w:rsidR="00312A41" w:rsidRPr="00312A41" w:rsidRDefault="00312A41" w:rsidP="0068304F">
      <w:pPr>
        <w:pStyle w:val="Odstavecseseznamem"/>
        <w:numPr>
          <w:ilvl w:val="0"/>
          <w:numId w:val="7"/>
        </w:numPr>
        <w:ind w:left="426" w:hanging="426"/>
        <w:rPr>
          <w:lang w:val="cs-CZ"/>
        </w:rPr>
      </w:pPr>
      <w:r w:rsidRPr="00312A41">
        <w:rPr>
          <w:lang w:val="cs-CZ"/>
        </w:rPr>
        <w:t>Auditor je povinen, aniž by tím byla jakkoli omezena jeho odpovědnost daná tou</w:t>
      </w:r>
      <w:r>
        <w:rPr>
          <w:lang w:val="cs-CZ"/>
        </w:rPr>
        <w:t>to s</w:t>
      </w:r>
      <w:r w:rsidRPr="00312A41">
        <w:rPr>
          <w:lang w:val="cs-CZ"/>
        </w:rPr>
        <w:t>mlouvou a příslušnými právními předpisy, sjednat pojištění provozní odpovědnosti za škodu způsobenou Objednateli, a to za splnění následujících minimálních požadavků:</w:t>
      </w:r>
    </w:p>
    <w:p w14:paraId="1BC4E992" w14:textId="6332C622" w:rsidR="00312A41" w:rsidRPr="00312A41" w:rsidRDefault="00312A41" w:rsidP="0068304F">
      <w:pPr>
        <w:pStyle w:val="Odstavecseseznamem"/>
        <w:numPr>
          <w:ilvl w:val="1"/>
          <w:numId w:val="7"/>
        </w:numPr>
        <w:ind w:left="709" w:hanging="283"/>
        <w:rPr>
          <w:lang w:val="cs-CZ"/>
        </w:rPr>
      </w:pPr>
      <w:r w:rsidRPr="00312A41">
        <w:rPr>
          <w:lang w:val="cs-CZ"/>
        </w:rPr>
        <w:t>limit plnění pro jednotlivá rizika min. 10.000.000,- Kč,</w:t>
      </w:r>
    </w:p>
    <w:p w14:paraId="1C8D7709" w14:textId="600A1423" w:rsidR="00312A41" w:rsidRPr="00312A41" w:rsidRDefault="00312A41" w:rsidP="0068304F">
      <w:pPr>
        <w:pStyle w:val="Odstavecseseznamem"/>
        <w:numPr>
          <w:ilvl w:val="1"/>
          <w:numId w:val="7"/>
        </w:numPr>
        <w:ind w:left="709" w:hanging="283"/>
        <w:rPr>
          <w:lang w:val="cs-CZ"/>
        </w:rPr>
      </w:pPr>
      <w:r w:rsidRPr="00312A41">
        <w:rPr>
          <w:lang w:val="cs-CZ"/>
        </w:rPr>
        <w:t>počát</w:t>
      </w:r>
      <w:r>
        <w:rPr>
          <w:lang w:val="cs-CZ"/>
        </w:rPr>
        <w:t>ek krytí nejpozději do 30 dnů ode dne podpisu této</w:t>
      </w:r>
      <w:r w:rsidRPr="00312A41">
        <w:rPr>
          <w:lang w:val="cs-CZ"/>
        </w:rPr>
        <w:t xml:space="preserve"> smlouvy</w:t>
      </w:r>
      <w:r w:rsidR="00067489">
        <w:rPr>
          <w:lang w:val="cs-CZ"/>
        </w:rPr>
        <w:t>.</w:t>
      </w:r>
      <w:r w:rsidRPr="00312A41">
        <w:rPr>
          <w:lang w:val="cs-CZ"/>
        </w:rPr>
        <w:t xml:space="preserve"> </w:t>
      </w:r>
    </w:p>
    <w:p w14:paraId="3908777E" w14:textId="3BE20519" w:rsidR="00312A41" w:rsidRPr="00312A41" w:rsidRDefault="00312A41" w:rsidP="0068304F">
      <w:pPr>
        <w:pStyle w:val="Odstavecseseznamem"/>
        <w:numPr>
          <w:ilvl w:val="0"/>
          <w:numId w:val="7"/>
        </w:numPr>
        <w:ind w:left="426" w:hanging="426"/>
        <w:rPr>
          <w:lang w:val="cs-CZ"/>
        </w:rPr>
      </w:pPr>
      <w:r w:rsidRPr="00312A41">
        <w:rPr>
          <w:lang w:val="cs-CZ"/>
        </w:rPr>
        <w:t>Auditor se zavazuje, že pojištění v</w:t>
      </w:r>
      <w:r w:rsidR="00F10D33">
        <w:rPr>
          <w:lang w:val="cs-CZ"/>
        </w:rPr>
        <w:t>e výše uvedeném</w:t>
      </w:r>
      <w:r w:rsidRPr="00312A41">
        <w:rPr>
          <w:lang w:val="cs-CZ"/>
        </w:rPr>
        <w:t xml:space="preserve"> rozsahu</w:t>
      </w:r>
      <w:r w:rsidR="00067489">
        <w:rPr>
          <w:lang w:val="cs-CZ"/>
        </w:rPr>
        <w:t xml:space="preserve"> bude udržovat v platnosti po celou dobu platnosti této smlouvy</w:t>
      </w:r>
      <w:r w:rsidRPr="00312A41">
        <w:rPr>
          <w:lang w:val="cs-CZ"/>
        </w:rPr>
        <w:t xml:space="preserve">. </w:t>
      </w:r>
    </w:p>
    <w:p w14:paraId="6144EDEE" w14:textId="25DCC3F6" w:rsidR="00312A41" w:rsidRDefault="00312A41" w:rsidP="0068304F">
      <w:pPr>
        <w:pStyle w:val="Odstavecseseznamem"/>
        <w:numPr>
          <w:ilvl w:val="0"/>
          <w:numId w:val="7"/>
        </w:numPr>
        <w:ind w:left="426" w:hanging="426"/>
        <w:rPr>
          <w:lang w:val="cs-CZ"/>
        </w:rPr>
      </w:pPr>
      <w:r w:rsidRPr="00312A41">
        <w:rPr>
          <w:lang w:val="cs-CZ"/>
        </w:rPr>
        <w:t xml:space="preserve">Skutečnost, že Auditor řádně a včas neuzavře nebo nebude udržovat v účinnosti pojištění </w:t>
      </w:r>
      <w:r w:rsidR="00F10D33" w:rsidRPr="00312A41">
        <w:rPr>
          <w:lang w:val="cs-CZ"/>
        </w:rPr>
        <w:t>v</w:t>
      </w:r>
      <w:r w:rsidR="00F10D33">
        <w:rPr>
          <w:lang w:val="cs-CZ"/>
        </w:rPr>
        <w:t>e výše uvedeném</w:t>
      </w:r>
      <w:r w:rsidR="00F10D33" w:rsidRPr="00312A41">
        <w:rPr>
          <w:lang w:val="cs-CZ"/>
        </w:rPr>
        <w:t xml:space="preserve"> rozsahu </w:t>
      </w:r>
      <w:r w:rsidRPr="00312A41">
        <w:rPr>
          <w:lang w:val="cs-CZ"/>
        </w:rPr>
        <w:t>nebo nepředloží Objednateli příslušnou pojistku, bude po</w:t>
      </w:r>
      <w:r w:rsidR="00F10D33">
        <w:rPr>
          <w:lang w:val="cs-CZ"/>
        </w:rPr>
        <w:t>važována za podstatné porušení s</w:t>
      </w:r>
      <w:r w:rsidRPr="00312A41">
        <w:rPr>
          <w:lang w:val="cs-CZ"/>
        </w:rPr>
        <w:t>mlouvy.</w:t>
      </w:r>
    </w:p>
    <w:p w14:paraId="369702FE" w14:textId="48298C76" w:rsidR="00F10D33" w:rsidRDefault="00742EE6" w:rsidP="00F10D33">
      <w:pPr>
        <w:pStyle w:val="Nadpis1"/>
        <w:rPr>
          <w:lang w:val="cs-CZ"/>
        </w:rPr>
      </w:pPr>
      <w:r>
        <w:rPr>
          <w:lang w:val="cs-CZ"/>
        </w:rPr>
        <w:t>IX</w:t>
      </w:r>
      <w:r w:rsidR="00F10D33">
        <w:rPr>
          <w:lang w:val="cs-CZ"/>
        </w:rPr>
        <w:t>. Práva z vadného plnění</w:t>
      </w:r>
    </w:p>
    <w:p w14:paraId="63C7A801" w14:textId="657EDE3A" w:rsidR="008E644E" w:rsidRPr="008E644E" w:rsidRDefault="008E644E" w:rsidP="0068304F">
      <w:pPr>
        <w:pStyle w:val="Odstavecseseznamem"/>
        <w:numPr>
          <w:ilvl w:val="0"/>
          <w:numId w:val="9"/>
        </w:numPr>
        <w:ind w:left="426" w:hanging="426"/>
        <w:rPr>
          <w:lang w:val="cs-CZ"/>
        </w:rPr>
      </w:pPr>
      <w:r w:rsidRPr="008E644E">
        <w:rPr>
          <w:lang w:val="cs-CZ"/>
        </w:rPr>
        <w:t>Auditor odpovídá i za vady, jež j</w:t>
      </w:r>
      <w:r>
        <w:rPr>
          <w:lang w:val="cs-CZ"/>
        </w:rPr>
        <w:t>sou na výsledcích poskytnutých s</w:t>
      </w:r>
      <w:r w:rsidRPr="008E644E">
        <w:rPr>
          <w:lang w:val="cs-CZ"/>
        </w:rPr>
        <w:t>lužeb zjištěny v</w:t>
      </w:r>
      <w:r w:rsidR="00067489">
        <w:rPr>
          <w:lang w:val="cs-CZ"/>
        </w:rPr>
        <w:t xml:space="preserve">e </w:t>
      </w:r>
      <w:r w:rsidRPr="008E644E">
        <w:rPr>
          <w:lang w:val="cs-CZ"/>
        </w:rPr>
        <w:t>lhůtě 24</w:t>
      </w:r>
      <w:r>
        <w:rPr>
          <w:lang w:val="cs-CZ"/>
        </w:rPr>
        <w:t xml:space="preserve"> </w:t>
      </w:r>
      <w:r w:rsidRPr="008E644E">
        <w:rPr>
          <w:lang w:val="cs-CZ"/>
        </w:rPr>
        <w:t xml:space="preserve">měsíců po </w:t>
      </w:r>
      <w:r>
        <w:rPr>
          <w:lang w:val="cs-CZ"/>
        </w:rPr>
        <w:t>a</w:t>
      </w:r>
      <w:r w:rsidRPr="008E644E">
        <w:rPr>
          <w:lang w:val="cs-CZ"/>
        </w:rPr>
        <w:t>kceptaci</w:t>
      </w:r>
      <w:r>
        <w:rPr>
          <w:lang w:val="cs-CZ"/>
        </w:rPr>
        <w:t xml:space="preserve"> dle čl. V odst. </w:t>
      </w:r>
      <w:r w:rsidR="00912EAF">
        <w:rPr>
          <w:lang w:val="cs-CZ"/>
        </w:rPr>
        <w:t>4</w:t>
      </w:r>
      <w:r>
        <w:rPr>
          <w:lang w:val="cs-CZ"/>
        </w:rPr>
        <w:t xml:space="preserve"> této smlouvy</w:t>
      </w:r>
      <w:r w:rsidRPr="008E644E">
        <w:rPr>
          <w:lang w:val="cs-CZ"/>
        </w:rPr>
        <w:t xml:space="preserve">. V případě </w:t>
      </w:r>
      <w:r>
        <w:rPr>
          <w:lang w:val="cs-CZ"/>
        </w:rPr>
        <w:t>a</w:t>
      </w:r>
      <w:r w:rsidRPr="008E644E">
        <w:rPr>
          <w:lang w:val="cs-CZ"/>
        </w:rPr>
        <w:t>kceptace</w:t>
      </w:r>
      <w:r>
        <w:rPr>
          <w:lang w:val="cs-CZ"/>
        </w:rPr>
        <w:t xml:space="preserve"> s alespoň jednou vadou začíná r</w:t>
      </w:r>
      <w:r w:rsidRPr="008E644E">
        <w:rPr>
          <w:lang w:val="cs-CZ"/>
        </w:rPr>
        <w:t>eklamační lhůta běžet až ode dne odstranění poslední vady.</w:t>
      </w:r>
    </w:p>
    <w:p w14:paraId="7D8507E6" w14:textId="7801544E" w:rsidR="008E644E" w:rsidRPr="008E644E" w:rsidRDefault="008E644E" w:rsidP="0068304F">
      <w:pPr>
        <w:pStyle w:val="Odstavecseseznamem"/>
        <w:numPr>
          <w:ilvl w:val="0"/>
          <w:numId w:val="9"/>
        </w:numPr>
        <w:ind w:left="426" w:hanging="426"/>
        <w:rPr>
          <w:lang w:val="cs-CZ"/>
        </w:rPr>
      </w:pPr>
      <w:r>
        <w:rPr>
          <w:lang w:val="cs-CZ"/>
        </w:rPr>
        <w:t>Auditor po r</w:t>
      </w:r>
      <w:r w:rsidRPr="008E644E">
        <w:rPr>
          <w:lang w:val="cs-CZ"/>
        </w:rPr>
        <w:t>eklamační lhůtu odpovídá Objednateli zejména z</w:t>
      </w:r>
      <w:r>
        <w:rPr>
          <w:lang w:val="cs-CZ"/>
        </w:rPr>
        <w:t>a to, že výsledky poskytnutých služeb ke dni a</w:t>
      </w:r>
      <w:r w:rsidRPr="008E644E">
        <w:rPr>
          <w:lang w:val="cs-CZ"/>
        </w:rPr>
        <w:t xml:space="preserve">kceptace: </w:t>
      </w:r>
    </w:p>
    <w:p w14:paraId="738D0514" w14:textId="1B1A1116" w:rsidR="008E644E" w:rsidRPr="008E644E" w:rsidRDefault="008E644E" w:rsidP="0068304F">
      <w:pPr>
        <w:pStyle w:val="Odstavecseseznamem"/>
        <w:numPr>
          <w:ilvl w:val="0"/>
          <w:numId w:val="10"/>
        </w:numPr>
        <w:rPr>
          <w:lang w:val="cs-CZ"/>
        </w:rPr>
      </w:pPr>
      <w:r w:rsidRPr="008E644E">
        <w:rPr>
          <w:lang w:val="cs-CZ"/>
        </w:rPr>
        <w:t xml:space="preserve">měly </w:t>
      </w:r>
      <w:r>
        <w:rPr>
          <w:lang w:val="cs-CZ"/>
        </w:rPr>
        <w:t>vlastnosti, které si s</w:t>
      </w:r>
      <w:r w:rsidRPr="008E644E">
        <w:rPr>
          <w:lang w:val="cs-CZ"/>
        </w:rPr>
        <w:t>trany ujednaly, a chybí-li ujednání, takové vlastnosti, které Auditor popsal nebo které Objednate</w:t>
      </w:r>
      <w:r>
        <w:rPr>
          <w:lang w:val="cs-CZ"/>
        </w:rPr>
        <w:t>l očekával s ohledem na povahu s</w:t>
      </w:r>
      <w:r w:rsidRPr="008E644E">
        <w:rPr>
          <w:lang w:val="cs-CZ"/>
        </w:rPr>
        <w:t>lužeb a na základě reklamy Auditorem prováděné a</w:t>
      </w:r>
    </w:p>
    <w:p w14:paraId="0408BA4B" w14:textId="1D684950" w:rsidR="008E644E" w:rsidRPr="008E644E" w:rsidRDefault="008E644E" w:rsidP="0068304F">
      <w:pPr>
        <w:pStyle w:val="Odstavecseseznamem"/>
        <w:numPr>
          <w:ilvl w:val="0"/>
          <w:numId w:val="10"/>
        </w:numPr>
        <w:rPr>
          <w:lang w:val="cs-CZ"/>
        </w:rPr>
      </w:pPr>
      <w:r w:rsidRPr="008E644E">
        <w:rPr>
          <w:lang w:val="cs-CZ"/>
        </w:rPr>
        <w:t>plni</w:t>
      </w:r>
      <w:r>
        <w:rPr>
          <w:lang w:val="cs-CZ"/>
        </w:rPr>
        <w:t>ly svůj účel, který vyplývá ze smlouvy nebo ke kterému se s</w:t>
      </w:r>
      <w:r w:rsidRPr="008E644E">
        <w:rPr>
          <w:lang w:val="cs-CZ"/>
        </w:rPr>
        <w:t>lužby obvykle poskytují.</w:t>
      </w:r>
    </w:p>
    <w:p w14:paraId="1EE9DAD8" w14:textId="77777777" w:rsidR="00D430CB" w:rsidRDefault="008E644E" w:rsidP="0068304F">
      <w:pPr>
        <w:pStyle w:val="Odstavecseseznamem"/>
        <w:numPr>
          <w:ilvl w:val="0"/>
          <w:numId w:val="7"/>
        </w:numPr>
        <w:ind w:left="426"/>
        <w:rPr>
          <w:lang w:val="cs-CZ"/>
        </w:rPr>
      </w:pPr>
      <w:r>
        <w:rPr>
          <w:lang w:val="cs-CZ"/>
        </w:rPr>
        <w:t>Strany výslovně utvrzují, že v r</w:t>
      </w:r>
      <w:r w:rsidRPr="008E644E">
        <w:rPr>
          <w:lang w:val="cs-CZ"/>
        </w:rPr>
        <w:t>eklamační lhůtě lze uplatnit jakékoli vady, kt</w:t>
      </w:r>
      <w:r>
        <w:rPr>
          <w:lang w:val="cs-CZ"/>
        </w:rPr>
        <w:t>eré na výsledcích poskytnutých s</w:t>
      </w:r>
      <w:r w:rsidRPr="008E644E">
        <w:rPr>
          <w:lang w:val="cs-CZ"/>
        </w:rPr>
        <w:t>lužeb váznou, mj. tedy zcela bez ohledu na to, kdy je Objednatel měl či mohl zjistit, nebo kdy je zjistil.</w:t>
      </w:r>
    </w:p>
    <w:p w14:paraId="0E054C0E" w14:textId="77777777" w:rsidR="00D430CB" w:rsidRDefault="00D430CB" w:rsidP="0068304F">
      <w:pPr>
        <w:pStyle w:val="Odstavecseseznamem"/>
        <w:numPr>
          <w:ilvl w:val="0"/>
          <w:numId w:val="7"/>
        </w:numPr>
        <w:ind w:left="426"/>
        <w:rPr>
          <w:lang w:val="cs-CZ"/>
        </w:rPr>
      </w:pPr>
      <w:r w:rsidRPr="00D430CB">
        <w:rPr>
          <w:lang w:val="cs-CZ"/>
        </w:rPr>
        <w:t>Auditor se zavazuje prověřit reklamaci a nejpozději následující pracovní den ode dne jejího doručení oznámit Objednateli, zda reklamaci uznává. Pokud tak Auditor v uvedené lhůtě neučiní, má se za to, že reklamaci uznává a že zvolené právo z vadného plnění uspokojí.</w:t>
      </w:r>
    </w:p>
    <w:p w14:paraId="0DFB69CF" w14:textId="0415A0A1" w:rsidR="00D430CB" w:rsidRPr="00D430CB" w:rsidRDefault="00D430CB" w:rsidP="0068304F">
      <w:pPr>
        <w:pStyle w:val="Odstavecseseznamem"/>
        <w:numPr>
          <w:ilvl w:val="0"/>
          <w:numId w:val="7"/>
        </w:numPr>
        <w:ind w:left="426"/>
        <w:rPr>
          <w:lang w:val="cs-CZ"/>
        </w:rPr>
      </w:pPr>
      <w:r w:rsidRPr="00D430CB">
        <w:rPr>
          <w:lang w:val="cs-CZ"/>
        </w:rPr>
        <w:t>Reklamovanou vadu se Auditor zavazuje odstrani</w:t>
      </w:r>
      <w:r>
        <w:rPr>
          <w:lang w:val="cs-CZ"/>
        </w:rPr>
        <w:t xml:space="preserve">t bezodkladně, nejpozději do 5 </w:t>
      </w:r>
      <w:r w:rsidRPr="00D430CB">
        <w:rPr>
          <w:lang w:val="cs-CZ"/>
        </w:rPr>
        <w:t>dní ode dne doručení reklamace, nebude-li mezi Objednatelem a Auditorem dohodnuto jinak.</w:t>
      </w:r>
    </w:p>
    <w:p w14:paraId="326BD11C" w14:textId="77777777" w:rsidR="008E644E" w:rsidRDefault="008E644E" w:rsidP="0068304F">
      <w:pPr>
        <w:pStyle w:val="Odstavecseseznamem"/>
        <w:numPr>
          <w:ilvl w:val="0"/>
          <w:numId w:val="7"/>
        </w:numPr>
        <w:ind w:left="426"/>
        <w:rPr>
          <w:lang w:val="cs-CZ"/>
        </w:rPr>
      </w:pPr>
      <w:r w:rsidRPr="008E644E">
        <w:rPr>
          <w:lang w:val="cs-CZ"/>
        </w:rPr>
        <w:t>Práva z vadného plnění Objednatel uplatní u Auditora kdykoliv po zjištění vady. V reklamaci Objednatel uvede alespoň popis vady nebo informaci o tom, jak se vada projevuje a jaká práva v souvislosti s vadou uplatňuje.</w:t>
      </w:r>
    </w:p>
    <w:p w14:paraId="20D0F927" w14:textId="6D41FB7B" w:rsidR="008E644E" w:rsidRPr="008E644E" w:rsidRDefault="008E644E" w:rsidP="0068304F">
      <w:pPr>
        <w:pStyle w:val="Odstavecseseznamem"/>
        <w:numPr>
          <w:ilvl w:val="0"/>
          <w:numId w:val="7"/>
        </w:numPr>
        <w:ind w:left="426"/>
        <w:rPr>
          <w:lang w:val="cs-CZ"/>
        </w:rPr>
      </w:pPr>
      <w:r w:rsidRPr="008E644E">
        <w:rPr>
          <w:lang w:val="cs-CZ"/>
        </w:rPr>
        <w:t>Objednatel má zejména právo:</w:t>
      </w:r>
    </w:p>
    <w:p w14:paraId="0BF31E2B" w14:textId="51D2A0E6" w:rsidR="008E644E" w:rsidRPr="008E644E" w:rsidRDefault="008E644E" w:rsidP="00B7671B">
      <w:pPr>
        <w:pStyle w:val="Odstavecseseznamem"/>
        <w:numPr>
          <w:ilvl w:val="0"/>
          <w:numId w:val="11"/>
        </w:numPr>
        <w:ind w:hanging="371"/>
        <w:rPr>
          <w:lang w:val="cs-CZ"/>
        </w:rPr>
      </w:pPr>
      <w:r w:rsidRPr="008E644E">
        <w:rPr>
          <w:lang w:val="cs-CZ"/>
        </w:rPr>
        <w:lastRenderedPageBreak/>
        <w:t>na odstraněn</w:t>
      </w:r>
      <w:r>
        <w:rPr>
          <w:lang w:val="cs-CZ"/>
        </w:rPr>
        <w:t>í vady novým poskytnutím části s</w:t>
      </w:r>
      <w:r w:rsidRPr="008E644E">
        <w:rPr>
          <w:lang w:val="cs-CZ"/>
        </w:rPr>
        <w:t>lužeb,</w:t>
      </w:r>
    </w:p>
    <w:p w14:paraId="08D918AA" w14:textId="3A09D9C3" w:rsidR="008E644E" w:rsidRPr="008E644E" w:rsidRDefault="008E644E" w:rsidP="00B7671B">
      <w:pPr>
        <w:pStyle w:val="Odstavecseseznamem"/>
        <w:numPr>
          <w:ilvl w:val="0"/>
          <w:numId w:val="11"/>
        </w:numPr>
        <w:ind w:hanging="371"/>
        <w:rPr>
          <w:lang w:val="cs-CZ"/>
        </w:rPr>
      </w:pPr>
      <w:r w:rsidRPr="008E644E">
        <w:rPr>
          <w:lang w:val="cs-CZ"/>
        </w:rPr>
        <w:t>na od</w:t>
      </w:r>
      <w:r>
        <w:rPr>
          <w:lang w:val="cs-CZ"/>
        </w:rPr>
        <w:t>stranění vady opravou výsledku s</w:t>
      </w:r>
      <w:r w:rsidRPr="008E644E">
        <w:rPr>
          <w:lang w:val="cs-CZ"/>
        </w:rPr>
        <w:t xml:space="preserve">lužeb, je-li </w:t>
      </w:r>
      <w:r w:rsidR="00B7671B">
        <w:rPr>
          <w:lang w:val="cs-CZ"/>
        </w:rPr>
        <w:t>vada tímto způsobem opravitelná, nebo</w:t>
      </w:r>
    </w:p>
    <w:p w14:paraId="0B93D859" w14:textId="3913D94F" w:rsidR="008E644E" w:rsidRPr="008E644E" w:rsidRDefault="008E644E" w:rsidP="00B7671B">
      <w:pPr>
        <w:pStyle w:val="Odstavecseseznamem"/>
        <w:numPr>
          <w:ilvl w:val="0"/>
          <w:numId w:val="11"/>
        </w:numPr>
        <w:ind w:hanging="371"/>
        <w:rPr>
          <w:lang w:val="cs-CZ"/>
        </w:rPr>
      </w:pPr>
      <w:r w:rsidRPr="008E644E">
        <w:rPr>
          <w:lang w:val="cs-CZ"/>
        </w:rPr>
        <w:t>na přiměřenou slevu z</w:t>
      </w:r>
      <w:r w:rsidR="00B7671B">
        <w:rPr>
          <w:lang w:val="cs-CZ"/>
        </w:rPr>
        <w:t> </w:t>
      </w:r>
      <w:r>
        <w:rPr>
          <w:lang w:val="cs-CZ"/>
        </w:rPr>
        <w:t>ceny</w:t>
      </w:r>
      <w:r w:rsidR="00B7671B">
        <w:rPr>
          <w:lang w:val="cs-CZ"/>
        </w:rPr>
        <w:t>.</w:t>
      </w:r>
    </w:p>
    <w:p w14:paraId="39A5AFCA" w14:textId="77777777" w:rsidR="008E644E" w:rsidRPr="008E644E" w:rsidRDefault="008E644E" w:rsidP="008E644E">
      <w:pPr>
        <w:ind w:left="360"/>
        <w:rPr>
          <w:lang w:val="cs-CZ"/>
        </w:rPr>
      </w:pPr>
      <w:r w:rsidRPr="008E644E">
        <w:rPr>
          <w:lang w:val="cs-CZ"/>
        </w:rPr>
        <w:t>Objednatel je oprávněn zvolit si a uplatnit kterékoliv z uvedených práv dle svého uvážení, případně zvolit a uplatnit jejich kombinaci.</w:t>
      </w:r>
    </w:p>
    <w:p w14:paraId="3F4D3AB5" w14:textId="7CFE6274" w:rsidR="00321D62" w:rsidRPr="00585F2D" w:rsidRDefault="00F10D33" w:rsidP="00FD4594">
      <w:pPr>
        <w:pStyle w:val="Nadpis1"/>
        <w:rPr>
          <w:snapToGrid w:val="0"/>
          <w:lang w:val="en-GB"/>
        </w:rPr>
      </w:pPr>
      <w:r>
        <w:rPr>
          <w:snapToGrid w:val="0"/>
          <w:lang w:val="en-GB"/>
        </w:rPr>
        <w:t>X</w:t>
      </w:r>
      <w:r w:rsidR="00321D62" w:rsidRPr="00630C36">
        <w:rPr>
          <w:snapToGrid w:val="0"/>
          <w:lang w:val="en-GB"/>
        </w:rPr>
        <w:t>.</w:t>
      </w:r>
      <w:r w:rsidR="00585F2D">
        <w:rPr>
          <w:snapToGrid w:val="0"/>
          <w:lang w:val="en-GB"/>
        </w:rPr>
        <w:t xml:space="preserve"> </w:t>
      </w:r>
      <w:r w:rsidR="00321D62" w:rsidRPr="000A4933">
        <w:rPr>
          <w:snapToGrid w:val="0"/>
          <w:lang w:val="cs-CZ"/>
        </w:rPr>
        <w:t>Sankční ujednání</w:t>
      </w:r>
    </w:p>
    <w:p w14:paraId="00C5AC94" w14:textId="3A54616D" w:rsidR="00F10D33" w:rsidRPr="00F10D33" w:rsidRDefault="00F10D33" w:rsidP="00FD4594">
      <w:pPr>
        <w:pStyle w:val="Nadpis1"/>
        <w:numPr>
          <w:ilvl w:val="0"/>
          <w:numId w:val="8"/>
        </w:numPr>
        <w:spacing w:before="0" w:after="0"/>
        <w:ind w:left="283" w:hanging="425"/>
        <w:jc w:val="both"/>
        <w:rPr>
          <w:rFonts w:eastAsia="Times New Roman" w:cs="Times New Roman"/>
          <w:b w:val="0"/>
          <w:szCs w:val="20"/>
          <w:lang w:val="cs-CZ"/>
        </w:rPr>
      </w:pPr>
      <w:r w:rsidRPr="00F10D33">
        <w:rPr>
          <w:rFonts w:eastAsia="Times New Roman" w:cs="Times New Roman"/>
          <w:b w:val="0"/>
          <w:szCs w:val="20"/>
          <w:lang w:val="cs-CZ"/>
        </w:rPr>
        <w:t>V případě prodlení Audito</w:t>
      </w:r>
      <w:r>
        <w:rPr>
          <w:rFonts w:eastAsia="Times New Roman" w:cs="Times New Roman"/>
          <w:b w:val="0"/>
          <w:szCs w:val="20"/>
          <w:lang w:val="cs-CZ"/>
        </w:rPr>
        <w:t>ra oproti lhůtě pro poskytnutí s</w:t>
      </w:r>
      <w:r w:rsidRPr="00F10D33">
        <w:rPr>
          <w:rFonts w:eastAsia="Times New Roman" w:cs="Times New Roman"/>
          <w:b w:val="0"/>
          <w:szCs w:val="20"/>
          <w:lang w:val="cs-CZ"/>
        </w:rPr>
        <w:t>lužeb</w:t>
      </w:r>
      <w:r>
        <w:rPr>
          <w:rFonts w:eastAsia="Times New Roman" w:cs="Times New Roman"/>
          <w:b w:val="0"/>
          <w:szCs w:val="20"/>
          <w:lang w:val="cs-CZ"/>
        </w:rPr>
        <w:t xml:space="preserve"> u jednotlivých projektů dle přílohy A této smlouvy</w:t>
      </w:r>
      <w:r w:rsidRPr="00F10D33">
        <w:rPr>
          <w:rFonts w:eastAsia="Times New Roman" w:cs="Times New Roman"/>
          <w:b w:val="0"/>
          <w:szCs w:val="20"/>
          <w:lang w:val="cs-CZ"/>
        </w:rPr>
        <w:t xml:space="preserve"> se zavazuje Objednateli zaplatit smluvní pokutu ve výši </w:t>
      </w:r>
      <w:r w:rsidR="00912EAF">
        <w:rPr>
          <w:rFonts w:eastAsia="Times New Roman" w:cs="Times New Roman"/>
          <w:b w:val="0"/>
          <w:szCs w:val="20"/>
          <w:lang w:val="cs-CZ"/>
        </w:rPr>
        <w:t>10</w:t>
      </w:r>
      <w:r w:rsidRPr="00F10D33">
        <w:rPr>
          <w:rFonts w:eastAsia="Times New Roman" w:cs="Times New Roman"/>
          <w:b w:val="0"/>
          <w:szCs w:val="20"/>
          <w:lang w:val="cs-CZ"/>
        </w:rPr>
        <w:t xml:space="preserve">.000,- Kč </w:t>
      </w:r>
      <w:r>
        <w:rPr>
          <w:rFonts w:eastAsia="Times New Roman" w:cs="Times New Roman"/>
          <w:b w:val="0"/>
          <w:szCs w:val="20"/>
          <w:lang w:val="cs-CZ"/>
        </w:rPr>
        <w:t>za každý započatý den prodlení.</w:t>
      </w:r>
    </w:p>
    <w:p w14:paraId="3A7A596C" w14:textId="36E602CB" w:rsidR="00F10D33" w:rsidRPr="00F10D33" w:rsidRDefault="00F10D33" w:rsidP="0068304F">
      <w:pPr>
        <w:pStyle w:val="Nadpis1"/>
        <w:keepNext w:val="0"/>
        <w:keepLines w:val="0"/>
        <w:numPr>
          <w:ilvl w:val="0"/>
          <w:numId w:val="8"/>
        </w:numPr>
        <w:spacing w:before="0" w:after="0"/>
        <w:ind w:left="284" w:hanging="425"/>
        <w:jc w:val="both"/>
        <w:rPr>
          <w:rFonts w:eastAsia="Times New Roman" w:cs="Times New Roman"/>
          <w:b w:val="0"/>
          <w:szCs w:val="20"/>
          <w:lang w:val="cs-CZ"/>
        </w:rPr>
      </w:pPr>
      <w:r w:rsidRPr="00F10D33">
        <w:rPr>
          <w:rFonts w:eastAsia="Times New Roman" w:cs="Times New Roman"/>
          <w:b w:val="0"/>
          <w:szCs w:val="20"/>
          <w:lang w:val="cs-CZ"/>
        </w:rPr>
        <w:t>V případě prodlení Auditora</w:t>
      </w:r>
      <w:r w:rsidR="00440679">
        <w:rPr>
          <w:rFonts w:eastAsia="Times New Roman" w:cs="Times New Roman"/>
          <w:b w:val="0"/>
          <w:szCs w:val="20"/>
          <w:lang w:val="cs-CZ"/>
        </w:rPr>
        <w:t xml:space="preserve"> s </w:t>
      </w:r>
      <w:r w:rsidRPr="00F10D33">
        <w:rPr>
          <w:rFonts w:eastAsia="Times New Roman" w:cs="Times New Roman"/>
          <w:b w:val="0"/>
          <w:szCs w:val="20"/>
          <w:lang w:val="cs-CZ"/>
        </w:rPr>
        <w:t>odstranění</w:t>
      </w:r>
      <w:r w:rsidR="00440679">
        <w:rPr>
          <w:rFonts w:eastAsia="Times New Roman" w:cs="Times New Roman"/>
          <w:b w:val="0"/>
          <w:szCs w:val="20"/>
          <w:lang w:val="cs-CZ"/>
        </w:rPr>
        <w:t>m</w:t>
      </w:r>
      <w:r w:rsidRPr="00F10D33">
        <w:rPr>
          <w:rFonts w:eastAsia="Times New Roman" w:cs="Times New Roman"/>
          <w:b w:val="0"/>
          <w:szCs w:val="20"/>
          <w:lang w:val="cs-CZ"/>
        </w:rPr>
        <w:t xml:space="preserve"> vad </w:t>
      </w:r>
      <w:r w:rsidR="00440679">
        <w:rPr>
          <w:rFonts w:eastAsia="Times New Roman" w:cs="Times New Roman"/>
          <w:b w:val="0"/>
          <w:szCs w:val="20"/>
          <w:lang w:val="cs-CZ"/>
        </w:rPr>
        <w:t xml:space="preserve">dle </w:t>
      </w:r>
      <w:r>
        <w:rPr>
          <w:rFonts w:eastAsia="Times New Roman" w:cs="Times New Roman"/>
          <w:b w:val="0"/>
          <w:szCs w:val="20"/>
          <w:lang w:val="cs-CZ"/>
        </w:rPr>
        <w:t>čl. V</w:t>
      </w:r>
      <w:r w:rsidR="00912EAF">
        <w:rPr>
          <w:rFonts w:eastAsia="Times New Roman" w:cs="Times New Roman"/>
          <w:b w:val="0"/>
          <w:szCs w:val="20"/>
          <w:lang w:val="cs-CZ"/>
        </w:rPr>
        <w:t> </w:t>
      </w:r>
      <w:r w:rsidR="00440679">
        <w:rPr>
          <w:rFonts w:eastAsia="Times New Roman" w:cs="Times New Roman"/>
          <w:b w:val="0"/>
          <w:szCs w:val="20"/>
          <w:lang w:val="cs-CZ"/>
        </w:rPr>
        <w:t>či</w:t>
      </w:r>
      <w:r w:rsidR="00912EAF">
        <w:rPr>
          <w:rFonts w:eastAsia="Times New Roman" w:cs="Times New Roman"/>
          <w:b w:val="0"/>
          <w:szCs w:val="20"/>
          <w:lang w:val="cs-CZ"/>
        </w:rPr>
        <w:t xml:space="preserve"> čl.</w:t>
      </w:r>
      <w:r w:rsidR="00440679">
        <w:rPr>
          <w:rFonts w:eastAsia="Times New Roman" w:cs="Times New Roman"/>
          <w:b w:val="0"/>
          <w:szCs w:val="20"/>
          <w:lang w:val="cs-CZ"/>
        </w:rPr>
        <w:t xml:space="preserve"> </w:t>
      </w:r>
      <w:r w:rsidR="00742EE6">
        <w:rPr>
          <w:rFonts w:eastAsia="Times New Roman" w:cs="Times New Roman"/>
          <w:b w:val="0"/>
          <w:szCs w:val="20"/>
          <w:lang w:val="cs-CZ"/>
        </w:rPr>
        <w:t>IX</w:t>
      </w:r>
      <w:r>
        <w:rPr>
          <w:rFonts w:eastAsia="Times New Roman" w:cs="Times New Roman"/>
          <w:b w:val="0"/>
          <w:szCs w:val="20"/>
          <w:lang w:val="cs-CZ"/>
        </w:rPr>
        <w:t xml:space="preserve"> s</w:t>
      </w:r>
      <w:r w:rsidRPr="00F10D33">
        <w:rPr>
          <w:rFonts w:eastAsia="Times New Roman" w:cs="Times New Roman"/>
          <w:b w:val="0"/>
          <w:szCs w:val="20"/>
          <w:lang w:val="cs-CZ"/>
        </w:rPr>
        <w:t xml:space="preserve">mlouvy se Auditor zavazuje Objednateli zaplatit smluvní pokutu ve výši </w:t>
      </w:r>
      <w:r w:rsidR="001213C5">
        <w:rPr>
          <w:rFonts w:eastAsia="Times New Roman" w:cs="Times New Roman"/>
          <w:b w:val="0"/>
          <w:szCs w:val="20"/>
          <w:lang w:val="cs-CZ"/>
        </w:rPr>
        <w:t>3.0</w:t>
      </w:r>
      <w:r w:rsidRPr="00F10D33">
        <w:rPr>
          <w:rFonts w:eastAsia="Times New Roman" w:cs="Times New Roman"/>
          <w:b w:val="0"/>
          <w:szCs w:val="20"/>
          <w:lang w:val="cs-CZ"/>
        </w:rPr>
        <w:t>00,- Kč za každou vadu a každý započatý den prodlení</w:t>
      </w:r>
      <w:r w:rsidR="00440679">
        <w:rPr>
          <w:rFonts w:eastAsia="Times New Roman" w:cs="Times New Roman"/>
          <w:b w:val="0"/>
          <w:szCs w:val="20"/>
          <w:lang w:val="cs-CZ"/>
        </w:rPr>
        <w:t>.</w:t>
      </w:r>
    </w:p>
    <w:p w14:paraId="2F074FB0" w14:textId="27BD047C" w:rsidR="00F10D33" w:rsidRPr="00F10D33" w:rsidRDefault="00F10D33" w:rsidP="0068304F">
      <w:pPr>
        <w:pStyle w:val="Nadpis1"/>
        <w:keepNext w:val="0"/>
        <w:keepLines w:val="0"/>
        <w:numPr>
          <w:ilvl w:val="0"/>
          <w:numId w:val="8"/>
        </w:numPr>
        <w:spacing w:before="0" w:after="0"/>
        <w:ind w:left="284" w:hanging="425"/>
        <w:jc w:val="both"/>
        <w:rPr>
          <w:rFonts w:eastAsia="Times New Roman" w:cs="Times New Roman"/>
          <w:b w:val="0"/>
          <w:szCs w:val="20"/>
          <w:lang w:val="cs-CZ"/>
        </w:rPr>
      </w:pPr>
      <w:r w:rsidRPr="00F10D33">
        <w:rPr>
          <w:rFonts w:eastAsia="Times New Roman" w:cs="Times New Roman"/>
          <w:b w:val="0"/>
          <w:szCs w:val="20"/>
          <w:lang w:val="cs-CZ"/>
        </w:rPr>
        <w:t>Pokud bude O</w:t>
      </w:r>
      <w:r>
        <w:rPr>
          <w:rFonts w:eastAsia="Times New Roman" w:cs="Times New Roman"/>
          <w:b w:val="0"/>
          <w:szCs w:val="20"/>
          <w:lang w:val="cs-CZ"/>
        </w:rPr>
        <w:t>bjednatel v prodlení s úhradou f</w:t>
      </w:r>
      <w:r w:rsidRPr="00F10D33">
        <w:rPr>
          <w:rFonts w:eastAsia="Times New Roman" w:cs="Times New Roman"/>
          <w:b w:val="0"/>
          <w:szCs w:val="20"/>
          <w:lang w:val="cs-CZ"/>
        </w:rPr>
        <w:t xml:space="preserve">aktury proti sjednané lhůtě splatnosti, je Auditor oprávněn požadovat po Objednateli zaplacení úroku z prodlení ve výši 0,01 </w:t>
      </w:r>
      <w:r>
        <w:rPr>
          <w:rFonts w:eastAsia="Times New Roman" w:cs="Times New Roman"/>
          <w:b w:val="0"/>
          <w:szCs w:val="20"/>
          <w:lang w:val="cs-CZ"/>
        </w:rPr>
        <w:t>% z dlužné částky za každý</w:t>
      </w:r>
      <w:r w:rsidRPr="00F10D33">
        <w:rPr>
          <w:rFonts w:eastAsia="Times New Roman" w:cs="Times New Roman"/>
          <w:b w:val="0"/>
          <w:szCs w:val="20"/>
          <w:lang w:val="cs-CZ"/>
        </w:rPr>
        <w:t xml:space="preserve"> započatý den prodlení.</w:t>
      </w:r>
    </w:p>
    <w:p w14:paraId="396484D7" w14:textId="55523835" w:rsidR="00FE24F2" w:rsidRPr="00FE24F2" w:rsidRDefault="00F10D33" w:rsidP="0068304F">
      <w:pPr>
        <w:pStyle w:val="Nadpis1"/>
        <w:keepNext w:val="0"/>
        <w:keepLines w:val="0"/>
        <w:numPr>
          <w:ilvl w:val="0"/>
          <w:numId w:val="8"/>
        </w:numPr>
        <w:spacing w:before="0" w:after="0"/>
        <w:ind w:left="284" w:hanging="425"/>
        <w:jc w:val="both"/>
        <w:rPr>
          <w:rFonts w:eastAsia="Times New Roman" w:cs="Times New Roman"/>
          <w:b w:val="0"/>
          <w:szCs w:val="20"/>
          <w:lang w:val="cs-CZ"/>
        </w:rPr>
      </w:pPr>
      <w:r w:rsidRPr="00F10D33">
        <w:rPr>
          <w:rFonts w:eastAsia="Times New Roman" w:cs="Times New Roman"/>
          <w:b w:val="0"/>
          <w:szCs w:val="20"/>
          <w:lang w:val="cs-CZ"/>
        </w:rPr>
        <w:t xml:space="preserve">Strany výslovně utvrzují, že smluvní pokuty dle tohoto článku smlouvy se platí tolikrát, kolikrát dojde k porušení smlouvy, které je smluvní pokutou utvrzeno. Smluvní pokuty se stávají splatnými dnem následujícím po dni, ve kterém na ně vzniklo právo.  Zaplacením smluvní pokuty není dotčen nárok Objednatele na náhradu škody způsobené mu porušením povinnosti Auditora, ke které se vztahuje smluvní pokuta. </w:t>
      </w:r>
    </w:p>
    <w:p w14:paraId="67A7C03D" w14:textId="6AFF44B4" w:rsidR="00FE24F2" w:rsidRPr="00067489" w:rsidRDefault="00FE24F2" w:rsidP="00E008EE">
      <w:pPr>
        <w:pStyle w:val="Odstavecseseznamem"/>
        <w:numPr>
          <w:ilvl w:val="0"/>
          <w:numId w:val="8"/>
        </w:numPr>
        <w:ind w:left="284"/>
        <w:rPr>
          <w:lang w:val="cs-CZ"/>
        </w:rPr>
      </w:pPr>
      <w:r w:rsidRPr="00067489">
        <w:rPr>
          <w:lang w:val="cs-CZ"/>
        </w:rPr>
        <w:t>Objednatel je oprávněn od smlouvy odstoupit v případě podstatného porušení smlouvy Auditorem,</w:t>
      </w:r>
      <w:r w:rsidR="00067489" w:rsidRPr="00067489">
        <w:rPr>
          <w:lang w:val="cs-CZ"/>
        </w:rPr>
        <w:t xml:space="preserve"> a to i</w:t>
      </w:r>
      <w:r w:rsidRPr="00067489">
        <w:rPr>
          <w:lang w:val="cs-CZ"/>
        </w:rPr>
        <w:t xml:space="preserve"> bez zbytečného odkladu poté, co z chování Auditora nepochybně vyplyne, že poruší smlouvu podstatným způsobem, a nedá-li na výzvu Objednatele přiměřenou jistotu,</w:t>
      </w:r>
      <w:r w:rsidR="00067489">
        <w:rPr>
          <w:lang w:val="cs-CZ"/>
        </w:rPr>
        <w:t xml:space="preserve"> dále </w:t>
      </w:r>
      <w:r w:rsidRPr="00067489">
        <w:rPr>
          <w:lang w:val="cs-CZ"/>
        </w:rPr>
        <w:t>v případě vydání rozhodnutí o úpadku Auditora dle z</w:t>
      </w:r>
      <w:r w:rsidR="008E644E" w:rsidRPr="00067489">
        <w:rPr>
          <w:lang w:val="cs-CZ"/>
        </w:rPr>
        <w:t xml:space="preserve">ákona č. 182/2006 Sb., o úpadku </w:t>
      </w:r>
      <w:r w:rsidRPr="00067489">
        <w:rPr>
          <w:lang w:val="cs-CZ"/>
        </w:rPr>
        <w:t>a způsobech jeho řešení (insolvenční zákon), ve znění pozdějších předpisů</w:t>
      </w:r>
      <w:r w:rsidR="00067489" w:rsidRPr="00067489">
        <w:rPr>
          <w:lang w:val="cs-CZ"/>
        </w:rPr>
        <w:t>.</w:t>
      </w:r>
    </w:p>
    <w:p w14:paraId="2986D8FA" w14:textId="1A3CBD9C" w:rsidR="00FE24F2" w:rsidRPr="00FE24F2" w:rsidRDefault="00FE24F2" w:rsidP="0068304F">
      <w:pPr>
        <w:pStyle w:val="Odstavecseseznamem"/>
        <w:numPr>
          <w:ilvl w:val="0"/>
          <w:numId w:val="8"/>
        </w:numPr>
        <w:ind w:left="284"/>
        <w:rPr>
          <w:lang w:val="cs-CZ"/>
        </w:rPr>
      </w:pPr>
      <w:r w:rsidRPr="00FE24F2">
        <w:rPr>
          <w:lang w:val="cs-CZ"/>
        </w:rPr>
        <w:t>Strany sjedná</w:t>
      </w:r>
      <w:r w:rsidR="008E644E">
        <w:rPr>
          <w:lang w:val="cs-CZ"/>
        </w:rPr>
        <w:t>vají, že za podstatné porušení s</w:t>
      </w:r>
      <w:r w:rsidRPr="00FE24F2">
        <w:rPr>
          <w:lang w:val="cs-CZ"/>
        </w:rPr>
        <w:t>mlouvy se mimo výslovně uvedených případů považuje rovněž takové porušení povinnosti</w:t>
      </w:r>
      <w:r w:rsidR="00B33805">
        <w:rPr>
          <w:lang w:val="cs-CZ"/>
        </w:rPr>
        <w:t xml:space="preserve"> </w:t>
      </w:r>
      <w:r w:rsidR="008E644E">
        <w:rPr>
          <w:lang w:val="cs-CZ"/>
        </w:rPr>
        <w:t>s</w:t>
      </w:r>
      <w:r w:rsidRPr="00FE24F2">
        <w:rPr>
          <w:lang w:val="cs-CZ"/>
        </w:rPr>
        <w:t xml:space="preserve">trany, o němž již při uzavření </w:t>
      </w:r>
      <w:r w:rsidR="00067489">
        <w:rPr>
          <w:lang w:val="cs-CZ"/>
        </w:rPr>
        <w:t>s</w:t>
      </w:r>
      <w:r w:rsidRPr="00FE24F2">
        <w:rPr>
          <w:lang w:val="cs-CZ"/>
        </w:rPr>
        <w:t xml:space="preserve">mlouvy věděla </w:t>
      </w:r>
      <w:r w:rsidR="008E644E">
        <w:rPr>
          <w:lang w:val="cs-CZ"/>
        </w:rPr>
        <w:t>nebo musela vědět, že by druhá strana s</w:t>
      </w:r>
      <w:r w:rsidRPr="00FE24F2">
        <w:rPr>
          <w:lang w:val="cs-CZ"/>
        </w:rPr>
        <w:t>mlouvu neuzavřela, pokud by toto porušení předvídala.</w:t>
      </w:r>
    </w:p>
    <w:p w14:paraId="3FEAA383" w14:textId="55BE0CA6" w:rsidR="00FE24F2" w:rsidRPr="00FE24F2" w:rsidRDefault="00FE24F2" w:rsidP="0068304F">
      <w:pPr>
        <w:pStyle w:val="Odstavecseseznamem"/>
        <w:numPr>
          <w:ilvl w:val="0"/>
          <w:numId w:val="8"/>
        </w:numPr>
        <w:ind w:left="284"/>
        <w:rPr>
          <w:lang w:val="cs-CZ"/>
        </w:rPr>
      </w:pPr>
      <w:r w:rsidRPr="00FE24F2">
        <w:rPr>
          <w:lang w:val="cs-CZ"/>
        </w:rPr>
        <w:t>Závazky, u k</w:t>
      </w:r>
      <w:r w:rsidR="008E644E">
        <w:rPr>
          <w:lang w:val="cs-CZ"/>
        </w:rPr>
        <w:t>terých ze s</w:t>
      </w:r>
      <w:r w:rsidRPr="00FE24F2">
        <w:rPr>
          <w:lang w:val="cs-CZ"/>
        </w:rPr>
        <w:t>mlouvy nebo z příslušného právního předpisu vyplývá, že by měly trvat i p</w:t>
      </w:r>
      <w:r w:rsidR="008E644E">
        <w:rPr>
          <w:lang w:val="cs-CZ"/>
        </w:rPr>
        <w:t>o zániku či zrušení závazků ze s</w:t>
      </w:r>
      <w:r w:rsidRPr="00FE24F2">
        <w:rPr>
          <w:lang w:val="cs-CZ"/>
        </w:rPr>
        <w:t xml:space="preserve">mlouvy, nejsou </w:t>
      </w:r>
      <w:r w:rsidR="008E644E">
        <w:rPr>
          <w:lang w:val="cs-CZ"/>
        </w:rPr>
        <w:t>odstoupením od s</w:t>
      </w:r>
      <w:r w:rsidRPr="00FE24F2">
        <w:rPr>
          <w:lang w:val="cs-CZ"/>
        </w:rPr>
        <w:t xml:space="preserve">mlouvy dotčeny. To platí zejména pro plnění poskytnutá před </w:t>
      </w:r>
      <w:r w:rsidR="008E644E">
        <w:rPr>
          <w:lang w:val="cs-CZ"/>
        </w:rPr>
        <w:t>zánikem či zrušením závazků ze s</w:t>
      </w:r>
      <w:r w:rsidRPr="00FE24F2">
        <w:rPr>
          <w:lang w:val="cs-CZ"/>
        </w:rPr>
        <w:t>mlouvy, nárok Objednatele na zaplacení smluvních pokut, nárok na odstranění jakýchkoli vad či ustanovení upravující důsled</w:t>
      </w:r>
      <w:r w:rsidR="008E644E">
        <w:rPr>
          <w:lang w:val="cs-CZ"/>
        </w:rPr>
        <w:t>ky výpovědi nebo odstoupení od smlouvy. Práva a povinnosti s</w:t>
      </w:r>
      <w:r w:rsidRPr="00FE24F2">
        <w:rPr>
          <w:lang w:val="cs-CZ"/>
        </w:rPr>
        <w:t>tran, které vzniknou po zániku či zruše</w:t>
      </w:r>
      <w:r w:rsidR="008E644E">
        <w:rPr>
          <w:lang w:val="cs-CZ"/>
        </w:rPr>
        <w:t>ní závazků ze s</w:t>
      </w:r>
      <w:r w:rsidRPr="00FE24F2">
        <w:rPr>
          <w:lang w:val="cs-CZ"/>
        </w:rPr>
        <w:t>mlouvy jako důsledek jednání uskutečněného před tímto zánikem či zrušením, z</w:t>
      </w:r>
      <w:r w:rsidR="008E644E">
        <w:rPr>
          <w:lang w:val="cs-CZ"/>
        </w:rPr>
        <w:t>ůstávají nedotčeny, není-li ve s</w:t>
      </w:r>
      <w:r w:rsidRPr="00FE24F2">
        <w:rPr>
          <w:lang w:val="cs-CZ"/>
        </w:rPr>
        <w:t>mlouvě stanove</w:t>
      </w:r>
      <w:r w:rsidR="008E644E">
        <w:rPr>
          <w:lang w:val="cs-CZ"/>
        </w:rPr>
        <w:t>no jinak nebo nedohodnou-li se s</w:t>
      </w:r>
      <w:r w:rsidRPr="00FE24F2">
        <w:rPr>
          <w:lang w:val="cs-CZ"/>
        </w:rPr>
        <w:t>trany jinak.</w:t>
      </w:r>
    </w:p>
    <w:p w14:paraId="278FBA99" w14:textId="298EFB46" w:rsidR="00FE24F2" w:rsidRPr="00FE24F2" w:rsidRDefault="008E644E" w:rsidP="0068304F">
      <w:pPr>
        <w:pStyle w:val="Odstavecseseznamem"/>
        <w:numPr>
          <w:ilvl w:val="0"/>
          <w:numId w:val="8"/>
        </w:numPr>
        <w:ind w:left="284"/>
        <w:rPr>
          <w:lang w:val="cs-CZ"/>
        </w:rPr>
      </w:pPr>
      <w:r>
        <w:rPr>
          <w:lang w:val="cs-CZ"/>
        </w:rPr>
        <w:t xml:space="preserve">Auditor je ve lhůtě </w:t>
      </w:r>
      <w:r w:rsidR="00912EAF">
        <w:rPr>
          <w:lang w:val="cs-CZ"/>
        </w:rPr>
        <w:t xml:space="preserve">5 </w:t>
      </w:r>
      <w:r w:rsidR="00FE24F2" w:rsidRPr="00FE24F2">
        <w:rPr>
          <w:lang w:val="cs-CZ"/>
        </w:rPr>
        <w:t>dnů po zániku či zrušení zá</w:t>
      </w:r>
      <w:r>
        <w:rPr>
          <w:lang w:val="cs-CZ"/>
        </w:rPr>
        <w:t>vazků ze s</w:t>
      </w:r>
      <w:r w:rsidR="00FE24F2" w:rsidRPr="00FE24F2">
        <w:rPr>
          <w:lang w:val="cs-CZ"/>
        </w:rPr>
        <w:t>mlouvy povinen předat Objednateli veškeré hotové i roz</w:t>
      </w:r>
      <w:r>
        <w:rPr>
          <w:lang w:val="cs-CZ"/>
        </w:rPr>
        <w:t>pracované výsledky poskytování s</w:t>
      </w:r>
      <w:r w:rsidR="00FE24F2" w:rsidRPr="00FE24F2">
        <w:rPr>
          <w:lang w:val="cs-CZ"/>
        </w:rPr>
        <w:t xml:space="preserve">lužeb, které do té doby Objednateli nepředal, přičemž pokud </w:t>
      </w:r>
      <w:r>
        <w:rPr>
          <w:lang w:val="cs-CZ"/>
        </w:rPr>
        <w:t>by k výpovědi či odstoupení od s</w:t>
      </w:r>
      <w:r w:rsidR="00FE24F2" w:rsidRPr="00FE24F2">
        <w:rPr>
          <w:lang w:val="cs-CZ"/>
        </w:rPr>
        <w:t xml:space="preserve">mlouvy nedošlo, byl by je </w:t>
      </w:r>
      <w:r w:rsidR="00FE24F2" w:rsidRPr="00FE24F2">
        <w:rPr>
          <w:lang w:val="cs-CZ"/>
        </w:rPr>
        <w:lastRenderedPageBreak/>
        <w:t>Objednateli předal nebo měl předat. Objednatel je povinen za tyto výsledky Auditorovi zaplatit přiměřenou odměnu, pokud již dříve nebyly zaplac</w:t>
      </w:r>
      <w:r>
        <w:rPr>
          <w:lang w:val="cs-CZ"/>
        </w:rPr>
        <w:t>eny, přičemž při jejím výpočtu s</w:t>
      </w:r>
      <w:r w:rsidR="00FE24F2" w:rsidRPr="00FE24F2">
        <w:rPr>
          <w:lang w:val="cs-CZ"/>
        </w:rPr>
        <w:t xml:space="preserve">trany vyjdou z odměny sjednané ve Smlouvě </w:t>
      </w:r>
      <w:r>
        <w:rPr>
          <w:lang w:val="cs-CZ"/>
        </w:rPr>
        <w:t>a míry, s jakou byly Auditorem s</w:t>
      </w:r>
      <w:r w:rsidR="00FE24F2" w:rsidRPr="00FE24F2">
        <w:rPr>
          <w:lang w:val="cs-CZ"/>
        </w:rPr>
        <w:t>lužby řádně a včas poskytnuty. Uvedené neplatí, prohlásí-li Objednatel, že pro něj takové výsledky nemají význam.</w:t>
      </w:r>
    </w:p>
    <w:p w14:paraId="7352BD38" w14:textId="4614094E" w:rsidR="00321D62" w:rsidRDefault="00321D62" w:rsidP="004B030C">
      <w:pPr>
        <w:pStyle w:val="Nadpis1"/>
        <w:rPr>
          <w:snapToGrid w:val="0"/>
          <w:lang w:val="en-GB"/>
        </w:rPr>
      </w:pPr>
      <w:r w:rsidRPr="0033546A">
        <w:rPr>
          <w:snapToGrid w:val="0"/>
          <w:lang w:val="en-GB"/>
        </w:rPr>
        <w:t>X</w:t>
      </w:r>
      <w:r w:rsidR="00742EE6">
        <w:rPr>
          <w:snapToGrid w:val="0"/>
          <w:lang w:val="en-GB"/>
        </w:rPr>
        <w:t>I</w:t>
      </w:r>
      <w:r w:rsidRPr="0033546A">
        <w:rPr>
          <w:snapToGrid w:val="0"/>
          <w:lang w:val="en-GB"/>
        </w:rPr>
        <w:t>.</w:t>
      </w:r>
      <w:r w:rsidR="004B030C">
        <w:rPr>
          <w:snapToGrid w:val="0"/>
          <w:lang w:val="en-GB"/>
        </w:rPr>
        <w:t xml:space="preserve"> </w:t>
      </w:r>
      <w:r w:rsidRPr="000A4933">
        <w:rPr>
          <w:snapToGrid w:val="0"/>
          <w:lang w:val="cs-CZ"/>
        </w:rPr>
        <w:t>Ostatní ujednání</w:t>
      </w:r>
    </w:p>
    <w:p w14:paraId="43ABC0B1" w14:textId="77D1A28E" w:rsidR="00321D62" w:rsidRPr="00BC3A17" w:rsidRDefault="00A2697C" w:rsidP="0068304F">
      <w:pPr>
        <w:pStyle w:val="Odstavecseseznamem"/>
        <w:numPr>
          <w:ilvl w:val="0"/>
          <w:numId w:val="5"/>
        </w:numPr>
        <w:ind w:left="284"/>
        <w:rPr>
          <w:lang w:val="cs-CZ"/>
        </w:rPr>
      </w:pPr>
      <w:r w:rsidRPr="00BC3A17">
        <w:rPr>
          <w:lang w:val="cs-CZ"/>
        </w:rPr>
        <w:t>Auditor</w:t>
      </w:r>
      <w:r w:rsidR="00321D62" w:rsidRPr="00BC3A17">
        <w:rPr>
          <w:lang w:val="cs-CZ"/>
        </w:rPr>
        <w:t xml:space="preserve"> je povinen zachovávat mlčenlivost o všech skutečnostech, které se dozvěděl při realizaci této smlouvy a v souvislosti s ní a které jsou chráněny příslušnými právními předpisy (zejména obchodní tajemství, osobní údaje, utajované informace) nebo které </w:t>
      </w:r>
      <w:r w:rsidRPr="00BC3A17">
        <w:rPr>
          <w:lang w:val="cs-CZ"/>
        </w:rPr>
        <w:t>Objednatel</w:t>
      </w:r>
      <w:r w:rsidR="00321D62" w:rsidRPr="00BC3A17">
        <w:rPr>
          <w:lang w:val="cs-CZ"/>
        </w:rPr>
        <w:t xml:space="preserve"> prohlásil za důvěrné. Povinnost mlčenlivosti trvá i po skončení platnosti této smlouvy. </w:t>
      </w:r>
      <w:r w:rsidR="00BC3A17" w:rsidRPr="00BC3A17">
        <w:rPr>
          <w:lang w:val="cs-CZ"/>
        </w:rPr>
        <w:t>Objednatel za důvěrné označuje veškeré informace, k</w:t>
      </w:r>
      <w:r w:rsidR="00BC3A17">
        <w:rPr>
          <w:lang w:val="cs-CZ"/>
        </w:rPr>
        <w:t>teré lze zjistit z dokumentů k p</w:t>
      </w:r>
      <w:r w:rsidR="00BC3A17" w:rsidRPr="00BC3A17">
        <w:rPr>
          <w:lang w:val="cs-CZ"/>
        </w:rPr>
        <w:t>rojektům, příp. které Auditor dále získá od Objednatele, ať už se týkají Objednateli, jeho zaměstnanců či jiných osob.</w:t>
      </w:r>
    </w:p>
    <w:p w14:paraId="2F0C2383" w14:textId="1C9B9C11" w:rsidR="00321D62" w:rsidRPr="00DB75A0" w:rsidRDefault="00A2697C" w:rsidP="0068304F">
      <w:pPr>
        <w:pStyle w:val="Odstavecseseznamem"/>
        <w:numPr>
          <w:ilvl w:val="0"/>
          <w:numId w:val="5"/>
        </w:numPr>
        <w:ind w:left="284"/>
        <w:rPr>
          <w:lang w:val="cs-CZ"/>
        </w:rPr>
      </w:pPr>
      <w:r>
        <w:rPr>
          <w:lang w:val="cs-CZ"/>
        </w:rPr>
        <w:t>Auditor</w:t>
      </w:r>
      <w:r w:rsidR="00321D62" w:rsidRPr="00DB75A0">
        <w:rPr>
          <w:lang w:val="cs-CZ"/>
        </w:rPr>
        <w:t xml:space="preserve"> souhlasí se zpřístupněním nebo zveřejněním všech náležitostí tohoto smluvního vztahu.</w:t>
      </w:r>
    </w:p>
    <w:p w14:paraId="0B059516" w14:textId="77777777" w:rsidR="00BC3A17" w:rsidRDefault="00A2697C" w:rsidP="0068304F">
      <w:pPr>
        <w:pStyle w:val="Odstavecseseznamem"/>
        <w:numPr>
          <w:ilvl w:val="0"/>
          <w:numId w:val="5"/>
        </w:numPr>
        <w:ind w:left="284"/>
        <w:rPr>
          <w:lang w:val="cs-CZ"/>
        </w:rPr>
      </w:pPr>
      <w:r>
        <w:rPr>
          <w:lang w:val="cs-CZ"/>
        </w:rPr>
        <w:t>Auditor</w:t>
      </w:r>
      <w:r w:rsidR="00321D62" w:rsidRPr="00DB75A0">
        <w:rPr>
          <w:lang w:val="cs-CZ"/>
        </w:rPr>
        <w:t xml:space="preserve"> není oprávněn postoupit pohledávku plynoucí z této smlouvy třetí osobě bez písemného souhlasu </w:t>
      </w:r>
      <w:r>
        <w:rPr>
          <w:lang w:val="cs-CZ"/>
        </w:rPr>
        <w:t>Objednatel</w:t>
      </w:r>
      <w:r w:rsidR="00BC3A17">
        <w:rPr>
          <w:lang w:val="cs-CZ"/>
        </w:rPr>
        <w:t>e</w:t>
      </w:r>
      <w:r w:rsidR="00321D62" w:rsidRPr="00DB75A0">
        <w:rPr>
          <w:lang w:val="cs-CZ"/>
        </w:rPr>
        <w:t>.</w:t>
      </w:r>
    </w:p>
    <w:p w14:paraId="7C866097" w14:textId="77777777" w:rsidR="00BC3A17" w:rsidRDefault="00BC3A17" w:rsidP="0068304F">
      <w:pPr>
        <w:pStyle w:val="Odstavecseseznamem"/>
        <w:numPr>
          <w:ilvl w:val="0"/>
          <w:numId w:val="5"/>
        </w:numPr>
        <w:ind w:left="284"/>
        <w:rPr>
          <w:lang w:val="cs-CZ"/>
        </w:rPr>
      </w:pPr>
      <w:r w:rsidRPr="00BC3A17">
        <w:rPr>
          <w:lang w:val="cs-CZ"/>
        </w:rPr>
        <w:t>Za písemnou formu komunikace se považuje rovněž komunikace p</w:t>
      </w:r>
      <w:r>
        <w:rPr>
          <w:lang w:val="cs-CZ"/>
        </w:rPr>
        <w:t>rostřednictvím e-mailu</w:t>
      </w:r>
      <w:r w:rsidRPr="00BC3A17">
        <w:rPr>
          <w:lang w:val="cs-CZ"/>
        </w:rPr>
        <w:t xml:space="preserve">, či jinými elektronickými prostředky, zejména prostřednictvím datových schránek, a to i tehdy, kdy jednotlivé zprávy nejsou opatřeny zaručenými elektronickými podpisy. </w:t>
      </w:r>
    </w:p>
    <w:p w14:paraId="0BF6111E" w14:textId="53D1E944" w:rsidR="00BC3A17" w:rsidRPr="00BC3A17" w:rsidRDefault="00BC3A17" w:rsidP="0068304F">
      <w:pPr>
        <w:pStyle w:val="Odstavecseseznamem"/>
        <w:numPr>
          <w:ilvl w:val="0"/>
          <w:numId w:val="5"/>
        </w:numPr>
        <w:ind w:left="284"/>
        <w:rPr>
          <w:lang w:val="cs-CZ"/>
        </w:rPr>
      </w:pPr>
      <w:r w:rsidRPr="00BC3A17">
        <w:rPr>
          <w:lang w:val="cs-CZ"/>
        </w:rPr>
        <w:t xml:space="preserve">Formu komunikace dle předchozího ustanovení nelze použít </w:t>
      </w:r>
      <w:r>
        <w:rPr>
          <w:lang w:val="cs-CZ"/>
        </w:rPr>
        <w:t xml:space="preserve">zejména </w:t>
      </w:r>
      <w:r w:rsidRPr="00BC3A17">
        <w:rPr>
          <w:lang w:val="cs-CZ"/>
        </w:rPr>
        <w:t>pro uzavření dodatku ke s</w:t>
      </w:r>
      <w:r>
        <w:rPr>
          <w:lang w:val="cs-CZ"/>
        </w:rPr>
        <w:t xml:space="preserve">mlouvě a </w:t>
      </w:r>
      <w:r w:rsidRPr="00BC3A17">
        <w:rPr>
          <w:lang w:val="cs-CZ"/>
        </w:rPr>
        <w:t>odstoupení od smlouvy</w:t>
      </w:r>
      <w:r>
        <w:rPr>
          <w:lang w:val="cs-CZ"/>
        </w:rPr>
        <w:t>, v takových</w:t>
      </w:r>
      <w:r w:rsidRPr="00BC3A17">
        <w:rPr>
          <w:lang w:val="cs-CZ"/>
        </w:rPr>
        <w:t xml:space="preserve"> případech se </w:t>
      </w:r>
      <w:r>
        <w:rPr>
          <w:lang w:val="cs-CZ"/>
        </w:rPr>
        <w:t>smluvní s</w:t>
      </w:r>
      <w:r w:rsidRPr="00BC3A17">
        <w:rPr>
          <w:lang w:val="cs-CZ"/>
        </w:rPr>
        <w:t>trany dohodly na písemné komunikaci výhradně v listinné podobě předávané osobně či zasílané doporučeně poštou, příp. v elektronické podobě zprávami opatřenými zaručeným elektronickým podpisem</w:t>
      </w:r>
    </w:p>
    <w:p w14:paraId="4B50FA38" w14:textId="566B31C3" w:rsidR="00321D62" w:rsidRPr="00DB75A0" w:rsidRDefault="00A2697C" w:rsidP="0068304F">
      <w:pPr>
        <w:pStyle w:val="Odstavecseseznamem"/>
        <w:numPr>
          <w:ilvl w:val="0"/>
          <w:numId w:val="5"/>
        </w:numPr>
        <w:ind w:left="284"/>
        <w:rPr>
          <w:lang w:val="cs-CZ"/>
        </w:rPr>
      </w:pPr>
      <w:r>
        <w:rPr>
          <w:lang w:val="cs-CZ"/>
        </w:rPr>
        <w:t>Auditor</w:t>
      </w:r>
      <w:r w:rsidR="00321D62" w:rsidRPr="00DB75A0">
        <w:rPr>
          <w:lang w:val="cs-CZ"/>
        </w:rPr>
        <w:t xml:space="preserve"> prohlašuje, že nemá žádné závazky po lhůtě splatnosti vůči orgánům veřejné moci. </w:t>
      </w:r>
    </w:p>
    <w:p w14:paraId="7C9C1593" w14:textId="6193EE67" w:rsidR="00321D62" w:rsidRPr="00DB75A0" w:rsidRDefault="00A2697C" w:rsidP="0068304F">
      <w:pPr>
        <w:pStyle w:val="Odstavecseseznamem"/>
        <w:numPr>
          <w:ilvl w:val="0"/>
          <w:numId w:val="5"/>
        </w:numPr>
        <w:ind w:left="284"/>
        <w:rPr>
          <w:lang w:val="cs-CZ"/>
        </w:rPr>
      </w:pPr>
      <w:r>
        <w:rPr>
          <w:lang w:val="cs-CZ"/>
        </w:rPr>
        <w:t>Auditor</w:t>
      </w:r>
      <w:r w:rsidR="00321D62" w:rsidRPr="00DB75A0">
        <w:rPr>
          <w:lang w:val="cs-CZ"/>
        </w:rPr>
        <w:t xml:space="preserve"> poskytne </w:t>
      </w:r>
      <w:r>
        <w:rPr>
          <w:lang w:val="cs-CZ"/>
        </w:rPr>
        <w:t>Objednatel</w:t>
      </w:r>
      <w:r w:rsidR="00321D62" w:rsidRPr="00DB75A0">
        <w:rPr>
          <w:lang w:val="cs-CZ"/>
        </w:rPr>
        <w:t>mu a všem subjektům oprávněným ke kontrole projektu, z něhož je tato veřejná zakázka financována, veškerou potřebnou součinnost a dokumentaci při výkonu kontrol týkajících se této smlouvy, jejích dodatků, jakož i dalších dokumentů, které s veřejnou zakázkou souvisejí, a to po dobu danou právními předpisy ČR k jejich archiva</w:t>
      </w:r>
      <w:r w:rsidR="00424BE4" w:rsidRPr="00DB75A0">
        <w:rPr>
          <w:lang w:val="cs-CZ"/>
        </w:rPr>
        <w:t xml:space="preserve">ci, nejméně však </w:t>
      </w:r>
      <w:r w:rsidR="003A3A5C">
        <w:rPr>
          <w:lang w:val="cs-CZ"/>
        </w:rPr>
        <w:t>po dobu 10 let od provedení auditu</w:t>
      </w:r>
      <w:r w:rsidR="00321D62" w:rsidRPr="00DB75A0">
        <w:rPr>
          <w:lang w:val="cs-CZ"/>
        </w:rPr>
        <w:t xml:space="preserve">. </w:t>
      </w:r>
      <w:r>
        <w:rPr>
          <w:lang w:val="cs-CZ"/>
        </w:rPr>
        <w:t>Auditor</w:t>
      </w:r>
      <w:r w:rsidR="00321D62" w:rsidRPr="00DB75A0">
        <w:rPr>
          <w:lang w:val="cs-CZ"/>
        </w:rPr>
        <w:t xml:space="preserve"> je dle § 2 písm. e) zákona č. 320/2001 Sb., o finanční kontrole ve veřejné správě ve znění pozdějších předpisů osobou povinnou spolupůsobit při výkonu finanční kontroly.</w:t>
      </w:r>
    </w:p>
    <w:p w14:paraId="2BB986B2" w14:textId="2010350E" w:rsidR="00321D62" w:rsidRPr="00DB75A0" w:rsidRDefault="00321D62" w:rsidP="00DB75A0">
      <w:pPr>
        <w:pStyle w:val="Nadpis1"/>
        <w:rPr>
          <w:snapToGrid w:val="0"/>
          <w:lang w:val="cs-CZ"/>
        </w:rPr>
      </w:pPr>
      <w:r w:rsidRPr="00F47979">
        <w:rPr>
          <w:snapToGrid w:val="0"/>
          <w:lang w:val="en-GB"/>
        </w:rPr>
        <w:t>X</w:t>
      </w:r>
      <w:r w:rsidR="00742EE6">
        <w:rPr>
          <w:snapToGrid w:val="0"/>
          <w:lang w:val="en-GB"/>
        </w:rPr>
        <w:t>II</w:t>
      </w:r>
      <w:r w:rsidRPr="00F47979">
        <w:rPr>
          <w:snapToGrid w:val="0"/>
          <w:lang w:val="en-GB"/>
        </w:rPr>
        <w:t xml:space="preserve">. </w:t>
      </w:r>
      <w:r w:rsidRPr="00813497">
        <w:rPr>
          <w:snapToGrid w:val="0"/>
          <w:lang w:val="cs-CZ"/>
        </w:rPr>
        <w:t>Závěrečná ustanovení</w:t>
      </w:r>
    </w:p>
    <w:p w14:paraId="67E34942" w14:textId="77777777" w:rsidR="00BC3A17" w:rsidRDefault="00321D62" w:rsidP="0068304F">
      <w:pPr>
        <w:pStyle w:val="Odstavecseseznamem"/>
        <w:numPr>
          <w:ilvl w:val="0"/>
          <w:numId w:val="6"/>
        </w:numPr>
        <w:ind w:left="284"/>
        <w:rPr>
          <w:lang w:val="cs-CZ"/>
        </w:rPr>
      </w:pPr>
      <w:r w:rsidRPr="00DB75A0">
        <w:rPr>
          <w:lang w:val="cs-CZ"/>
        </w:rPr>
        <w:t>Ve věcech výslovně neupravených touto smlouvou se smluvní vztah založený touto smlouvou řídí zákonem č. 89/2012 Sb., občanský zákoník, ve znění pozdějších předpisů, a dalšími právními předpisy České republiky.</w:t>
      </w:r>
    </w:p>
    <w:p w14:paraId="1B79BBBD" w14:textId="53AFF387" w:rsidR="00321D62" w:rsidRPr="00BC3A17" w:rsidRDefault="00321D62" w:rsidP="0068304F">
      <w:pPr>
        <w:pStyle w:val="Odstavecseseznamem"/>
        <w:numPr>
          <w:ilvl w:val="0"/>
          <w:numId w:val="6"/>
        </w:numPr>
        <w:ind w:left="284"/>
        <w:rPr>
          <w:lang w:val="cs-CZ"/>
        </w:rPr>
      </w:pPr>
      <w:r w:rsidRPr="00BC3A17">
        <w:rPr>
          <w:lang w:val="cs-CZ"/>
        </w:rPr>
        <w:t xml:space="preserve">Nedílnou součástí této smlouvy je příloha </w:t>
      </w:r>
      <w:r w:rsidR="00BC3A17" w:rsidRPr="00BC3A17">
        <w:rPr>
          <w:lang w:val="cs-CZ"/>
        </w:rPr>
        <w:t>A</w:t>
      </w:r>
      <w:r w:rsidR="00566E65" w:rsidRPr="00BC3A17">
        <w:rPr>
          <w:lang w:val="cs-CZ"/>
        </w:rPr>
        <w:t xml:space="preserve"> </w:t>
      </w:r>
      <w:r w:rsidR="00BC3A17" w:rsidRPr="00BC3A17">
        <w:rPr>
          <w:lang w:val="cs-CZ"/>
        </w:rPr>
        <w:t xml:space="preserve">– </w:t>
      </w:r>
      <w:r w:rsidR="007D4E43">
        <w:rPr>
          <w:lang w:val="cs-CZ"/>
        </w:rPr>
        <w:t>Přehled</w:t>
      </w:r>
      <w:r w:rsidR="003A3A5C">
        <w:rPr>
          <w:lang w:val="cs-CZ"/>
        </w:rPr>
        <w:t xml:space="preserve"> projektů a cenový rozpad</w:t>
      </w:r>
      <w:r w:rsidR="00912EAF">
        <w:rPr>
          <w:lang w:val="cs-CZ"/>
        </w:rPr>
        <w:t xml:space="preserve"> a příloha B – </w:t>
      </w:r>
      <w:r w:rsidR="00352549">
        <w:rPr>
          <w:lang w:val="cs-CZ"/>
        </w:rPr>
        <w:t>S</w:t>
      </w:r>
      <w:r w:rsidR="00912EAF">
        <w:rPr>
          <w:lang w:val="cs-CZ"/>
        </w:rPr>
        <w:t>eznam členů realizačního týmu.</w:t>
      </w:r>
    </w:p>
    <w:p w14:paraId="2823FFB4" w14:textId="77777777" w:rsidR="00321D62" w:rsidRPr="00DB75A0" w:rsidRDefault="00321D62" w:rsidP="0068304F">
      <w:pPr>
        <w:pStyle w:val="Odstavecseseznamem"/>
        <w:numPr>
          <w:ilvl w:val="0"/>
          <w:numId w:val="6"/>
        </w:numPr>
        <w:ind w:left="284"/>
        <w:rPr>
          <w:lang w:val="cs-CZ"/>
        </w:rPr>
      </w:pPr>
      <w:r w:rsidRPr="00DB75A0">
        <w:rPr>
          <w:lang w:val="cs-CZ"/>
        </w:rPr>
        <w:lastRenderedPageBreak/>
        <w:t>Neplatnost některého ustanovení této smlouvy nemá za následek neplatnost celé smlouvy.</w:t>
      </w:r>
    </w:p>
    <w:p w14:paraId="08155F28" w14:textId="77777777" w:rsidR="00321D62" w:rsidRPr="00DB75A0" w:rsidRDefault="00321D62" w:rsidP="0068304F">
      <w:pPr>
        <w:pStyle w:val="Odstavecseseznamem"/>
        <w:numPr>
          <w:ilvl w:val="0"/>
          <w:numId w:val="6"/>
        </w:numPr>
        <w:ind w:left="284"/>
        <w:rPr>
          <w:lang w:val="cs-CZ"/>
        </w:rPr>
      </w:pPr>
      <w:r w:rsidRPr="00DB75A0">
        <w:rPr>
          <w:lang w:val="cs-CZ"/>
        </w:rPr>
        <w:t>Podmínky této smlouvy, jež svou povahou přesahují dobu platnosti této smlouvy, zůstávají plně v platnosti a jsou účinné až do okamžiku jejich splnění a platí pro případné nástupce smluvní strany.</w:t>
      </w:r>
    </w:p>
    <w:p w14:paraId="36F02EF0" w14:textId="320F6CA9" w:rsidR="00321D62" w:rsidRPr="00BC3A17" w:rsidRDefault="00BC3A17" w:rsidP="0068304F">
      <w:pPr>
        <w:pStyle w:val="Odstavecseseznamem"/>
        <w:numPr>
          <w:ilvl w:val="0"/>
          <w:numId w:val="6"/>
        </w:numPr>
        <w:ind w:left="284"/>
        <w:rPr>
          <w:lang w:val="cs-CZ"/>
        </w:rPr>
      </w:pPr>
      <w:r w:rsidRPr="00BC3A17">
        <w:rPr>
          <w:lang w:val="cs-CZ"/>
        </w:rPr>
        <w:t xml:space="preserve">Smluvní strany se zavazují veškeré spory vzniklé z této smlouvy primárně řešit smírnou cestou. </w:t>
      </w:r>
      <w:r w:rsidR="00321D62" w:rsidRPr="00BC3A17">
        <w:rPr>
          <w:lang w:val="cs-CZ"/>
        </w:rPr>
        <w:t>Smluvní strany se v souladu s § 89a zákona č. 99/1963 Sb., občanský soudní řád ve znění pozdějších předpisů dohodly, že příslušným soudem je</w:t>
      </w:r>
      <w:r w:rsidR="00A3479A">
        <w:rPr>
          <w:lang w:val="cs-CZ"/>
        </w:rPr>
        <w:t xml:space="preserve"> soud dle sídla Objednatele</w:t>
      </w:r>
      <w:r w:rsidR="00321D62" w:rsidRPr="00BC3A17">
        <w:rPr>
          <w:lang w:val="cs-CZ"/>
        </w:rPr>
        <w:t>.</w:t>
      </w:r>
    </w:p>
    <w:p w14:paraId="01C7244E" w14:textId="77777777" w:rsidR="005841F8" w:rsidRPr="00DB75A0" w:rsidRDefault="00321D62" w:rsidP="0068304F">
      <w:pPr>
        <w:pStyle w:val="Odstavecseseznamem"/>
        <w:numPr>
          <w:ilvl w:val="0"/>
          <w:numId w:val="6"/>
        </w:numPr>
        <w:ind w:left="284"/>
        <w:rPr>
          <w:lang w:val="cs-CZ"/>
        </w:rPr>
      </w:pPr>
      <w:r w:rsidRPr="00DB75A0">
        <w:rPr>
          <w:lang w:val="cs-CZ"/>
        </w:rPr>
        <w:t>Tuto smlouvu lze měnit a doplňovat jen na základě písemných číslovaných a oprávněnými zástupci obou smluvních stran podepsaných dodatků k této smlouvě. Všechny dodatky, které budou označeny jako dodatky této smlouvy, jsou nedílnou součástí této smlouvy.</w:t>
      </w:r>
    </w:p>
    <w:p w14:paraId="581F3E71" w14:textId="6107C727" w:rsidR="00FB680E" w:rsidRPr="00DB75A0" w:rsidRDefault="00D43727" w:rsidP="0068304F">
      <w:pPr>
        <w:pStyle w:val="Odstavecseseznamem"/>
        <w:numPr>
          <w:ilvl w:val="0"/>
          <w:numId w:val="6"/>
        </w:numPr>
        <w:ind w:left="284"/>
        <w:rPr>
          <w:lang w:val="cs-CZ"/>
        </w:rPr>
      </w:pPr>
      <w:r w:rsidRPr="00DB75A0">
        <w:rPr>
          <w:lang w:val="cs-CZ"/>
        </w:rPr>
        <w:t>Tato smlouva nabývá platnosti okamžikem jejího podpisu oprávněnými zástupci obou smluvních stran a účinnosti jejím uveřejněním v registru</w:t>
      </w:r>
      <w:r w:rsidR="00840C79">
        <w:rPr>
          <w:lang w:val="cs-CZ"/>
        </w:rPr>
        <w:t xml:space="preserve"> smluv podle zákona č. 340/2015 </w:t>
      </w:r>
      <w:r w:rsidRPr="00DB75A0">
        <w:rPr>
          <w:lang w:val="cs-CZ"/>
        </w:rPr>
        <w:t xml:space="preserve">Sb., o registru smluv. Smluvní strany souhlasí s jejím uveřejněním v tomto registru, které je oprávněn zajistit </w:t>
      </w:r>
      <w:r w:rsidR="00A2697C">
        <w:rPr>
          <w:lang w:val="cs-CZ"/>
        </w:rPr>
        <w:t>Objednatel</w:t>
      </w:r>
      <w:r w:rsidRPr="00DB75A0">
        <w:rPr>
          <w:lang w:val="cs-CZ"/>
        </w:rPr>
        <w:t>; pro účely jejího uveřejnění nepovažují smluvní strany nic z obsahu této smlouvy ani z metadat k ní se vážících za vyloučené z uveřejnění.</w:t>
      </w:r>
    </w:p>
    <w:tbl>
      <w:tblPr>
        <w:tblStyle w:val="Mkatabulky"/>
        <w:tblW w:w="9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94"/>
      </w:tblGrid>
      <w:tr w:rsidR="00D97CA9" w14:paraId="0717F023" w14:textId="0F4FA87B" w:rsidTr="00BC3A17">
        <w:trPr>
          <w:trHeight w:val="379"/>
        </w:trPr>
        <w:tc>
          <w:tcPr>
            <w:tcW w:w="4693" w:type="dxa"/>
          </w:tcPr>
          <w:p w14:paraId="1A8681EE" w14:textId="61949FFE" w:rsidR="003A3A5C" w:rsidRDefault="003A3A5C" w:rsidP="00DB75A0">
            <w:pPr>
              <w:pStyle w:val="Zkladntext"/>
              <w:keepLines/>
              <w:tabs>
                <w:tab w:val="left" w:pos="284"/>
                <w:tab w:val="left" w:pos="567"/>
                <w:tab w:val="left" w:pos="851"/>
              </w:tabs>
              <w:spacing w:before="360"/>
              <w:outlineLvl w:val="0"/>
              <w:rPr>
                <w:rFonts w:cs="Arial"/>
                <w:sz w:val="24"/>
                <w:szCs w:val="24"/>
                <w:lang w:val="cs-CZ"/>
              </w:rPr>
            </w:pPr>
            <w:r>
              <w:rPr>
                <w:rFonts w:cs="Arial"/>
                <w:sz w:val="24"/>
                <w:szCs w:val="24"/>
                <w:lang w:val="cs-CZ"/>
              </w:rPr>
              <w:t>Za Auditora:</w:t>
            </w:r>
          </w:p>
          <w:p w14:paraId="008F4438" w14:textId="277A511D" w:rsidR="00D97CA9" w:rsidRDefault="00D97CA9" w:rsidP="00DB75A0">
            <w:pPr>
              <w:pStyle w:val="Zkladntext"/>
              <w:keepLines/>
              <w:tabs>
                <w:tab w:val="left" w:pos="284"/>
                <w:tab w:val="left" w:pos="567"/>
                <w:tab w:val="left" w:pos="851"/>
              </w:tabs>
              <w:spacing w:before="360"/>
              <w:outlineLvl w:val="0"/>
              <w:rPr>
                <w:rFonts w:cs="Arial"/>
                <w:sz w:val="24"/>
                <w:szCs w:val="24"/>
                <w:lang w:val="cs-CZ"/>
              </w:rPr>
            </w:pPr>
            <w:r w:rsidRPr="008C58EE">
              <w:rPr>
                <w:rFonts w:cs="Arial"/>
                <w:sz w:val="24"/>
                <w:szCs w:val="24"/>
                <w:lang w:val="cs-CZ"/>
              </w:rPr>
              <w:t>V……………………….. dne  ……………………</w:t>
            </w:r>
          </w:p>
        </w:tc>
        <w:tc>
          <w:tcPr>
            <w:tcW w:w="4694" w:type="dxa"/>
          </w:tcPr>
          <w:p w14:paraId="06BE5C6A" w14:textId="1982FD46" w:rsidR="003A3A5C" w:rsidRDefault="003A3A5C" w:rsidP="00DB75A0">
            <w:pPr>
              <w:pStyle w:val="Zkladntext"/>
              <w:keepLines/>
              <w:tabs>
                <w:tab w:val="left" w:pos="284"/>
                <w:tab w:val="left" w:pos="567"/>
                <w:tab w:val="left" w:pos="851"/>
              </w:tabs>
              <w:spacing w:before="360"/>
              <w:outlineLvl w:val="0"/>
              <w:rPr>
                <w:rFonts w:cs="Arial"/>
                <w:sz w:val="24"/>
                <w:szCs w:val="24"/>
                <w:lang w:val="cs-CZ"/>
              </w:rPr>
            </w:pPr>
            <w:r>
              <w:rPr>
                <w:rFonts w:cs="Arial"/>
                <w:sz w:val="24"/>
                <w:szCs w:val="24"/>
                <w:lang w:val="cs-CZ"/>
              </w:rPr>
              <w:t>Za Objednatele:</w:t>
            </w:r>
          </w:p>
          <w:p w14:paraId="1338DA35" w14:textId="1DCAC398" w:rsidR="00D97CA9" w:rsidRDefault="00D97CA9" w:rsidP="00DB75A0">
            <w:pPr>
              <w:pStyle w:val="Zkladntext"/>
              <w:keepLines/>
              <w:tabs>
                <w:tab w:val="left" w:pos="284"/>
                <w:tab w:val="left" w:pos="567"/>
                <w:tab w:val="left" w:pos="851"/>
              </w:tabs>
              <w:spacing w:before="360"/>
              <w:outlineLvl w:val="0"/>
              <w:rPr>
                <w:rFonts w:cs="Arial"/>
                <w:sz w:val="24"/>
                <w:szCs w:val="24"/>
                <w:lang w:val="cs-CZ"/>
              </w:rPr>
            </w:pPr>
            <w:r w:rsidRPr="008C58EE">
              <w:rPr>
                <w:rFonts w:cs="Arial"/>
                <w:sz w:val="24"/>
                <w:szCs w:val="24"/>
                <w:lang w:val="cs-CZ"/>
              </w:rPr>
              <w:t>V Praze dne  ……………………</w:t>
            </w:r>
          </w:p>
        </w:tc>
      </w:tr>
      <w:tr w:rsidR="00D97CA9" w14:paraId="56CE382B" w14:textId="44821037" w:rsidTr="00BC3A17">
        <w:trPr>
          <w:trHeight w:val="796"/>
        </w:trPr>
        <w:tc>
          <w:tcPr>
            <w:tcW w:w="4693" w:type="dxa"/>
            <w:vAlign w:val="bottom"/>
          </w:tcPr>
          <w:p w14:paraId="7C92C87E" w14:textId="77777777" w:rsidR="003A3A5C" w:rsidRDefault="003A3A5C" w:rsidP="003A3A5C">
            <w:pPr>
              <w:pStyle w:val="Zkladntext"/>
              <w:keepLines/>
              <w:tabs>
                <w:tab w:val="left" w:pos="284"/>
                <w:tab w:val="left" w:pos="567"/>
                <w:tab w:val="left" w:pos="851"/>
              </w:tabs>
              <w:spacing w:before="60"/>
              <w:jc w:val="left"/>
              <w:outlineLvl w:val="0"/>
              <w:rPr>
                <w:rFonts w:cs="Arial"/>
                <w:sz w:val="24"/>
                <w:szCs w:val="24"/>
                <w:lang w:val="cs-CZ"/>
              </w:rPr>
            </w:pPr>
          </w:p>
          <w:p w14:paraId="152B381F" w14:textId="77777777" w:rsidR="003A3A5C" w:rsidRDefault="003A3A5C" w:rsidP="003A3A5C">
            <w:pPr>
              <w:pStyle w:val="Zkladntext"/>
              <w:keepLines/>
              <w:tabs>
                <w:tab w:val="left" w:pos="284"/>
                <w:tab w:val="left" w:pos="567"/>
                <w:tab w:val="left" w:pos="851"/>
              </w:tabs>
              <w:spacing w:before="60"/>
              <w:jc w:val="left"/>
              <w:outlineLvl w:val="0"/>
              <w:rPr>
                <w:rFonts w:cs="Arial"/>
                <w:sz w:val="24"/>
                <w:szCs w:val="24"/>
                <w:lang w:val="cs-CZ"/>
              </w:rPr>
            </w:pPr>
          </w:p>
          <w:p w14:paraId="531AB0D7" w14:textId="77777777" w:rsidR="003A3A5C" w:rsidRDefault="003A3A5C" w:rsidP="003A3A5C">
            <w:pPr>
              <w:pStyle w:val="Zkladntext"/>
              <w:keepLines/>
              <w:tabs>
                <w:tab w:val="left" w:pos="284"/>
                <w:tab w:val="left" w:pos="567"/>
                <w:tab w:val="left" w:pos="851"/>
              </w:tabs>
              <w:spacing w:before="60"/>
              <w:jc w:val="left"/>
              <w:outlineLvl w:val="0"/>
              <w:rPr>
                <w:rFonts w:cs="Arial"/>
                <w:sz w:val="24"/>
                <w:szCs w:val="24"/>
                <w:lang w:val="cs-CZ"/>
              </w:rPr>
            </w:pPr>
          </w:p>
          <w:p w14:paraId="3C641544" w14:textId="3614B2C3" w:rsidR="00D97CA9" w:rsidRDefault="00D97CA9" w:rsidP="003A3A5C">
            <w:pPr>
              <w:pStyle w:val="Zkladntext"/>
              <w:keepLines/>
              <w:tabs>
                <w:tab w:val="left" w:pos="284"/>
                <w:tab w:val="left" w:pos="567"/>
                <w:tab w:val="left" w:pos="851"/>
              </w:tabs>
              <w:spacing w:before="60"/>
              <w:jc w:val="left"/>
              <w:outlineLvl w:val="0"/>
              <w:rPr>
                <w:rFonts w:cs="Arial"/>
                <w:sz w:val="24"/>
                <w:szCs w:val="24"/>
                <w:lang w:val="cs-CZ"/>
              </w:rPr>
            </w:pPr>
            <w:r w:rsidRPr="008C58EE">
              <w:rPr>
                <w:rFonts w:cs="Arial"/>
                <w:sz w:val="24"/>
                <w:szCs w:val="24"/>
                <w:lang w:val="cs-CZ"/>
              </w:rPr>
              <w:t>…………………………..………………….</w:t>
            </w:r>
          </w:p>
        </w:tc>
        <w:tc>
          <w:tcPr>
            <w:tcW w:w="4694" w:type="dxa"/>
            <w:vAlign w:val="bottom"/>
          </w:tcPr>
          <w:p w14:paraId="6690A9C8" w14:textId="26139A7A" w:rsidR="00D97CA9" w:rsidRDefault="00D97CA9" w:rsidP="003A3A5C">
            <w:pPr>
              <w:pStyle w:val="Zkladntext"/>
              <w:keepLines/>
              <w:tabs>
                <w:tab w:val="left" w:pos="284"/>
                <w:tab w:val="left" w:pos="567"/>
                <w:tab w:val="left" w:pos="851"/>
              </w:tabs>
              <w:spacing w:before="60"/>
              <w:jc w:val="left"/>
              <w:outlineLvl w:val="0"/>
              <w:rPr>
                <w:rFonts w:cs="Arial"/>
                <w:sz w:val="24"/>
                <w:szCs w:val="24"/>
                <w:lang w:val="cs-CZ"/>
              </w:rPr>
            </w:pPr>
            <w:r w:rsidRPr="008C58EE">
              <w:rPr>
                <w:rFonts w:cs="Arial"/>
                <w:sz w:val="24"/>
                <w:szCs w:val="24"/>
                <w:lang w:val="cs-CZ"/>
              </w:rPr>
              <w:t>…………………………..………………….</w:t>
            </w:r>
          </w:p>
        </w:tc>
      </w:tr>
    </w:tbl>
    <w:p w14:paraId="4872DB98" w14:textId="0EF0199A" w:rsidR="00A67A55" w:rsidRDefault="00A67A55" w:rsidP="00DB75A0">
      <w:pPr>
        <w:pStyle w:val="Zkladntext"/>
        <w:keepLines/>
        <w:tabs>
          <w:tab w:val="left" w:pos="284"/>
          <w:tab w:val="left" w:pos="567"/>
          <w:tab w:val="left" w:pos="851"/>
        </w:tabs>
        <w:jc w:val="left"/>
        <w:rPr>
          <w:rFonts w:cs="Arial"/>
          <w:noProof w:val="0"/>
          <w:sz w:val="24"/>
          <w:szCs w:val="24"/>
          <w:lang w:val="cs-CZ"/>
        </w:rPr>
      </w:pPr>
      <w:bookmarkStart w:id="0" w:name="_GoBack"/>
      <w:bookmarkEnd w:id="0"/>
    </w:p>
    <w:p w14:paraId="33A8441B" w14:textId="1453DD51" w:rsidR="00775799" w:rsidRPr="00630C36" w:rsidRDefault="005E3142" w:rsidP="005E3142">
      <w:pPr>
        <w:pStyle w:val="Zkladntext"/>
        <w:keepLines/>
        <w:tabs>
          <w:tab w:val="left" w:pos="284"/>
          <w:tab w:val="left" w:pos="567"/>
          <w:tab w:val="left" w:pos="851"/>
        </w:tabs>
        <w:jc w:val="center"/>
        <w:rPr>
          <w:rFonts w:cs="Arial"/>
          <w:noProof w:val="0"/>
          <w:sz w:val="24"/>
          <w:szCs w:val="24"/>
          <w:lang w:val="cs-CZ"/>
        </w:rPr>
      </w:pPr>
      <w:r w:rsidRPr="00630C36">
        <w:rPr>
          <w:rFonts w:cs="Arial"/>
          <w:noProof w:val="0"/>
          <w:sz w:val="24"/>
          <w:szCs w:val="24"/>
          <w:lang w:val="cs-CZ"/>
        </w:rPr>
        <w:t xml:space="preserve"> </w:t>
      </w:r>
    </w:p>
    <w:sectPr w:rsidR="00775799" w:rsidRPr="00630C36" w:rsidSect="005841F8">
      <w:headerReference w:type="even" r:id="rId11"/>
      <w:headerReference w:type="default" r:id="rId12"/>
      <w:footerReference w:type="default" r:id="rId13"/>
      <w:headerReference w:type="first" r:id="rId14"/>
      <w:footerReference w:type="first" r:id="rId15"/>
      <w:pgSz w:w="11907" w:h="16840" w:code="9"/>
      <w:pgMar w:top="1417" w:right="1417" w:bottom="1417" w:left="1417" w:header="1361" w:footer="48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A12BB" w14:textId="77777777" w:rsidR="00225DE9" w:rsidRDefault="00225DE9">
      <w:r>
        <w:separator/>
      </w:r>
    </w:p>
  </w:endnote>
  <w:endnote w:type="continuationSeparator" w:id="0">
    <w:p w14:paraId="4F6C1AD7" w14:textId="77777777" w:rsidR="00225DE9" w:rsidRDefault="0022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uristica">
    <w:altName w:val="Times New Roman"/>
    <w:panose1 w:val="00000000000000000000"/>
    <w:charset w:val="00"/>
    <w:family w:val="roman"/>
    <w:notTrueType/>
    <w:pitch w:val="variable"/>
    <w:sig w:usb0="A00002FF" w:usb1="5000005B" w:usb2="00000000" w:usb3="00000000" w:csb0="00000017" w:csb1="00000000"/>
  </w:font>
  <w:font w:name="Calibri,Bold">
    <w:altName w:val="Calibri"/>
    <w:panose1 w:val="00000000000000000000"/>
    <w:charset w:val="00"/>
    <w:family w:val="swiss"/>
    <w:notTrueType/>
    <w:pitch w:val="default"/>
    <w:sig w:usb0="00000003" w:usb1="00000000" w:usb2="00000000" w:usb3="00000000" w:csb0="00000001" w:csb1="00000000"/>
  </w:font>
  <w:font w:name="Technika">
    <w:altName w:val="Courier New"/>
    <w:charset w:val="EE"/>
    <w:family w:val="auto"/>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489846"/>
      <w:docPartObj>
        <w:docPartGallery w:val="Page Numbers (Bottom of Page)"/>
        <w:docPartUnique/>
      </w:docPartObj>
    </w:sdtPr>
    <w:sdtEndPr/>
    <w:sdtContent>
      <w:sdt>
        <w:sdtPr>
          <w:id w:val="1728636285"/>
          <w:docPartObj>
            <w:docPartGallery w:val="Page Numbers (Top of Page)"/>
            <w:docPartUnique/>
          </w:docPartObj>
        </w:sdtPr>
        <w:sdtEndPr/>
        <w:sdtContent>
          <w:p w14:paraId="5B28E9CC" w14:textId="77777777" w:rsidR="00352549" w:rsidRPr="00541D15" w:rsidRDefault="00352549" w:rsidP="00352549">
            <w:pPr>
              <w:pBdr>
                <w:top w:val="nil"/>
                <w:left w:val="nil"/>
                <w:bottom w:val="nil"/>
                <w:right w:val="nil"/>
                <w:between w:val="nil"/>
              </w:pBdr>
              <w:tabs>
                <w:tab w:val="center" w:pos="4536"/>
                <w:tab w:val="right" w:pos="9072"/>
              </w:tabs>
              <w:jc w:val="right"/>
              <w:rPr>
                <w:color w:val="000000"/>
                <w:sz w:val="23"/>
                <w:szCs w:val="23"/>
              </w:rPr>
            </w:pPr>
            <w:r w:rsidRPr="00541D15">
              <w:rPr>
                <w:sz w:val="23"/>
                <w:szCs w:val="23"/>
              </w:rPr>
              <w:drawing>
                <wp:anchor distT="0" distB="0" distL="114300" distR="114300" simplePos="0" relativeHeight="251661824" behindDoc="0" locked="0" layoutInCell="1" hidden="0" allowOverlap="1" wp14:anchorId="3045FE07" wp14:editId="082F0E6A">
                  <wp:simplePos x="0" y="0"/>
                  <wp:positionH relativeFrom="column">
                    <wp:posOffset>4565650</wp:posOffset>
                  </wp:positionH>
                  <wp:positionV relativeFrom="paragraph">
                    <wp:posOffset>-189230</wp:posOffset>
                  </wp:positionV>
                  <wp:extent cx="1330325" cy="457835"/>
                  <wp:effectExtent l="0" t="0" r="0" b="0"/>
                  <wp:wrapSquare wrapText="bothSides" distT="0" distB="0" distL="114300" distR="114300"/>
                  <wp:docPr id="2006096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0325" cy="457835"/>
                          </a:xfrm>
                          <a:prstGeom prst="rect">
                            <a:avLst/>
                          </a:prstGeom>
                          <a:ln/>
                        </pic:spPr>
                      </pic:pic>
                    </a:graphicData>
                  </a:graphic>
                </wp:anchor>
              </w:drawing>
            </w:r>
            <w:r w:rsidRPr="00541D15">
              <w:rPr>
                <w:sz w:val="23"/>
                <w:szCs w:val="23"/>
              </w:rPr>
              <w:drawing>
                <wp:anchor distT="0" distB="0" distL="114300" distR="114300" simplePos="0" relativeHeight="251662848" behindDoc="0" locked="0" layoutInCell="1" hidden="0" allowOverlap="1" wp14:anchorId="1048B102" wp14:editId="4FBB4B8E">
                  <wp:simplePos x="0" y="0"/>
                  <wp:positionH relativeFrom="column">
                    <wp:posOffset>101600</wp:posOffset>
                  </wp:positionH>
                  <wp:positionV relativeFrom="paragraph">
                    <wp:posOffset>-149225</wp:posOffset>
                  </wp:positionV>
                  <wp:extent cx="1901190" cy="447040"/>
                  <wp:effectExtent l="0" t="0" r="0" b="0"/>
                  <wp:wrapSquare wrapText="bothSides" distT="0" distB="0" distL="114300" distR="114300"/>
                  <wp:docPr id="20060965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1190" cy="447040"/>
                          </a:xfrm>
                          <a:prstGeom prst="rect">
                            <a:avLst/>
                          </a:prstGeom>
                          <a:ln/>
                        </pic:spPr>
                      </pic:pic>
                    </a:graphicData>
                  </a:graphic>
                </wp:anchor>
              </w:drawing>
            </w:r>
            <w:r w:rsidRPr="00541D15">
              <w:rPr>
                <w:sz w:val="23"/>
                <w:szCs w:val="23"/>
              </w:rPr>
              <w:drawing>
                <wp:anchor distT="0" distB="0" distL="114300" distR="114300" simplePos="0" relativeHeight="251660800" behindDoc="0" locked="0" layoutInCell="1" hidden="0" allowOverlap="1" wp14:anchorId="5F4E5868" wp14:editId="5BA2751B">
                  <wp:simplePos x="0" y="0"/>
                  <wp:positionH relativeFrom="column">
                    <wp:posOffset>2374900</wp:posOffset>
                  </wp:positionH>
                  <wp:positionV relativeFrom="paragraph">
                    <wp:posOffset>-215265</wp:posOffset>
                  </wp:positionV>
                  <wp:extent cx="1671320" cy="500380"/>
                  <wp:effectExtent l="0" t="0" r="0" b="0"/>
                  <wp:wrapSquare wrapText="bothSides" distT="0" distB="0" distL="114300" distR="114300"/>
                  <wp:docPr id="20060965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671320" cy="500380"/>
                          </a:xfrm>
                          <a:prstGeom prst="rect">
                            <a:avLst/>
                          </a:prstGeom>
                          <a:ln/>
                        </pic:spPr>
                      </pic:pic>
                    </a:graphicData>
                  </a:graphic>
                </wp:anchor>
              </w:drawing>
            </w:r>
          </w:p>
          <w:p w14:paraId="4B9E0D47" w14:textId="77777777" w:rsidR="00352549" w:rsidRPr="00541D15" w:rsidRDefault="00352549" w:rsidP="00352549">
            <w:pPr>
              <w:pBdr>
                <w:top w:val="nil"/>
                <w:left w:val="nil"/>
                <w:bottom w:val="nil"/>
                <w:right w:val="nil"/>
                <w:between w:val="nil"/>
              </w:pBdr>
              <w:tabs>
                <w:tab w:val="center" w:pos="4536"/>
                <w:tab w:val="right" w:pos="9072"/>
              </w:tabs>
              <w:rPr>
                <w:color w:val="000000"/>
                <w:sz w:val="23"/>
                <w:szCs w:val="23"/>
              </w:rPr>
            </w:pPr>
          </w:p>
          <w:p w14:paraId="0970324A" w14:textId="151E5943" w:rsidR="00352549" w:rsidRDefault="00352549" w:rsidP="00352549">
            <w:pPr>
              <w:pStyle w:val="Zpat"/>
              <w:jc w:val="center"/>
            </w:pPr>
          </w:p>
          <w:p w14:paraId="12C18E41" w14:textId="02737929" w:rsidR="008A00E2" w:rsidRPr="008A00E2" w:rsidRDefault="00352549" w:rsidP="00352549">
            <w:pPr>
              <w:pStyle w:val="Zpat"/>
              <w:jc w:val="center"/>
            </w:pPr>
            <w:r w:rsidRPr="008A00E2">
              <w:rPr>
                <w:bCs/>
                <w:szCs w:val="24"/>
              </w:rPr>
              <w:t xml:space="preserve"> </w:t>
            </w:r>
            <w:r w:rsidR="008A00E2" w:rsidRPr="008A00E2">
              <w:rPr>
                <w:bCs/>
                <w:szCs w:val="24"/>
              </w:rPr>
              <w:fldChar w:fldCharType="begin"/>
            </w:r>
            <w:r w:rsidR="008A00E2" w:rsidRPr="008A00E2">
              <w:rPr>
                <w:bCs/>
              </w:rPr>
              <w:instrText>PAGE</w:instrText>
            </w:r>
            <w:r w:rsidR="008A00E2" w:rsidRPr="008A00E2">
              <w:rPr>
                <w:bCs/>
                <w:szCs w:val="24"/>
              </w:rPr>
              <w:fldChar w:fldCharType="separate"/>
            </w:r>
            <w:r w:rsidR="002C2ECD">
              <w:rPr>
                <w:bCs/>
              </w:rPr>
              <w:t>8</w:t>
            </w:r>
            <w:r w:rsidR="008A00E2" w:rsidRPr="008A00E2">
              <w:rPr>
                <w:bCs/>
                <w:szCs w:val="24"/>
              </w:rPr>
              <w:fldChar w:fldCharType="end"/>
            </w:r>
            <w:r w:rsidR="008A00E2" w:rsidRPr="008A00E2">
              <w:rPr>
                <w:lang w:val="cs-CZ"/>
              </w:rPr>
              <w:t xml:space="preserve"> / </w:t>
            </w:r>
            <w:r w:rsidR="008A00E2" w:rsidRPr="008A00E2">
              <w:rPr>
                <w:bCs/>
                <w:szCs w:val="24"/>
              </w:rPr>
              <w:fldChar w:fldCharType="begin"/>
            </w:r>
            <w:r w:rsidR="008A00E2" w:rsidRPr="008A00E2">
              <w:rPr>
                <w:bCs/>
              </w:rPr>
              <w:instrText>NUMPAGES</w:instrText>
            </w:r>
            <w:r w:rsidR="008A00E2" w:rsidRPr="008A00E2">
              <w:rPr>
                <w:bCs/>
                <w:szCs w:val="24"/>
              </w:rPr>
              <w:fldChar w:fldCharType="separate"/>
            </w:r>
            <w:r w:rsidR="002C2ECD">
              <w:rPr>
                <w:bCs/>
              </w:rPr>
              <w:t>8</w:t>
            </w:r>
            <w:r w:rsidR="008A00E2" w:rsidRPr="008A00E2">
              <w:rPr>
                <w:bCs/>
                <w:szCs w:val="24"/>
              </w:rPr>
              <w:fldChar w:fldCharType="end"/>
            </w:r>
          </w:p>
        </w:sdtContent>
      </w:sdt>
    </w:sdtContent>
  </w:sdt>
  <w:p w14:paraId="267B0119" w14:textId="77777777" w:rsidR="00562FFA" w:rsidRDefault="00562FFA" w:rsidP="00971109">
    <w:pPr>
      <w:pStyle w:val="Zpat"/>
      <w:tabs>
        <w:tab w:val="left" w:pos="6803"/>
        <w:tab w:val="right" w:pos="9639"/>
      </w:tabs>
      <w:spacing w:before="2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1D172" w14:textId="77777777" w:rsidR="00015A6C" w:rsidRDefault="00015A6C">
    <w:pPr>
      <w:pStyle w:val="Zpat"/>
      <w:jc w:val="right"/>
    </w:pPr>
    <w:r>
      <w:fldChar w:fldCharType="begin"/>
    </w:r>
    <w:r>
      <w:instrText>PAGE   \* MERGEFORMAT</w:instrText>
    </w:r>
    <w:r>
      <w:fldChar w:fldCharType="separate"/>
    </w:r>
    <w:r w:rsidR="00410AAA" w:rsidRPr="00410AAA">
      <w:rPr>
        <w:lang w:val="cs-CZ"/>
      </w:rPr>
      <w:t>1</w:t>
    </w:r>
    <w:r>
      <w:fldChar w:fldCharType="end"/>
    </w:r>
  </w:p>
  <w:p w14:paraId="125CD211" w14:textId="77777777" w:rsidR="00E72C29" w:rsidRDefault="00E72C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E6F84" w14:textId="77777777" w:rsidR="00225DE9" w:rsidRDefault="00225DE9">
      <w:r>
        <w:separator/>
      </w:r>
    </w:p>
  </w:footnote>
  <w:footnote w:type="continuationSeparator" w:id="0">
    <w:p w14:paraId="7144877B" w14:textId="77777777" w:rsidR="00225DE9" w:rsidRDefault="00225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FB515" w14:textId="77777777" w:rsidR="00562FFA" w:rsidRPr="00BC41CD" w:rsidRDefault="00562FFA"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320C" w14:textId="77777777" w:rsidR="00562FFA" w:rsidRDefault="00410AAA" w:rsidP="005841F8">
    <w:pPr>
      <w:pStyle w:val="Zkladntext"/>
      <w:tabs>
        <w:tab w:val="center" w:leader="dot" w:pos="1200"/>
      </w:tabs>
    </w:pPr>
    <w:r w:rsidRPr="00E62B93">
      <w:rPr>
        <w:rFonts w:ascii="Technika" w:hAnsi="Technika"/>
        <w:caps/>
        <w:spacing w:val="8"/>
        <w:kern w:val="20"/>
        <w:sz w:val="14"/>
        <w:szCs w:val="14"/>
        <w:lang w:val="cs-CZ"/>
      </w:rPr>
      <w:drawing>
        <wp:anchor distT="0" distB="0" distL="114300" distR="114300" simplePos="0" relativeHeight="251658752" behindDoc="0" locked="0" layoutInCell="1" allowOverlap="1" wp14:anchorId="1318B54C" wp14:editId="58509DB5">
          <wp:simplePos x="0" y="0"/>
          <wp:positionH relativeFrom="column">
            <wp:posOffset>3810</wp:posOffset>
          </wp:positionH>
          <wp:positionV relativeFrom="paragraph">
            <wp:posOffset>-587331</wp:posOffset>
          </wp:positionV>
          <wp:extent cx="2004695" cy="719455"/>
          <wp:effectExtent l="0" t="0" r="0" b="4445"/>
          <wp:wrapNone/>
          <wp:docPr id="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719455"/>
                  </a:xfrm>
                  <a:prstGeom prst="rect">
                    <a:avLst/>
                  </a:prstGeom>
                </pic:spPr>
              </pic:pic>
            </a:graphicData>
          </a:graphic>
          <wp14:sizeRelH relativeFrom="page">
            <wp14:pctWidth>0</wp14:pctWidth>
          </wp14:sizeRelH>
          <wp14:sizeRelV relativeFrom="page">
            <wp14:pctHeight>0</wp14:pctHeight>
          </wp14:sizeRelV>
        </wp:anchor>
      </w:drawing>
    </w:r>
  </w:p>
  <w:p w14:paraId="4460F523" w14:textId="77777777" w:rsidR="00562FFA" w:rsidRPr="00D617E2" w:rsidRDefault="00562FFA" w:rsidP="00D617E2">
    <w:pPr>
      <w:pStyle w:val="Zkladntext"/>
      <w:tabs>
        <w:tab w:val="center" w:leader="dot" w:pos="1200"/>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01AE" w14:textId="77777777" w:rsidR="00E72C29" w:rsidRPr="00707415" w:rsidRDefault="00E72C29" w:rsidP="00E72C29">
    <w:pPr>
      <w:pStyle w:val="ZhlavCVUT"/>
      <w:framePr w:h="978" w:hRule="exact" w:wrap="around"/>
    </w:pPr>
    <w:r w:rsidRPr="00707415">
      <w:t>ČESKÉ VYSOKÉ UČENÍ TECHNICKÉ V PRAZE</w:t>
    </w:r>
  </w:p>
  <w:p w14:paraId="183A46D5" w14:textId="77777777" w:rsidR="00E72C29" w:rsidRPr="00707415" w:rsidRDefault="00E72C29" w:rsidP="00E72C29">
    <w:pPr>
      <w:pStyle w:val="ZhlavFEL"/>
      <w:framePr w:h="978" w:hRule="exact" w:wrap="around"/>
    </w:pPr>
    <w:r w:rsidRPr="00707415">
      <w:t xml:space="preserve">Český institut informatiky, robotiky a kybernetiky </w:t>
    </w:r>
  </w:p>
  <w:p w14:paraId="0EBC0BF5" w14:textId="77777777" w:rsidR="00E72C29" w:rsidRDefault="00E72C29" w:rsidP="00E72C29">
    <w:pPr>
      <w:pStyle w:val="ZhlavAdresa"/>
      <w:framePr w:h="978" w:hRule="exact" w:wrap="around"/>
    </w:pPr>
    <w:r>
      <w:t>Jugoslávských partyzánů 1580/3, 160 00  Praha 6</w:t>
    </w:r>
  </w:p>
  <w:p w14:paraId="5F2380C8" w14:textId="77777777" w:rsidR="00E72C29" w:rsidRDefault="00F901B8">
    <w:pPr>
      <w:pStyle w:val="Zhlav"/>
    </w:pPr>
    <w:r>
      <w:rPr>
        <w:lang w:val="cs-CZ"/>
      </w:rPr>
      <mc:AlternateContent>
        <mc:Choice Requires="wps">
          <w:drawing>
            <wp:anchor distT="4294967295" distB="4294967295" distL="114300" distR="114300" simplePos="0" relativeHeight="251657728" behindDoc="0" locked="0" layoutInCell="1" allowOverlap="1" wp14:anchorId="4DEE0DE7" wp14:editId="40984596">
              <wp:simplePos x="0" y="0"/>
              <wp:positionH relativeFrom="page">
                <wp:posOffset>1247775</wp:posOffset>
              </wp:positionH>
              <wp:positionV relativeFrom="page">
                <wp:posOffset>561974</wp:posOffset>
              </wp:positionV>
              <wp:extent cx="5954395" cy="0"/>
              <wp:effectExtent l="0" t="0" r="27305"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4395" cy="0"/>
                      </a:xfrm>
                      <a:prstGeom prst="line">
                        <a:avLst/>
                      </a:prstGeom>
                      <a:noFill/>
                      <a:ln w="12700">
                        <a:solidFill>
                          <a:srgbClr val="0073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FE39D10" id="Line 9"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8.25pt,44.25pt" to="567.1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" strokecolor="#0073c6" strokeweight="1pt">
              <w10:wrap anchorx="page" anchory="page"/>
            </v:line>
          </w:pict>
        </mc:Fallback>
      </mc:AlternateContent>
    </w:r>
    <w:r>
      <w:rPr>
        <w:lang w:val="cs-CZ"/>
      </w:rPr>
      <w:drawing>
        <wp:anchor distT="0" distB="0" distL="114300" distR="114300" simplePos="0" relativeHeight="251656704" behindDoc="0" locked="0" layoutInCell="1" allowOverlap="1" wp14:anchorId="2CB27033" wp14:editId="54870CCC">
          <wp:simplePos x="0" y="0"/>
          <wp:positionH relativeFrom="page">
            <wp:posOffset>360045</wp:posOffset>
          </wp:positionH>
          <wp:positionV relativeFrom="page">
            <wp:posOffset>360045</wp:posOffset>
          </wp:positionV>
          <wp:extent cx="720090" cy="540385"/>
          <wp:effectExtent l="0" t="0" r="3810" b="0"/>
          <wp:wrapNone/>
          <wp:docPr id="49" name="Obrázek 49" descr="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descr="L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70BB"/>
    <w:multiLevelType w:val="hybridMultilevel"/>
    <w:tmpl w:val="DBBC6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E6B33"/>
    <w:multiLevelType w:val="hybridMultilevel"/>
    <w:tmpl w:val="7C1EF4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8E3582"/>
    <w:multiLevelType w:val="hybridMultilevel"/>
    <w:tmpl w:val="D09EE0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D96ED4E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0070C"/>
    <w:multiLevelType w:val="hybridMultilevel"/>
    <w:tmpl w:val="13609724"/>
    <w:lvl w:ilvl="0" w:tplc="04050017">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11E09"/>
    <w:multiLevelType w:val="hybridMultilevel"/>
    <w:tmpl w:val="0452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93057"/>
    <w:multiLevelType w:val="hybridMultilevel"/>
    <w:tmpl w:val="A8DC770A"/>
    <w:lvl w:ilvl="0" w:tplc="2D5441AC">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E23D55"/>
    <w:multiLevelType w:val="hybridMultilevel"/>
    <w:tmpl w:val="A2E2347C"/>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132BF5"/>
    <w:multiLevelType w:val="multilevel"/>
    <w:tmpl w:val="535C4FAA"/>
    <w:lvl w:ilvl="0">
      <w:start w:val="1"/>
      <w:numFmt w:val="decimal"/>
      <w:lvlText w:val="%1."/>
      <w:lvlJc w:val="left"/>
      <w:pPr>
        <w:ind w:left="497" w:hanging="360"/>
      </w:pPr>
      <w:rPr>
        <w:rFonts w:asciiTheme="majorHAnsi" w:hAnsiTheme="majorHAnsi" w:cstheme="majorHAnsi" w:hint="default"/>
        <w:b/>
      </w:rPr>
    </w:lvl>
    <w:lvl w:ilvl="1">
      <w:start w:val="1"/>
      <w:numFmt w:val="decimal"/>
      <w:isLgl/>
      <w:lvlText w:val="%1.%2."/>
      <w:lvlJc w:val="left"/>
      <w:pPr>
        <w:ind w:left="497" w:hanging="360"/>
      </w:pPr>
      <w:rPr>
        <w:rFonts w:hint="default"/>
        <w:sz w:val="22"/>
        <w:szCs w:val="20"/>
      </w:rPr>
    </w:lvl>
    <w:lvl w:ilvl="2">
      <w:start w:val="1"/>
      <w:numFmt w:val="decimal"/>
      <w:isLgl/>
      <w:lvlText w:val="%3)"/>
      <w:lvlJc w:val="left"/>
      <w:pPr>
        <w:ind w:left="857" w:hanging="720"/>
      </w:pPr>
      <w:rPr>
        <w:rFonts w:asciiTheme="minorHAnsi" w:eastAsia="Times New Roman" w:hAnsiTheme="minorHAnsi" w:cstheme="minorHAnsi"/>
        <w:b w:val="0"/>
        <w:sz w:val="20"/>
        <w:szCs w:val="20"/>
      </w:rPr>
    </w:lvl>
    <w:lvl w:ilvl="3">
      <w:start w:val="1"/>
      <w:numFmt w:val="decimal"/>
      <w:isLgl/>
      <w:lvlText w:val="%4)"/>
      <w:lvlJc w:val="left"/>
      <w:pPr>
        <w:ind w:left="857" w:hanging="720"/>
      </w:pPr>
      <w:rPr>
        <w:rFonts w:asciiTheme="minorHAnsi" w:eastAsia="Times New Roman" w:hAnsiTheme="minorHAnsi" w:cstheme="minorHAnsi" w:hint="default"/>
        <w:b w:val="0"/>
      </w:rPr>
    </w:lvl>
    <w:lvl w:ilvl="4">
      <w:start w:val="1"/>
      <w:numFmt w:val="lowerLetter"/>
      <w:lvlText w:val="%5)"/>
      <w:lvlJc w:val="left"/>
      <w:pPr>
        <w:ind w:left="1217" w:hanging="1080"/>
      </w:pPr>
      <w:rPr>
        <w:rFonts w:hint="default"/>
      </w:rPr>
    </w:lvl>
    <w:lvl w:ilvl="5">
      <w:start w:val="1"/>
      <w:numFmt w:val="lowerRoman"/>
      <w:lvlText w:val="%6."/>
      <w:lvlJc w:val="right"/>
      <w:pPr>
        <w:ind w:left="1217" w:hanging="1080"/>
      </w:pPr>
      <w:rPr>
        <w:b w:val="0"/>
        <w:sz w:val="20"/>
        <w:szCs w:val="22"/>
      </w:rPr>
    </w:lvl>
    <w:lvl w:ilvl="6">
      <w:start w:val="1"/>
      <w:numFmt w:val="decimal"/>
      <w:isLgl/>
      <w:lvlText w:val="%1.%2.%3.%4.%5.%6.%7."/>
      <w:lvlJc w:val="left"/>
      <w:pPr>
        <w:ind w:left="1577" w:hanging="1440"/>
      </w:pPr>
      <w:rPr>
        <w:rFonts w:hint="default"/>
      </w:rPr>
    </w:lvl>
    <w:lvl w:ilvl="7">
      <w:start w:val="1"/>
      <w:numFmt w:val="decimal"/>
      <w:isLgl/>
      <w:lvlText w:val="%1.%2.%3.%4.%5.%6.%7.%8."/>
      <w:lvlJc w:val="left"/>
      <w:pPr>
        <w:ind w:left="1577" w:hanging="1440"/>
      </w:pPr>
      <w:rPr>
        <w:rFonts w:hint="default"/>
      </w:rPr>
    </w:lvl>
    <w:lvl w:ilvl="8">
      <w:start w:val="1"/>
      <w:numFmt w:val="decimal"/>
      <w:isLgl/>
      <w:lvlText w:val="%1.%2.%3.%4.%5.%6.%7.%8.%9."/>
      <w:lvlJc w:val="left"/>
      <w:pPr>
        <w:ind w:left="1937" w:hanging="1800"/>
      </w:pPr>
      <w:rPr>
        <w:rFonts w:hint="default"/>
      </w:rPr>
    </w:lvl>
  </w:abstractNum>
  <w:abstractNum w:abstractNumId="8" w15:restartNumberingAfterBreak="0">
    <w:nsid w:val="34210985"/>
    <w:multiLevelType w:val="hybridMultilevel"/>
    <w:tmpl w:val="B19E8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420800"/>
    <w:multiLevelType w:val="hybridMultilevel"/>
    <w:tmpl w:val="6CDEFF10"/>
    <w:lvl w:ilvl="0" w:tplc="08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010C26"/>
    <w:multiLevelType w:val="hybridMultilevel"/>
    <w:tmpl w:val="7DF0EFA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661387F"/>
    <w:multiLevelType w:val="hybridMultilevel"/>
    <w:tmpl w:val="1E980850"/>
    <w:lvl w:ilvl="0" w:tplc="37146F4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48727058"/>
    <w:multiLevelType w:val="hybridMultilevel"/>
    <w:tmpl w:val="425C2A5C"/>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4A991938"/>
    <w:multiLevelType w:val="hybridMultilevel"/>
    <w:tmpl w:val="3E1AE45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60991B2D"/>
    <w:multiLevelType w:val="hybridMultilevel"/>
    <w:tmpl w:val="EDCAE096"/>
    <w:lvl w:ilvl="0" w:tplc="0809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1486F"/>
    <w:multiLevelType w:val="hybridMultilevel"/>
    <w:tmpl w:val="E3389E6E"/>
    <w:lvl w:ilvl="0" w:tplc="23B8AF0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71006BAE"/>
    <w:multiLevelType w:val="hybridMultilevel"/>
    <w:tmpl w:val="7A905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9D260C"/>
    <w:multiLevelType w:val="hybridMultilevel"/>
    <w:tmpl w:val="99C25468"/>
    <w:lvl w:ilvl="0" w:tplc="04050017">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3"/>
  </w:num>
  <w:num w:numId="4">
    <w:abstractNumId w:val="2"/>
  </w:num>
  <w:num w:numId="5">
    <w:abstractNumId w:val="8"/>
  </w:num>
  <w:num w:numId="6">
    <w:abstractNumId w:val="16"/>
  </w:num>
  <w:num w:numId="7">
    <w:abstractNumId w:val="14"/>
  </w:num>
  <w:num w:numId="8">
    <w:abstractNumId w:val="9"/>
  </w:num>
  <w:num w:numId="9">
    <w:abstractNumId w:val="5"/>
  </w:num>
  <w:num w:numId="10">
    <w:abstractNumId w:val="3"/>
  </w:num>
  <w:num w:numId="11">
    <w:abstractNumId w:val="17"/>
  </w:num>
  <w:num w:numId="12">
    <w:abstractNumId w:val="11"/>
  </w:num>
  <w:num w:numId="13">
    <w:abstractNumId w:val="15"/>
  </w:num>
  <w:num w:numId="14">
    <w:abstractNumId w:val="1"/>
  </w:num>
  <w:num w:numId="15">
    <w:abstractNumId w:val="12"/>
  </w:num>
  <w:num w:numId="16">
    <w:abstractNumId w:val="6"/>
  </w:num>
  <w:num w:numId="17">
    <w:abstractNumId w:val="7"/>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0NDYxNzO3sLS0MLdQ0lEKTi0uzszPAymwqAUAd6uAzywAAAA="/>
  </w:docVars>
  <w:rsids>
    <w:rsidRoot w:val="00BC020C"/>
    <w:rsid w:val="00002893"/>
    <w:rsid w:val="000042DA"/>
    <w:rsid w:val="00010247"/>
    <w:rsid w:val="00013253"/>
    <w:rsid w:val="00015A6C"/>
    <w:rsid w:val="000179F6"/>
    <w:rsid w:val="000261EE"/>
    <w:rsid w:val="00037F19"/>
    <w:rsid w:val="00040DFC"/>
    <w:rsid w:val="00045E6A"/>
    <w:rsid w:val="00066338"/>
    <w:rsid w:val="00067489"/>
    <w:rsid w:val="00067A7A"/>
    <w:rsid w:val="00085207"/>
    <w:rsid w:val="000943CC"/>
    <w:rsid w:val="000C5325"/>
    <w:rsid w:val="000D1364"/>
    <w:rsid w:val="000D6816"/>
    <w:rsid w:val="000E1908"/>
    <w:rsid w:val="00101FF9"/>
    <w:rsid w:val="001058D5"/>
    <w:rsid w:val="00105BB8"/>
    <w:rsid w:val="00111AE5"/>
    <w:rsid w:val="001213C5"/>
    <w:rsid w:val="0012344C"/>
    <w:rsid w:val="00126CA9"/>
    <w:rsid w:val="00127E02"/>
    <w:rsid w:val="00133FB8"/>
    <w:rsid w:val="001425FF"/>
    <w:rsid w:val="001447A9"/>
    <w:rsid w:val="00144BF1"/>
    <w:rsid w:val="00160C1E"/>
    <w:rsid w:val="0016750F"/>
    <w:rsid w:val="00176DCD"/>
    <w:rsid w:val="0019607D"/>
    <w:rsid w:val="001A5C25"/>
    <w:rsid w:val="001B0E28"/>
    <w:rsid w:val="001B5EE9"/>
    <w:rsid w:val="001C3670"/>
    <w:rsid w:val="001D341C"/>
    <w:rsid w:val="001D72BC"/>
    <w:rsid w:val="001E6C23"/>
    <w:rsid w:val="001E700C"/>
    <w:rsid w:val="001F649C"/>
    <w:rsid w:val="002126E6"/>
    <w:rsid w:val="00221F19"/>
    <w:rsid w:val="00225DE9"/>
    <w:rsid w:val="00230B43"/>
    <w:rsid w:val="00231370"/>
    <w:rsid w:val="00231BCF"/>
    <w:rsid w:val="0023299F"/>
    <w:rsid w:val="00233AD6"/>
    <w:rsid w:val="00237CEE"/>
    <w:rsid w:val="00240BE5"/>
    <w:rsid w:val="00244678"/>
    <w:rsid w:val="00253CF7"/>
    <w:rsid w:val="00255947"/>
    <w:rsid w:val="00261B8F"/>
    <w:rsid w:val="0026646F"/>
    <w:rsid w:val="002722B8"/>
    <w:rsid w:val="0027599E"/>
    <w:rsid w:val="0027729A"/>
    <w:rsid w:val="00285CE1"/>
    <w:rsid w:val="00290588"/>
    <w:rsid w:val="002927EA"/>
    <w:rsid w:val="002A4862"/>
    <w:rsid w:val="002C2BD2"/>
    <w:rsid w:val="002C2ECD"/>
    <w:rsid w:val="002C3DE8"/>
    <w:rsid w:val="002D0796"/>
    <w:rsid w:val="002D325A"/>
    <w:rsid w:val="002E6489"/>
    <w:rsid w:val="002E75D3"/>
    <w:rsid w:val="002F5F8E"/>
    <w:rsid w:val="00310A61"/>
    <w:rsid w:val="00312390"/>
    <w:rsid w:val="00312A41"/>
    <w:rsid w:val="003145E4"/>
    <w:rsid w:val="00316865"/>
    <w:rsid w:val="0032035B"/>
    <w:rsid w:val="00321D62"/>
    <w:rsid w:val="0032612E"/>
    <w:rsid w:val="00331155"/>
    <w:rsid w:val="00337F1C"/>
    <w:rsid w:val="00350FD5"/>
    <w:rsid w:val="00352549"/>
    <w:rsid w:val="00357080"/>
    <w:rsid w:val="0036736D"/>
    <w:rsid w:val="00380824"/>
    <w:rsid w:val="0039285C"/>
    <w:rsid w:val="003A1177"/>
    <w:rsid w:val="003A3A5C"/>
    <w:rsid w:val="003B2CC1"/>
    <w:rsid w:val="003B3F7C"/>
    <w:rsid w:val="003B6D71"/>
    <w:rsid w:val="003B6DC9"/>
    <w:rsid w:val="003C2BDC"/>
    <w:rsid w:val="003C7319"/>
    <w:rsid w:val="003D34BB"/>
    <w:rsid w:val="003E0529"/>
    <w:rsid w:val="003E7DB9"/>
    <w:rsid w:val="003F4434"/>
    <w:rsid w:val="003F5144"/>
    <w:rsid w:val="0040193D"/>
    <w:rsid w:val="00410AAA"/>
    <w:rsid w:val="004151E8"/>
    <w:rsid w:val="004156D6"/>
    <w:rsid w:val="00420313"/>
    <w:rsid w:val="00424BE4"/>
    <w:rsid w:val="0042522A"/>
    <w:rsid w:val="00433E87"/>
    <w:rsid w:val="00434114"/>
    <w:rsid w:val="004400A1"/>
    <w:rsid w:val="00440679"/>
    <w:rsid w:val="00441E19"/>
    <w:rsid w:val="00445A6A"/>
    <w:rsid w:val="004460E0"/>
    <w:rsid w:val="00455726"/>
    <w:rsid w:val="00460AA7"/>
    <w:rsid w:val="00461915"/>
    <w:rsid w:val="00462EA0"/>
    <w:rsid w:val="00481FD3"/>
    <w:rsid w:val="00487F10"/>
    <w:rsid w:val="00491F31"/>
    <w:rsid w:val="004953CA"/>
    <w:rsid w:val="004A377D"/>
    <w:rsid w:val="004B030C"/>
    <w:rsid w:val="004B6C76"/>
    <w:rsid w:val="004C6DB9"/>
    <w:rsid w:val="004C7A4D"/>
    <w:rsid w:val="004D5023"/>
    <w:rsid w:val="004E0E34"/>
    <w:rsid w:val="004F1CEB"/>
    <w:rsid w:val="00500FAE"/>
    <w:rsid w:val="00503DF6"/>
    <w:rsid w:val="00510BF2"/>
    <w:rsid w:val="00521925"/>
    <w:rsid w:val="00541E2E"/>
    <w:rsid w:val="00545321"/>
    <w:rsid w:val="00545EAD"/>
    <w:rsid w:val="005541CE"/>
    <w:rsid w:val="00557ED6"/>
    <w:rsid w:val="00562FFA"/>
    <w:rsid w:val="00566E65"/>
    <w:rsid w:val="005701D4"/>
    <w:rsid w:val="005715D9"/>
    <w:rsid w:val="00580641"/>
    <w:rsid w:val="005841F8"/>
    <w:rsid w:val="00584566"/>
    <w:rsid w:val="005850F5"/>
    <w:rsid w:val="00585F2D"/>
    <w:rsid w:val="00586071"/>
    <w:rsid w:val="00591F94"/>
    <w:rsid w:val="00596A1B"/>
    <w:rsid w:val="0059724D"/>
    <w:rsid w:val="005B5DD1"/>
    <w:rsid w:val="005C10D9"/>
    <w:rsid w:val="005C2DBE"/>
    <w:rsid w:val="005D30EB"/>
    <w:rsid w:val="005E3142"/>
    <w:rsid w:val="005E69F3"/>
    <w:rsid w:val="00606990"/>
    <w:rsid w:val="00610B61"/>
    <w:rsid w:val="006117DB"/>
    <w:rsid w:val="00627921"/>
    <w:rsid w:val="00630C36"/>
    <w:rsid w:val="00630DE3"/>
    <w:rsid w:val="00635CCF"/>
    <w:rsid w:val="0063632F"/>
    <w:rsid w:val="006601A3"/>
    <w:rsid w:val="006605BC"/>
    <w:rsid w:val="0066238B"/>
    <w:rsid w:val="00664348"/>
    <w:rsid w:val="0068304F"/>
    <w:rsid w:val="00686E0B"/>
    <w:rsid w:val="006945B9"/>
    <w:rsid w:val="006A006C"/>
    <w:rsid w:val="006A2D2B"/>
    <w:rsid w:val="006A2D52"/>
    <w:rsid w:val="006A3C0F"/>
    <w:rsid w:val="006B1FE7"/>
    <w:rsid w:val="006C1926"/>
    <w:rsid w:val="006C3929"/>
    <w:rsid w:val="006C7CBC"/>
    <w:rsid w:val="006D52B0"/>
    <w:rsid w:val="006D6695"/>
    <w:rsid w:val="006E033D"/>
    <w:rsid w:val="006E3B8E"/>
    <w:rsid w:val="006F325F"/>
    <w:rsid w:val="006F7918"/>
    <w:rsid w:val="00700C93"/>
    <w:rsid w:val="00707FFE"/>
    <w:rsid w:val="00715F78"/>
    <w:rsid w:val="00721187"/>
    <w:rsid w:val="00731DF8"/>
    <w:rsid w:val="007424E3"/>
    <w:rsid w:val="00742EE6"/>
    <w:rsid w:val="00750CCC"/>
    <w:rsid w:val="00763F8D"/>
    <w:rsid w:val="007739F5"/>
    <w:rsid w:val="00775799"/>
    <w:rsid w:val="007767DB"/>
    <w:rsid w:val="007951B5"/>
    <w:rsid w:val="007969E7"/>
    <w:rsid w:val="007A6E77"/>
    <w:rsid w:val="007A7677"/>
    <w:rsid w:val="007B43F5"/>
    <w:rsid w:val="007C44A5"/>
    <w:rsid w:val="007C4AE2"/>
    <w:rsid w:val="007C58FA"/>
    <w:rsid w:val="007C5A5A"/>
    <w:rsid w:val="007C5F9A"/>
    <w:rsid w:val="007D1675"/>
    <w:rsid w:val="007D4732"/>
    <w:rsid w:val="007D4E43"/>
    <w:rsid w:val="007F2FCE"/>
    <w:rsid w:val="007F6AB3"/>
    <w:rsid w:val="008019C9"/>
    <w:rsid w:val="00802D7F"/>
    <w:rsid w:val="008037D2"/>
    <w:rsid w:val="00811D27"/>
    <w:rsid w:val="00813479"/>
    <w:rsid w:val="00813497"/>
    <w:rsid w:val="008166F4"/>
    <w:rsid w:val="008232D0"/>
    <w:rsid w:val="00831CE4"/>
    <w:rsid w:val="008342EA"/>
    <w:rsid w:val="00840C79"/>
    <w:rsid w:val="00853435"/>
    <w:rsid w:val="00853589"/>
    <w:rsid w:val="0085440C"/>
    <w:rsid w:val="00863CA5"/>
    <w:rsid w:val="00866994"/>
    <w:rsid w:val="00876F61"/>
    <w:rsid w:val="00886013"/>
    <w:rsid w:val="00891B54"/>
    <w:rsid w:val="008A00E2"/>
    <w:rsid w:val="008B147B"/>
    <w:rsid w:val="008B7E39"/>
    <w:rsid w:val="008C1AA3"/>
    <w:rsid w:val="008D5471"/>
    <w:rsid w:val="008D7794"/>
    <w:rsid w:val="008E42B9"/>
    <w:rsid w:val="008E644E"/>
    <w:rsid w:val="008E64EC"/>
    <w:rsid w:val="008E6BA9"/>
    <w:rsid w:val="008F0E66"/>
    <w:rsid w:val="008F59F2"/>
    <w:rsid w:val="00912EAF"/>
    <w:rsid w:val="0091612B"/>
    <w:rsid w:val="00934C6D"/>
    <w:rsid w:val="00944E4F"/>
    <w:rsid w:val="009461BC"/>
    <w:rsid w:val="0095009A"/>
    <w:rsid w:val="00951FCA"/>
    <w:rsid w:val="00965681"/>
    <w:rsid w:val="00966A32"/>
    <w:rsid w:val="00971109"/>
    <w:rsid w:val="00972928"/>
    <w:rsid w:val="009739C2"/>
    <w:rsid w:val="00973AF5"/>
    <w:rsid w:val="0098294E"/>
    <w:rsid w:val="00983716"/>
    <w:rsid w:val="00983C66"/>
    <w:rsid w:val="0099030D"/>
    <w:rsid w:val="009927A6"/>
    <w:rsid w:val="009971E7"/>
    <w:rsid w:val="009A36F5"/>
    <w:rsid w:val="009A38B8"/>
    <w:rsid w:val="009B1F0A"/>
    <w:rsid w:val="009B372B"/>
    <w:rsid w:val="009D791D"/>
    <w:rsid w:val="009E0FB2"/>
    <w:rsid w:val="009E618E"/>
    <w:rsid w:val="009F23DF"/>
    <w:rsid w:val="009F4D23"/>
    <w:rsid w:val="00A02478"/>
    <w:rsid w:val="00A146B1"/>
    <w:rsid w:val="00A22124"/>
    <w:rsid w:val="00A2290A"/>
    <w:rsid w:val="00A2697C"/>
    <w:rsid w:val="00A3479A"/>
    <w:rsid w:val="00A34C86"/>
    <w:rsid w:val="00A46CAA"/>
    <w:rsid w:val="00A51E6C"/>
    <w:rsid w:val="00A602FD"/>
    <w:rsid w:val="00A605D9"/>
    <w:rsid w:val="00A677E9"/>
    <w:rsid w:val="00A67A55"/>
    <w:rsid w:val="00A81409"/>
    <w:rsid w:val="00A83355"/>
    <w:rsid w:val="00A9022D"/>
    <w:rsid w:val="00A9088A"/>
    <w:rsid w:val="00A92487"/>
    <w:rsid w:val="00AB3085"/>
    <w:rsid w:val="00AC3978"/>
    <w:rsid w:val="00AC6078"/>
    <w:rsid w:val="00AC73FB"/>
    <w:rsid w:val="00AD7EC9"/>
    <w:rsid w:val="00AE4783"/>
    <w:rsid w:val="00AE4BB2"/>
    <w:rsid w:val="00AE71CE"/>
    <w:rsid w:val="00AF29F2"/>
    <w:rsid w:val="00B025AA"/>
    <w:rsid w:val="00B02626"/>
    <w:rsid w:val="00B06D4E"/>
    <w:rsid w:val="00B2055B"/>
    <w:rsid w:val="00B30293"/>
    <w:rsid w:val="00B33805"/>
    <w:rsid w:val="00B363E8"/>
    <w:rsid w:val="00B406ED"/>
    <w:rsid w:val="00B41967"/>
    <w:rsid w:val="00B42200"/>
    <w:rsid w:val="00B45167"/>
    <w:rsid w:val="00B65143"/>
    <w:rsid w:val="00B6785E"/>
    <w:rsid w:val="00B719E3"/>
    <w:rsid w:val="00B7671B"/>
    <w:rsid w:val="00B8043A"/>
    <w:rsid w:val="00B824D3"/>
    <w:rsid w:val="00B845A2"/>
    <w:rsid w:val="00B87C9D"/>
    <w:rsid w:val="00B963E7"/>
    <w:rsid w:val="00B96EE0"/>
    <w:rsid w:val="00B974AC"/>
    <w:rsid w:val="00BA1CC7"/>
    <w:rsid w:val="00BC020C"/>
    <w:rsid w:val="00BC3A17"/>
    <w:rsid w:val="00BC41CD"/>
    <w:rsid w:val="00BD25AE"/>
    <w:rsid w:val="00BD2D8E"/>
    <w:rsid w:val="00BE3985"/>
    <w:rsid w:val="00BE57B4"/>
    <w:rsid w:val="00BF120E"/>
    <w:rsid w:val="00C024FE"/>
    <w:rsid w:val="00C063B4"/>
    <w:rsid w:val="00C11059"/>
    <w:rsid w:val="00C17A13"/>
    <w:rsid w:val="00C20E86"/>
    <w:rsid w:val="00C37217"/>
    <w:rsid w:val="00C404D2"/>
    <w:rsid w:val="00C56127"/>
    <w:rsid w:val="00C649BC"/>
    <w:rsid w:val="00C752D3"/>
    <w:rsid w:val="00C8512A"/>
    <w:rsid w:val="00C94C9A"/>
    <w:rsid w:val="00CB0994"/>
    <w:rsid w:val="00CC0CAA"/>
    <w:rsid w:val="00CD67D3"/>
    <w:rsid w:val="00CF7BD6"/>
    <w:rsid w:val="00D21A5D"/>
    <w:rsid w:val="00D34A2D"/>
    <w:rsid w:val="00D35BBA"/>
    <w:rsid w:val="00D420C7"/>
    <w:rsid w:val="00D430CB"/>
    <w:rsid w:val="00D43727"/>
    <w:rsid w:val="00D5166D"/>
    <w:rsid w:val="00D617E2"/>
    <w:rsid w:val="00D624F4"/>
    <w:rsid w:val="00D65A8A"/>
    <w:rsid w:val="00D80A25"/>
    <w:rsid w:val="00D912F0"/>
    <w:rsid w:val="00D9315D"/>
    <w:rsid w:val="00D97976"/>
    <w:rsid w:val="00D97CA9"/>
    <w:rsid w:val="00DA7456"/>
    <w:rsid w:val="00DB6317"/>
    <w:rsid w:val="00DB75A0"/>
    <w:rsid w:val="00DC20B3"/>
    <w:rsid w:val="00DC412F"/>
    <w:rsid w:val="00DC684B"/>
    <w:rsid w:val="00DD27C5"/>
    <w:rsid w:val="00DD34A0"/>
    <w:rsid w:val="00DE17FD"/>
    <w:rsid w:val="00DE1FBB"/>
    <w:rsid w:val="00DF071D"/>
    <w:rsid w:val="00DF097F"/>
    <w:rsid w:val="00DF406E"/>
    <w:rsid w:val="00DF46DD"/>
    <w:rsid w:val="00DF6E86"/>
    <w:rsid w:val="00DF7594"/>
    <w:rsid w:val="00E04BF7"/>
    <w:rsid w:val="00E0514B"/>
    <w:rsid w:val="00E073CC"/>
    <w:rsid w:val="00E2005F"/>
    <w:rsid w:val="00E20F8E"/>
    <w:rsid w:val="00E2560E"/>
    <w:rsid w:val="00E2617E"/>
    <w:rsid w:val="00E313C5"/>
    <w:rsid w:val="00E31471"/>
    <w:rsid w:val="00E31FF3"/>
    <w:rsid w:val="00E40AAF"/>
    <w:rsid w:val="00E4105F"/>
    <w:rsid w:val="00E419E7"/>
    <w:rsid w:val="00E45FB2"/>
    <w:rsid w:val="00E546B0"/>
    <w:rsid w:val="00E5668F"/>
    <w:rsid w:val="00E63510"/>
    <w:rsid w:val="00E652A9"/>
    <w:rsid w:val="00E66FED"/>
    <w:rsid w:val="00E71E89"/>
    <w:rsid w:val="00E72C29"/>
    <w:rsid w:val="00E80A3D"/>
    <w:rsid w:val="00E96C26"/>
    <w:rsid w:val="00EB1680"/>
    <w:rsid w:val="00EB2F99"/>
    <w:rsid w:val="00EC0CF8"/>
    <w:rsid w:val="00EE3FB2"/>
    <w:rsid w:val="00EE68DE"/>
    <w:rsid w:val="00F00455"/>
    <w:rsid w:val="00F060FB"/>
    <w:rsid w:val="00F10D33"/>
    <w:rsid w:val="00F15707"/>
    <w:rsid w:val="00F17925"/>
    <w:rsid w:val="00F225FD"/>
    <w:rsid w:val="00F23B76"/>
    <w:rsid w:val="00F2698A"/>
    <w:rsid w:val="00F27E60"/>
    <w:rsid w:val="00F30BE3"/>
    <w:rsid w:val="00F564DC"/>
    <w:rsid w:val="00F56EDA"/>
    <w:rsid w:val="00F63231"/>
    <w:rsid w:val="00F6778C"/>
    <w:rsid w:val="00F72B7E"/>
    <w:rsid w:val="00F901B8"/>
    <w:rsid w:val="00F920C7"/>
    <w:rsid w:val="00F960D5"/>
    <w:rsid w:val="00FA5ABF"/>
    <w:rsid w:val="00FA6DBB"/>
    <w:rsid w:val="00FB3BCB"/>
    <w:rsid w:val="00FB4DAC"/>
    <w:rsid w:val="00FB680E"/>
    <w:rsid w:val="00FC0116"/>
    <w:rsid w:val="00FC17D8"/>
    <w:rsid w:val="00FC2526"/>
    <w:rsid w:val="00FD4594"/>
    <w:rsid w:val="00FD57F7"/>
    <w:rsid w:val="00FD6A80"/>
    <w:rsid w:val="00FE0B2D"/>
    <w:rsid w:val="00FE18A2"/>
    <w:rsid w:val="00FE2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41C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85F2D"/>
    <w:pPr>
      <w:autoSpaceDE w:val="0"/>
      <w:autoSpaceDN w:val="0"/>
      <w:adjustRightInd w:val="0"/>
      <w:jc w:val="both"/>
    </w:pPr>
    <w:rPr>
      <w:rFonts w:asciiTheme="minorHAnsi" w:hAnsiTheme="minorHAnsi"/>
      <w:noProof/>
      <w:sz w:val="24"/>
      <w:lang w:val="en-US"/>
    </w:rPr>
  </w:style>
  <w:style w:type="paragraph" w:styleId="Nadpis1">
    <w:name w:val="heading 1"/>
    <w:basedOn w:val="Normln"/>
    <w:next w:val="Normln"/>
    <w:link w:val="Nadpis1Char"/>
    <w:qFormat/>
    <w:rsid w:val="00585F2D"/>
    <w:pPr>
      <w:keepNext/>
      <w:keepLines/>
      <w:spacing w:before="240" w:after="180"/>
      <w:jc w:val="center"/>
      <w:outlineLvl w:val="0"/>
    </w:pPr>
    <w:rPr>
      <w:rFonts w:eastAsiaTheme="majorEastAsia" w:cstheme="majorBidi"/>
      <w:b/>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tabs>
        <w:tab w:val="left" w:pos="1200"/>
        <w:tab w:val="left" w:pos="1470"/>
        <w:tab w:val="left" w:pos="1755"/>
        <w:tab w:val="left" w:pos="2055"/>
        <w:tab w:val="left" w:pos="2340"/>
        <w:tab w:val="left" w:pos="2610"/>
        <w:tab w:val="left" w:pos="2895"/>
        <w:tab w:val="left" w:pos="3192"/>
        <w:tab w:val="left" w:pos="3480"/>
      </w:tabs>
    </w:pPr>
    <w:rPr>
      <w:color w:val="000000"/>
      <w:sz w:val="22"/>
      <w:szCs w:val="22"/>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8" w:lineRule="auto"/>
    </w:pPr>
    <w:rPr>
      <w:i/>
      <w:iCs/>
      <w:sz w:val="20"/>
      <w:szCs w:val="20"/>
    </w:rPr>
  </w:style>
  <w:style w:type="paragraph" w:customStyle="1" w:styleId="Nadpis">
    <w:name w:val="Nadpis"/>
    <w:basedOn w:val="Normln"/>
    <w:pPr>
      <w:widowControl w:val="0"/>
      <w:spacing w:before="141" w:after="73"/>
    </w:pPr>
    <w:rPr>
      <w:b/>
      <w:bCs/>
      <w:color w:val="000000"/>
      <w:sz w:val="36"/>
      <w:szCs w:val="36"/>
    </w:rPr>
  </w:style>
  <w:style w:type="paragraph" w:customStyle="1" w:styleId="Stnovannadpis">
    <w:name w:val="Stínovaný nadpis"/>
    <w:basedOn w:val="Nadpis"/>
    <w:next w:val="Odstavec"/>
    <w:pPr>
      <w:shd w:val="solid" w:color="000000" w:fill="auto"/>
      <w:jc w:val="center"/>
    </w:pPr>
    <w:rPr>
      <w:color w:val="FFFFFF"/>
    </w:rPr>
  </w:style>
  <w:style w:type="paragraph" w:styleId="Seznamsodrkami">
    <w:name w:val="List Bullet"/>
    <w:basedOn w:val="Zkladntext"/>
    <w:autoRedefine/>
    <w:pPr>
      <w:spacing w:line="218" w:lineRule="auto"/>
      <w:ind w:left="480" w:hanging="480"/>
    </w:pPr>
  </w:style>
  <w:style w:type="paragraph" w:customStyle="1" w:styleId="Seznamoslovan">
    <w:name w:val="Seznam oèíslovaný"/>
    <w:basedOn w:val="Zkladntext"/>
    <w:pPr>
      <w:spacing w:line="218" w:lineRule="auto"/>
      <w:ind w:left="480" w:hanging="480"/>
    </w:pPr>
  </w:style>
  <w:style w:type="paragraph" w:customStyle="1" w:styleId="dka">
    <w:name w:val="Øádka"/>
    <w:basedOn w:val="Normln"/>
    <w:pPr>
      <w:widowControl w:val="0"/>
    </w:pPr>
    <w:rPr>
      <w:color w:val="000000"/>
    </w:rPr>
  </w:style>
  <w:style w:type="paragraph" w:customStyle="1" w:styleId="Znaka">
    <w:name w:val="Znaèka"/>
    <w:basedOn w:val="Normln"/>
    <w:pPr>
      <w:widowControl w:val="0"/>
      <w:tabs>
        <w:tab w:val="left" w:leader="underscore" w:pos="0"/>
      </w:tabs>
      <w:ind w:left="340" w:hanging="340"/>
    </w:pPr>
    <w:rPr>
      <w:color w:val="000000"/>
      <w:sz w:val="22"/>
      <w:szCs w:val="22"/>
    </w:rPr>
  </w:style>
  <w:style w:type="paragraph" w:customStyle="1" w:styleId="Znaka1">
    <w:name w:val="Znaèka 1"/>
    <w:basedOn w:val="Normln"/>
    <w:pPr>
      <w:widowControl w:val="0"/>
      <w:ind w:left="629" w:hanging="340"/>
    </w:pPr>
    <w:rPr>
      <w:color w:val="000000"/>
      <w:sz w:val="22"/>
      <w:szCs w:val="22"/>
    </w:rPr>
  </w:style>
  <w:style w:type="paragraph" w:customStyle="1" w:styleId="sloseznamu">
    <w:name w:val="Èíslo seznamu"/>
    <w:basedOn w:val="Normln"/>
    <w:pPr>
      <w:widowControl w:val="0"/>
      <w:ind w:left="357" w:hanging="301"/>
    </w:pPr>
    <w:rPr>
      <w:color w:val="000000"/>
      <w:sz w:val="22"/>
      <w:szCs w:val="22"/>
    </w:rPr>
  </w:style>
  <w:style w:type="paragraph" w:customStyle="1" w:styleId="Podnadpis1">
    <w:name w:val="Podnadpis1"/>
    <w:basedOn w:val="Normln"/>
    <w:pPr>
      <w:widowControl w:val="0"/>
      <w:spacing w:before="73" w:after="73"/>
    </w:pPr>
    <w:rPr>
      <w:b/>
      <w:bCs/>
      <w:color w:val="000000"/>
      <w:sz w:val="28"/>
      <w:szCs w:val="28"/>
    </w:rPr>
  </w:style>
  <w:style w:type="paragraph" w:styleId="Zhlav">
    <w:name w:val="header"/>
    <w:basedOn w:val="Normln"/>
    <w:pPr>
      <w:widowControl w:val="0"/>
    </w:pPr>
    <w:rPr>
      <w:color w:val="000000"/>
    </w:rPr>
  </w:style>
  <w:style w:type="paragraph" w:customStyle="1" w:styleId="Pata">
    <w:name w:val="Pata"/>
    <w:basedOn w:val="Normln"/>
    <w:pPr>
      <w:widowControl w:val="0"/>
    </w:pPr>
    <w:rPr>
      <w:color w:val="000000"/>
    </w:rPr>
  </w:style>
  <w:style w:type="table" w:styleId="Mkatabulky">
    <w:name w:val="Table Grid"/>
    <w:basedOn w:val="Normlntabulka"/>
    <w:rsid w:val="00F1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styleId="Hypertextovodkaz">
    <w:name w:val="Hyperlink"/>
    <w:uiPriority w:val="99"/>
    <w:rsid w:val="00A02478"/>
    <w:rPr>
      <w:color w:val="0000FF"/>
      <w:u w:val="single"/>
    </w:rPr>
  </w:style>
  <w:style w:type="paragraph" w:styleId="Rozloendokumentu">
    <w:name w:val="Document Map"/>
    <w:basedOn w:val="Normln"/>
    <w:semiHidden/>
    <w:rsid w:val="00144BF1"/>
    <w:pPr>
      <w:shd w:val="clear" w:color="auto" w:fill="000080"/>
    </w:pPr>
    <w:rPr>
      <w:rFonts w:ascii="Tahoma" w:hAnsi="Tahoma" w:cs="Tahoma"/>
    </w:rPr>
  </w:style>
  <w:style w:type="paragraph" w:styleId="Textbubliny">
    <w:name w:val="Balloon Text"/>
    <w:basedOn w:val="Normln"/>
    <w:semiHidden/>
    <w:rsid w:val="00853589"/>
    <w:rPr>
      <w:rFonts w:ascii="Tahoma" w:hAnsi="Tahoma" w:cs="Tahoma"/>
      <w:sz w:val="16"/>
      <w:szCs w:val="16"/>
    </w:rPr>
  </w:style>
  <w:style w:type="character" w:styleId="slostrnky">
    <w:name w:val="page number"/>
    <w:basedOn w:val="Standardnpsmoodstavce"/>
    <w:rsid w:val="00E96C26"/>
  </w:style>
  <w:style w:type="paragraph" w:styleId="Odstavecseseznamem">
    <w:name w:val="List Paragraph"/>
    <w:basedOn w:val="Normln"/>
    <w:uiPriority w:val="34"/>
    <w:qFormat/>
    <w:rsid w:val="00E2560E"/>
    <w:pPr>
      <w:ind w:left="708"/>
    </w:pPr>
  </w:style>
  <w:style w:type="character" w:styleId="Odkaznakoment">
    <w:name w:val="annotation reference"/>
    <w:rsid w:val="00707FFE"/>
    <w:rPr>
      <w:sz w:val="16"/>
      <w:szCs w:val="16"/>
    </w:rPr>
  </w:style>
  <w:style w:type="paragraph" w:styleId="Textkomente">
    <w:name w:val="annotation text"/>
    <w:basedOn w:val="Normln"/>
    <w:link w:val="TextkomenteChar"/>
    <w:rsid w:val="00707FFE"/>
  </w:style>
  <w:style w:type="character" w:customStyle="1" w:styleId="TextkomenteChar">
    <w:name w:val="Text komentáře Char"/>
    <w:link w:val="Textkomente"/>
    <w:rsid w:val="00707FFE"/>
    <w:rPr>
      <w:noProof/>
      <w:lang w:val="en-US"/>
    </w:rPr>
  </w:style>
  <w:style w:type="paragraph" w:styleId="Pedmtkomente">
    <w:name w:val="annotation subject"/>
    <w:basedOn w:val="Textkomente"/>
    <w:next w:val="Textkomente"/>
    <w:link w:val="PedmtkomenteChar"/>
    <w:rsid w:val="00707FFE"/>
    <w:rPr>
      <w:b/>
      <w:bCs/>
    </w:rPr>
  </w:style>
  <w:style w:type="character" w:customStyle="1" w:styleId="PedmtkomenteChar">
    <w:name w:val="Předmět komentáře Char"/>
    <w:link w:val="Pedmtkomente"/>
    <w:rsid w:val="00707FFE"/>
    <w:rPr>
      <w:b/>
      <w:bCs/>
      <w:noProof/>
      <w:lang w:val="en-US"/>
    </w:rPr>
  </w:style>
  <w:style w:type="paragraph" w:customStyle="1" w:styleId="ZhlavAdresa">
    <w:name w:val="Záhlaví Adresa"/>
    <w:basedOn w:val="Normln"/>
    <w:autoRedefine/>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Cs w:val="24"/>
      <w:lang w:val="cs-CZ"/>
    </w:rPr>
  </w:style>
  <w:style w:type="paragraph" w:customStyle="1" w:styleId="ZhlavFEL">
    <w:name w:val="Záhlaví FEL"/>
    <w:basedOn w:val="Normln"/>
    <w:autoRedefine/>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ZpatChar">
    <w:name w:val="Zápatí Char"/>
    <w:link w:val="Zpat"/>
    <w:uiPriority w:val="99"/>
    <w:rsid w:val="00015A6C"/>
    <w:rPr>
      <w:noProof/>
      <w:lang w:val="en-US"/>
    </w:rPr>
  </w:style>
  <w:style w:type="paragraph" w:styleId="Zkladntext2">
    <w:name w:val="Body Text 2"/>
    <w:basedOn w:val="Normln"/>
    <w:link w:val="Zkladntext2Char"/>
    <w:semiHidden/>
    <w:unhideWhenUsed/>
    <w:rsid w:val="00B6785E"/>
    <w:pPr>
      <w:spacing w:after="120" w:line="480" w:lineRule="auto"/>
    </w:pPr>
  </w:style>
  <w:style w:type="character" w:customStyle="1" w:styleId="Zkladntext2Char">
    <w:name w:val="Základní text 2 Char"/>
    <w:basedOn w:val="Standardnpsmoodstavce"/>
    <w:link w:val="Zkladntext2"/>
    <w:semiHidden/>
    <w:rsid w:val="00B6785E"/>
    <w:rPr>
      <w:noProof/>
      <w:lang w:val="en-US"/>
    </w:rPr>
  </w:style>
  <w:style w:type="paragraph" w:styleId="Zkladntext3">
    <w:name w:val="Body Text 3"/>
    <w:basedOn w:val="Normln"/>
    <w:link w:val="Zkladntext3Char"/>
    <w:semiHidden/>
    <w:unhideWhenUsed/>
    <w:rsid w:val="00B6785E"/>
    <w:pPr>
      <w:spacing w:after="120"/>
    </w:pPr>
    <w:rPr>
      <w:sz w:val="16"/>
      <w:szCs w:val="16"/>
    </w:rPr>
  </w:style>
  <w:style w:type="character" w:customStyle="1" w:styleId="Zkladntext3Char">
    <w:name w:val="Základní text 3 Char"/>
    <w:basedOn w:val="Standardnpsmoodstavce"/>
    <w:link w:val="Zkladntext3"/>
    <w:semiHidden/>
    <w:rsid w:val="00B6785E"/>
    <w:rPr>
      <w:noProof/>
      <w:sz w:val="16"/>
      <w:szCs w:val="16"/>
      <w:lang w:val="en-US"/>
    </w:rPr>
  </w:style>
  <w:style w:type="character" w:customStyle="1" w:styleId="Nadpis1Char">
    <w:name w:val="Nadpis 1 Char"/>
    <w:basedOn w:val="Standardnpsmoodstavce"/>
    <w:link w:val="Nadpis1"/>
    <w:rsid w:val="00585F2D"/>
    <w:rPr>
      <w:rFonts w:asciiTheme="minorHAnsi" w:eastAsiaTheme="majorEastAsia" w:hAnsiTheme="minorHAnsi" w:cstheme="majorBidi"/>
      <w:b/>
      <w:noProof/>
      <w:sz w:val="24"/>
      <w:szCs w:val="32"/>
      <w:lang w:val="en-US"/>
    </w:rPr>
  </w:style>
  <w:style w:type="character" w:styleId="Sledovanodkaz">
    <w:name w:val="FollowedHyperlink"/>
    <w:basedOn w:val="Standardnpsmoodstavce"/>
    <w:semiHidden/>
    <w:unhideWhenUsed/>
    <w:rsid w:val="00067489"/>
    <w:rPr>
      <w:color w:val="800080" w:themeColor="followedHyperlink"/>
      <w:u w:val="single"/>
    </w:rPr>
  </w:style>
  <w:style w:type="character" w:styleId="Nevyeenzmnka">
    <w:name w:val="Unresolved Mention"/>
    <w:basedOn w:val="Standardnpsmoodstavce"/>
    <w:uiPriority w:val="99"/>
    <w:semiHidden/>
    <w:unhideWhenUsed/>
    <w:rsid w:val="001A5C25"/>
    <w:rPr>
      <w:color w:val="605E5C"/>
      <w:shd w:val="clear" w:color="auto" w:fill="E1DFDD"/>
    </w:rPr>
  </w:style>
  <w:style w:type="paragraph" w:customStyle="1" w:styleId="PFI-odstavec">
    <w:name w:val="PFI-odstavec"/>
    <w:basedOn w:val="Normln"/>
    <w:link w:val="PFI-odstavecChar"/>
    <w:uiPriority w:val="99"/>
    <w:rsid w:val="00FD4594"/>
    <w:pPr>
      <w:tabs>
        <w:tab w:val="num" w:pos="680"/>
      </w:tabs>
      <w:suppressAutoHyphens/>
      <w:autoSpaceDE/>
      <w:autoSpaceDN/>
      <w:adjustRightInd/>
      <w:spacing w:after="120"/>
    </w:pPr>
    <w:rPr>
      <w:rFonts w:ascii="Heuristica" w:hAnsi="Heuristica"/>
      <w:noProof w:val="0"/>
      <w:sz w:val="22"/>
      <w:szCs w:val="24"/>
      <w:lang w:val="x-none" w:eastAsia="ar-SA"/>
    </w:rPr>
  </w:style>
  <w:style w:type="character" w:customStyle="1" w:styleId="PFI-odstavecChar">
    <w:name w:val="PFI-odstavec Char"/>
    <w:link w:val="PFI-odstavec"/>
    <w:uiPriority w:val="99"/>
    <w:rsid w:val="00FD4594"/>
    <w:rPr>
      <w:rFonts w:ascii="Heuristica" w:hAnsi="Heuristica"/>
      <w:sz w:val="22"/>
      <w:szCs w:val="24"/>
      <w:lang w:val="x-none" w:eastAsia="ar-SA"/>
    </w:rPr>
  </w:style>
  <w:style w:type="paragraph" w:customStyle="1" w:styleId="Normal2">
    <w:name w:val="Normal_2"/>
    <w:rsid w:val="00352549"/>
    <w:pPr>
      <w:suppressAutoHyphens/>
      <w:spacing w:line="320" w:lineRule="atLeast"/>
      <w:ind w:left="425"/>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047310">
      <w:bodyDiv w:val="1"/>
      <w:marLeft w:val="0"/>
      <w:marRight w:val="0"/>
      <w:marTop w:val="0"/>
      <w:marBottom w:val="0"/>
      <w:divBdr>
        <w:top w:val="none" w:sz="0" w:space="0" w:color="auto"/>
        <w:left w:val="none" w:sz="0" w:space="0" w:color="auto"/>
        <w:bottom w:val="none" w:sz="0" w:space="0" w:color="auto"/>
        <w:right w:val="none" w:sz="0" w:space="0" w:color="auto"/>
      </w:divBdr>
    </w:div>
    <w:div w:id="15849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how-to-participate/reference-documents?selectedProgrammePeriod=2014-20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info/funding-tenders/opportunities/portal/screen/how-to-participate/reference-documents?programmePeriod=2021-2027&amp;frameworkProgramme=43152860" TargetMode="External"/><Relationship Id="rId4" Type="http://schemas.openxmlformats.org/officeDocument/2006/relationships/settings" Target="settings.xml"/><Relationship Id="rId9" Type="http://schemas.openxmlformats.org/officeDocument/2006/relationships/hyperlink" Target="https://ec.europa.eu/info/funding-tenders/opportunities/portal/screen/how-to-participate/reference-documents?programmePeriod=2021-2027&amp;frameworkProgramme=43108390"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E22A4-E85B-467F-AD44-659D09E1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3266</Words>
  <Characters>19272</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2025-11-26T13:57:00Z</dcterms:created>
  <dcterms:modified xsi:type="dcterms:W3CDTF">2025-11-26T13:57:00Z</dcterms:modified>
</cp:coreProperties>
</file>