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7D36F58C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</w:t>
      </w:r>
      <w:r w:rsidR="00123B63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D73497">
        <w:rPr>
          <w:rFonts w:ascii="Arial" w:hAnsi="Arial"/>
          <w:spacing w:val="0"/>
          <w:kern w:val="0"/>
          <w:sz w:val="24"/>
          <w:szCs w:val="24"/>
        </w:rPr>
        <w:t>1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033E6C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D73497">
        <w:rPr>
          <w:rFonts w:ascii="Arial" w:hAnsi="Arial"/>
          <w:spacing w:val="0"/>
          <w:kern w:val="0"/>
          <w:sz w:val="24"/>
          <w:szCs w:val="24"/>
        </w:rPr>
        <w:t>27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2EF8CBD6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23B63">
        <w:rPr>
          <w:rFonts w:ascii="Arial" w:hAnsi="Arial" w:cs="Arial"/>
          <w:b/>
          <w:bCs/>
          <w:sz w:val="20"/>
          <w:szCs w:val="20"/>
        </w:rPr>
        <w:t xml:space="preserve">č. </w:t>
      </w:r>
      <w:r w:rsidR="00D73497">
        <w:rPr>
          <w:rFonts w:ascii="Arial" w:hAnsi="Arial" w:cs="Arial"/>
          <w:b/>
          <w:bCs/>
          <w:sz w:val="20"/>
          <w:szCs w:val="20"/>
        </w:rPr>
        <w:t>1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9326DFE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 xml:space="preserve">dle zákona </w:t>
      </w:r>
      <w:r w:rsidR="00123B63">
        <w:rPr>
          <w:rFonts w:ascii="Arial" w:hAnsi="Arial" w:cs="Arial"/>
          <w:sz w:val="20"/>
          <w:szCs w:val="20"/>
        </w:rPr>
        <w:t xml:space="preserve">č. </w:t>
      </w:r>
      <w:r w:rsidR="00DD62D2">
        <w:rPr>
          <w:rFonts w:ascii="Arial" w:hAnsi="Arial" w:cs="Arial"/>
          <w:sz w:val="20"/>
          <w:szCs w:val="20"/>
        </w:rPr>
        <w:t>1</w:t>
      </w:r>
      <w:r w:rsidR="00E54EC4" w:rsidRPr="00E54EC4">
        <w:rPr>
          <w:rFonts w:ascii="Arial" w:hAnsi="Arial" w:cs="Arial"/>
          <w:sz w:val="20"/>
          <w:szCs w:val="20"/>
        </w:rPr>
        <w:t>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E6731E6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9367ED">
        <w:rPr>
          <w:rFonts w:ascii="Arial" w:hAnsi="Arial" w:cs="Arial"/>
          <w:sz w:val="20"/>
          <w:szCs w:val="20"/>
        </w:rPr>
        <w:t>Ing</w:t>
      </w:r>
      <w:r w:rsidR="00D73497">
        <w:rPr>
          <w:rFonts w:ascii="Arial" w:hAnsi="Arial" w:cs="Arial"/>
          <w:sz w:val="20"/>
          <w:szCs w:val="20"/>
        </w:rPr>
        <w:t xml:space="preserve">. Karlem </w:t>
      </w:r>
      <w:proofErr w:type="spellStart"/>
      <w:r w:rsidR="009367ED">
        <w:rPr>
          <w:rFonts w:ascii="Arial" w:hAnsi="Arial" w:cs="Arial"/>
          <w:sz w:val="20"/>
          <w:szCs w:val="20"/>
        </w:rPr>
        <w:t>Trpkošem</w:t>
      </w:r>
      <w:proofErr w:type="spellEnd"/>
      <w:r w:rsidR="00D73497">
        <w:rPr>
          <w:rFonts w:ascii="Arial" w:hAnsi="Arial" w:cs="Arial"/>
          <w:sz w:val="20"/>
          <w:szCs w:val="20"/>
        </w:rPr>
        <w:t xml:space="preserve">, </w:t>
      </w:r>
      <w:r w:rsidR="009367ED">
        <w:rPr>
          <w:rFonts w:ascii="Arial" w:hAnsi="Arial" w:cs="Arial"/>
          <w:sz w:val="20"/>
          <w:szCs w:val="20"/>
        </w:rPr>
        <w:t xml:space="preserve">vrchním </w:t>
      </w:r>
      <w:r w:rsidR="00D73497">
        <w:rPr>
          <w:rFonts w:ascii="Arial" w:hAnsi="Arial" w:cs="Arial"/>
          <w:sz w:val="20"/>
          <w:szCs w:val="20"/>
        </w:rPr>
        <w:t xml:space="preserve">ředitelem </w:t>
      </w:r>
      <w:r w:rsidR="009367ED">
        <w:rPr>
          <w:rFonts w:ascii="Arial" w:hAnsi="Arial" w:cs="Arial"/>
          <w:sz w:val="20"/>
          <w:szCs w:val="20"/>
        </w:rPr>
        <w:t>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51C042C" w14:textId="77777777" w:rsidR="00D73497" w:rsidRDefault="00D73497" w:rsidP="00D73497">
      <w:pPr>
        <w:spacing w:after="0" w:line="280" w:lineRule="atLeast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>: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C54EA">
        <w:rPr>
          <w:rFonts w:ascii="Arial" w:hAnsi="Arial" w:cs="Arial"/>
          <w:b/>
          <w:bCs/>
          <w:sz w:val="20"/>
          <w:szCs w:val="22"/>
        </w:rPr>
        <w:t xml:space="preserve">Sdružení </w:t>
      </w:r>
      <w:r>
        <w:rPr>
          <w:rFonts w:ascii="Arial" w:hAnsi="Arial" w:cs="Arial"/>
          <w:b/>
          <w:bCs/>
          <w:sz w:val="20"/>
          <w:szCs w:val="22"/>
        </w:rPr>
        <w:t>PORTOS</w:t>
      </w:r>
      <w:r w:rsidRPr="001C54EA">
        <w:rPr>
          <w:rFonts w:ascii="Arial" w:hAnsi="Arial" w:cs="Arial"/>
          <w:b/>
          <w:bCs/>
          <w:sz w:val="20"/>
          <w:szCs w:val="22"/>
        </w:rPr>
        <w:t xml:space="preserve"> + MTL</w:t>
      </w:r>
    </w:p>
    <w:p w14:paraId="4ED8F0C3" w14:textId="77777777" w:rsidR="00D73497" w:rsidRPr="001C54EA" w:rsidRDefault="00D73497" w:rsidP="00D73497">
      <w:pPr>
        <w:spacing w:before="120" w:after="0" w:line="280" w:lineRule="atLeast"/>
        <w:rPr>
          <w:rFonts w:ascii="Arial" w:hAnsi="Arial" w:cs="Arial"/>
          <w:b/>
          <w:bCs/>
          <w:sz w:val="16"/>
          <w:szCs w:val="16"/>
        </w:rPr>
      </w:pPr>
      <w:r w:rsidRPr="00893024">
        <w:rPr>
          <w:rFonts w:ascii="Arial" w:hAnsi="Arial" w:cs="Arial"/>
          <w:b/>
          <w:bCs/>
          <w:sz w:val="20"/>
        </w:rPr>
        <w:t>PORTOS, advokátní kancelář s.r.o.</w:t>
      </w:r>
    </w:p>
    <w:p w14:paraId="73994E84" w14:textId="77777777" w:rsidR="00D73497" w:rsidRPr="00DA665B" w:rsidRDefault="00D73497" w:rsidP="00D73497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5920D2">
        <w:rPr>
          <w:rFonts w:ascii="Arial" w:hAnsi="Arial" w:cs="Arial"/>
          <w:sz w:val="20"/>
          <w:szCs w:val="20"/>
        </w:rPr>
        <w:t>Hvězdova 1716/</w:t>
      </w:r>
      <w:proofErr w:type="gramStart"/>
      <w:r w:rsidRPr="005920D2">
        <w:rPr>
          <w:rFonts w:ascii="Arial" w:hAnsi="Arial" w:cs="Arial"/>
          <w:sz w:val="20"/>
          <w:szCs w:val="20"/>
        </w:rPr>
        <w:t>2b</w:t>
      </w:r>
      <w:proofErr w:type="gramEnd"/>
      <w:r w:rsidRPr="005920D2">
        <w:rPr>
          <w:rFonts w:ascii="Arial" w:hAnsi="Arial" w:cs="Arial"/>
          <w:sz w:val="20"/>
          <w:szCs w:val="20"/>
        </w:rPr>
        <w:t>, 140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Praha 4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5B660A73" w14:textId="77777777" w:rsidR="00D73497" w:rsidRPr="00E451E2" w:rsidRDefault="00D73497" w:rsidP="00D73497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48118753</w:t>
      </w:r>
      <w:r w:rsidRPr="00E451E2">
        <w:rPr>
          <w:rFonts w:ascii="Arial" w:hAnsi="Arial" w:cs="Arial"/>
          <w:sz w:val="20"/>
          <w:szCs w:val="20"/>
        </w:rPr>
        <w:tab/>
      </w:r>
    </w:p>
    <w:p w14:paraId="74ABB837" w14:textId="77777777" w:rsidR="00D73497" w:rsidRPr="00E451E2" w:rsidRDefault="00D73497" w:rsidP="00D73497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E451E2">
        <w:rPr>
          <w:rFonts w:ascii="Arial" w:hAnsi="Arial" w:cs="Arial"/>
          <w:sz w:val="20"/>
          <w:szCs w:val="20"/>
        </w:rPr>
        <w:t>48118753</w:t>
      </w:r>
    </w:p>
    <w:p w14:paraId="7AC6F908" w14:textId="20CB0A32" w:rsidR="00D73497" w:rsidRPr="00DA665B" w:rsidRDefault="00D73497" w:rsidP="00D73497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536E5" w:rsidRPr="004536E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E4CAD34" w14:textId="0020BF27" w:rsidR="00D73497" w:rsidRPr="004F306F" w:rsidRDefault="00D73497" w:rsidP="00D7349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F306F">
        <w:rPr>
          <w:rFonts w:ascii="Arial" w:hAnsi="Arial" w:cs="Arial"/>
          <w:bCs/>
          <w:sz w:val="20"/>
          <w:szCs w:val="20"/>
        </w:rPr>
        <w:t xml:space="preserve">zastoupena: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A70279">
        <w:rPr>
          <w:rFonts w:ascii="Arial" w:hAnsi="Arial" w:cs="Arial"/>
          <w:bCs/>
          <w:sz w:val="20"/>
          <w:szCs w:val="20"/>
        </w:rPr>
        <w:t>JUDr. Jaromírem Císařem, Ph.D.</w:t>
      </w:r>
      <w:r w:rsidR="00A70279" w:rsidRPr="004F306F">
        <w:rPr>
          <w:rFonts w:ascii="Arial" w:hAnsi="Arial" w:cs="Arial"/>
          <w:bCs/>
          <w:sz w:val="20"/>
          <w:szCs w:val="20"/>
        </w:rPr>
        <w:t xml:space="preserve">, </w:t>
      </w:r>
      <w:r w:rsidR="00A70279">
        <w:rPr>
          <w:rFonts w:ascii="Arial" w:hAnsi="Arial" w:cs="Arial"/>
          <w:bCs/>
          <w:sz w:val="20"/>
          <w:szCs w:val="20"/>
        </w:rPr>
        <w:t>jednatelem</w:t>
      </w:r>
      <w:r w:rsidRPr="004F306F">
        <w:rPr>
          <w:rFonts w:ascii="Arial" w:hAnsi="Arial" w:cs="Arial"/>
          <w:bCs/>
          <w:sz w:val="20"/>
          <w:szCs w:val="20"/>
        </w:rPr>
        <w:t xml:space="preserve"> </w:t>
      </w:r>
    </w:p>
    <w:p w14:paraId="1E9D8320" w14:textId="77777777" w:rsidR="00D73497" w:rsidRDefault="00D73497" w:rsidP="00D73497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A665B">
        <w:rPr>
          <w:rFonts w:ascii="Arial" w:hAnsi="Arial" w:cs="Arial"/>
          <w:sz w:val="20"/>
          <w:szCs w:val="20"/>
        </w:rPr>
        <w:t>vložka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2"/>
        </w:rPr>
        <w:t>212268</w:t>
      </w:r>
    </w:p>
    <w:p w14:paraId="1BBC374C" w14:textId="77777777" w:rsidR="00D73497" w:rsidRPr="00E451E2" w:rsidRDefault="00D73497" w:rsidP="00D73497">
      <w:pPr>
        <w:spacing w:before="120" w:after="0" w:line="280" w:lineRule="atLeast"/>
        <w:rPr>
          <w:rFonts w:ascii="Arial" w:hAnsi="Arial" w:cs="Arial"/>
          <w:b/>
          <w:bCs/>
          <w:sz w:val="14"/>
          <w:szCs w:val="14"/>
        </w:rPr>
      </w:pPr>
      <w:r w:rsidRPr="00E451E2">
        <w:rPr>
          <w:rFonts w:ascii="Arial" w:eastAsia="Calibri" w:hAnsi="Arial" w:cs="Arial"/>
          <w:b/>
          <w:bCs/>
          <w:sz w:val="20"/>
          <w:szCs w:val="22"/>
        </w:rPr>
        <w:t xml:space="preserve">MT </w:t>
      </w:r>
      <w:proofErr w:type="spellStart"/>
      <w:r w:rsidRPr="00E451E2">
        <w:rPr>
          <w:rFonts w:ascii="Arial" w:eastAsia="Calibri" w:hAnsi="Arial" w:cs="Arial"/>
          <w:b/>
          <w:bCs/>
          <w:sz w:val="20"/>
          <w:szCs w:val="22"/>
        </w:rPr>
        <w:t>Legal</w:t>
      </w:r>
      <w:proofErr w:type="spellEnd"/>
      <w:r w:rsidRPr="00E451E2">
        <w:rPr>
          <w:rFonts w:ascii="Arial" w:eastAsia="Calibri" w:hAnsi="Arial" w:cs="Arial"/>
          <w:b/>
          <w:bCs/>
          <w:sz w:val="20"/>
          <w:szCs w:val="22"/>
        </w:rPr>
        <w:t xml:space="preserve"> s.r.o., advokátní kancelář</w:t>
      </w:r>
    </w:p>
    <w:p w14:paraId="1EA21BD4" w14:textId="77777777" w:rsidR="00D73497" w:rsidRDefault="00D73497" w:rsidP="00D73497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Jana Babáka 2733/11, Královo Pole, 612 00 Brno</w:t>
      </w:r>
    </w:p>
    <w:p w14:paraId="4C1256DA" w14:textId="77777777" w:rsidR="00D73497" w:rsidRDefault="00D73497" w:rsidP="00D73497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Korespondenční adresa: Jugoslávská 620/29, 120 00 Praha 2 – Vinohrady </w:t>
      </w:r>
    </w:p>
    <w:p w14:paraId="769AC3EE" w14:textId="77777777" w:rsidR="00D73497" w:rsidRPr="00E451E2" w:rsidRDefault="00D73497" w:rsidP="00D73497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sz w:val="20"/>
          <w:szCs w:val="20"/>
        </w:rPr>
        <w:t>IČO:</w:t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  <w:t>28305043</w:t>
      </w:r>
      <w:r w:rsidRPr="00E451E2">
        <w:rPr>
          <w:rFonts w:ascii="Arial" w:hAnsi="Arial" w:cs="Arial"/>
          <w:sz w:val="20"/>
          <w:szCs w:val="20"/>
        </w:rPr>
        <w:tab/>
      </w:r>
    </w:p>
    <w:p w14:paraId="2A5B8064" w14:textId="77777777" w:rsidR="00D73497" w:rsidRPr="00DA665B" w:rsidRDefault="00D73497" w:rsidP="00D73497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E451E2">
        <w:rPr>
          <w:rFonts w:ascii="Arial" w:hAnsi="Arial" w:cs="Arial"/>
          <w:sz w:val="20"/>
          <w:szCs w:val="20"/>
        </w:rPr>
        <w:t>28305043</w:t>
      </w:r>
    </w:p>
    <w:p w14:paraId="13594AC8" w14:textId="162DC272" w:rsidR="00D73497" w:rsidRPr="00042012" w:rsidRDefault="00D73497" w:rsidP="00D73497">
      <w:pPr>
        <w:pStyle w:val="Default"/>
        <w:spacing w:line="280" w:lineRule="atLeast"/>
        <w:rPr>
          <w:rFonts w:ascii="Arial" w:hAnsi="Arial" w:cs="Arial"/>
          <w:color w:val="auto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536E5" w:rsidRPr="004536E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39694F3" w14:textId="77777777" w:rsidR="00D73497" w:rsidRPr="00DA665B" w:rsidRDefault="00D73497" w:rsidP="00D73497">
      <w:pPr>
        <w:numPr>
          <w:ilvl w:val="12"/>
          <w:numId w:val="0"/>
        </w:numPr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Petrem Novotným, LL.M., jednatelem</w:t>
      </w:r>
    </w:p>
    <w:p w14:paraId="22DD1442" w14:textId="77777777" w:rsidR="00D73497" w:rsidRDefault="00D73497" w:rsidP="00D73497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u Krajského soudu v Brně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>, oddíl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60014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9AFCD33" w14:textId="6195842B" w:rsidR="00123B63" w:rsidRPr="00372E4A" w:rsidRDefault="00123B63" w:rsidP="00372E4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033E6C">
        <w:rPr>
          <w:rFonts w:ascii="Arial" w:hAnsi="Arial" w:cs="Arial"/>
          <w:sz w:val="20"/>
          <w:szCs w:val="20"/>
        </w:rPr>
        <w:t>2</w:t>
      </w:r>
      <w:r w:rsidR="00D73497">
        <w:rPr>
          <w:rFonts w:ascii="Arial" w:hAnsi="Arial" w:cs="Arial"/>
          <w:sz w:val="20"/>
          <w:szCs w:val="20"/>
        </w:rPr>
        <w:t>2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D73497">
        <w:rPr>
          <w:rFonts w:ascii="Arial" w:hAnsi="Arial" w:cs="Arial"/>
          <w:sz w:val="20"/>
          <w:szCs w:val="20"/>
        </w:rPr>
        <w:t>10</w:t>
      </w:r>
      <w:r w:rsidRPr="003F5131">
        <w:rPr>
          <w:rFonts w:ascii="Arial" w:hAnsi="Arial" w:cs="Arial"/>
          <w:sz w:val="20"/>
          <w:szCs w:val="20"/>
        </w:rPr>
        <w:t>. 202</w:t>
      </w:r>
      <w:r w:rsidR="00D73497">
        <w:rPr>
          <w:rFonts w:ascii="Arial" w:hAnsi="Arial" w:cs="Arial"/>
          <w:sz w:val="20"/>
          <w:szCs w:val="20"/>
        </w:rPr>
        <w:t>4</w:t>
      </w:r>
      <w:r w:rsidRPr="003F5131">
        <w:rPr>
          <w:rFonts w:ascii="Arial" w:hAnsi="Arial" w:cs="Arial"/>
          <w:sz w:val="20"/>
          <w:szCs w:val="20"/>
        </w:rPr>
        <w:t xml:space="preserve"> Dílčí</w:t>
      </w:r>
      <w:r w:rsidR="00B67F40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smlouvu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D73497">
        <w:rPr>
          <w:rFonts w:ascii="Arial" w:hAnsi="Arial" w:cs="Arial"/>
          <w:sz w:val="20"/>
          <w:szCs w:val="20"/>
        </w:rPr>
        <w:t>27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</w:t>
      </w:r>
      <w:r w:rsidR="00033E6C">
        <w:rPr>
          <w:rFonts w:ascii="Arial" w:hAnsi="Arial" w:cs="Arial"/>
          <w:b/>
          <w:bCs/>
          <w:sz w:val="20"/>
          <w:szCs w:val="20"/>
        </w:rPr>
        <w:t xml:space="preserve">č. </w:t>
      </w:r>
      <w:r w:rsidR="00D73497">
        <w:rPr>
          <w:rFonts w:ascii="Arial" w:hAnsi="Arial" w:cs="Arial"/>
          <w:b/>
          <w:bCs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“). 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 xml:space="preserve">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D73497">
        <w:rPr>
          <w:rFonts w:ascii="Arial" w:hAnsi="Arial" w:cs="Arial"/>
          <w:sz w:val="20"/>
          <w:szCs w:val="20"/>
        </w:rPr>
        <w:t>27</w:t>
      </w:r>
      <w:r w:rsidRPr="003F51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>zav</w:t>
      </w:r>
      <w:r w:rsidR="00155B08">
        <w:rPr>
          <w:rFonts w:ascii="Arial" w:hAnsi="Arial" w:cs="Arial"/>
          <w:sz w:val="20"/>
          <w:szCs w:val="20"/>
        </w:rPr>
        <w:t>ázal</w:t>
      </w:r>
      <w:r w:rsidRPr="003F5131">
        <w:rPr>
          <w:rFonts w:ascii="Arial" w:hAnsi="Arial" w:cs="Arial"/>
          <w:sz w:val="20"/>
          <w:szCs w:val="20"/>
        </w:rPr>
        <w:t xml:space="preserve"> </w:t>
      </w:r>
      <w:r w:rsidR="00033E6C" w:rsidRPr="003F5131">
        <w:rPr>
          <w:rFonts w:ascii="Arial" w:hAnsi="Arial" w:cs="Arial"/>
          <w:sz w:val="20"/>
          <w:szCs w:val="20"/>
        </w:rPr>
        <w:t xml:space="preserve">poskytnout plnění spočívající v právním poradenství </w:t>
      </w:r>
      <w:r w:rsidR="00372E4A" w:rsidRPr="00372E4A">
        <w:rPr>
          <w:rFonts w:ascii="Arial" w:hAnsi="Arial" w:cs="Arial"/>
          <w:sz w:val="20"/>
          <w:szCs w:val="20"/>
          <w:lang w:eastAsia="en-US"/>
        </w:rPr>
        <w:t>v</w:t>
      </w:r>
      <w:r w:rsidR="00372E4A">
        <w:rPr>
          <w:rFonts w:ascii="Arial" w:hAnsi="Arial" w:cs="Arial"/>
          <w:sz w:val="20"/>
          <w:szCs w:val="20"/>
          <w:lang w:eastAsia="en-US"/>
        </w:rPr>
        <w:t> </w:t>
      </w:r>
      <w:r w:rsidR="00372E4A" w:rsidRPr="00372E4A">
        <w:rPr>
          <w:rFonts w:ascii="Arial" w:hAnsi="Arial" w:cs="Arial"/>
          <w:sz w:val="20"/>
          <w:szCs w:val="20"/>
          <w:lang w:eastAsia="en-US"/>
        </w:rPr>
        <w:t>rámci resortu MPSV spočívající v zajištění souladu, vyhodnocování, doporučení, konzultacích, analýzách a poskytovaní dalších forem poradenství v souvislosti s plněním požadavků Nařízení</w:t>
      </w:r>
      <w:r w:rsidR="00B67F40">
        <w:rPr>
          <w:rFonts w:ascii="Arial" w:hAnsi="Arial" w:cs="Arial"/>
          <w:sz w:val="20"/>
          <w:szCs w:val="20"/>
          <w:lang w:eastAsia="en-US"/>
        </w:rPr>
        <w:t> </w:t>
      </w:r>
      <w:r w:rsidR="00372E4A" w:rsidRPr="00372E4A">
        <w:rPr>
          <w:rFonts w:ascii="Arial" w:hAnsi="Arial" w:cs="Arial"/>
          <w:sz w:val="20"/>
          <w:szCs w:val="20"/>
          <w:lang w:eastAsia="en-US"/>
        </w:rPr>
        <w:t>EU č. 2016/679 o ochraně fyzických osob v souvislosti se zpracováním osobních údajů a o</w:t>
      </w:r>
      <w:r w:rsidR="00372E4A">
        <w:rPr>
          <w:rFonts w:ascii="Arial" w:hAnsi="Arial" w:cs="Arial"/>
          <w:sz w:val="20"/>
          <w:szCs w:val="20"/>
          <w:lang w:eastAsia="en-US"/>
        </w:rPr>
        <w:t> </w:t>
      </w:r>
      <w:r w:rsidR="00372E4A" w:rsidRPr="00372E4A">
        <w:rPr>
          <w:rFonts w:ascii="Arial" w:hAnsi="Arial" w:cs="Arial"/>
          <w:sz w:val="20"/>
          <w:szCs w:val="20"/>
          <w:lang w:eastAsia="en-US"/>
        </w:rPr>
        <w:t>volném pohybu těchto údajů a o zrušení směrnice 95/46/ES (obecné nařízení o ochraně osobních údajů)</w:t>
      </w:r>
      <w:r w:rsidR="00425FD7">
        <w:rPr>
          <w:rFonts w:ascii="Arial" w:hAnsi="Arial" w:cs="Arial"/>
          <w:sz w:val="20"/>
          <w:szCs w:val="20"/>
          <w:lang w:eastAsia="en-US"/>
        </w:rPr>
        <w:t>,</w:t>
      </w:r>
      <w:r w:rsidR="00372E4A" w:rsidRPr="00372E4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33E6C" w:rsidRPr="00372E4A">
        <w:rPr>
          <w:rFonts w:ascii="Arial" w:hAnsi="Arial" w:cs="Arial"/>
          <w:sz w:val="20"/>
          <w:szCs w:val="20"/>
        </w:rPr>
        <w:t>dále jen „</w:t>
      </w:r>
      <w:r w:rsidR="00033E6C" w:rsidRPr="00372E4A">
        <w:rPr>
          <w:rFonts w:ascii="Arial" w:hAnsi="Arial" w:cs="Arial"/>
          <w:b/>
          <w:bCs/>
          <w:sz w:val="20"/>
          <w:szCs w:val="20"/>
        </w:rPr>
        <w:t>Služby</w:t>
      </w:r>
      <w:r w:rsidR="00033E6C" w:rsidRPr="00372E4A">
        <w:rPr>
          <w:rFonts w:ascii="Arial" w:hAnsi="Arial" w:cs="Arial"/>
          <w:sz w:val="20"/>
          <w:szCs w:val="20"/>
        </w:rPr>
        <w:t>“.</w:t>
      </w:r>
    </w:p>
    <w:p w14:paraId="38175FF0" w14:textId="425ADF58" w:rsidR="003F5131" w:rsidRDefault="003F5131" w:rsidP="00425FD7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425FD7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425FD7">
        <w:rPr>
          <w:rFonts w:ascii="Arial" w:hAnsi="Arial" w:cs="Arial"/>
          <w:sz w:val="20"/>
          <w:szCs w:val="20"/>
        </w:rPr>
        <w:t>27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07A4380D" w14:textId="6052659F" w:rsidR="00D32BD9" w:rsidRPr="005B099A" w:rsidRDefault="005B099A" w:rsidP="005B09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425FD7">
        <w:rPr>
          <w:rFonts w:ascii="Arial" w:hAnsi="Arial" w:cs="Arial"/>
          <w:sz w:val="20"/>
          <w:szCs w:val="20"/>
          <w:lang w:eastAsia="en-US"/>
        </w:rPr>
        <w:t>1</w:t>
      </w:r>
      <w:r w:rsidR="005E518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</w:t>
      </w:r>
    </w:p>
    <w:p w14:paraId="73C85A78" w14:textId="039CBF3D" w:rsidR="003F5131" w:rsidRPr="00F7391B" w:rsidRDefault="003F5131" w:rsidP="00F7391B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>S ohledem na skutečnost, že na straně Objednatele přetrvává potřeba čerpat Služby dle</w:t>
      </w:r>
      <w:r w:rsidR="00B67F40">
        <w:rPr>
          <w:rFonts w:ascii="Arial" w:hAnsi="Arial" w:cs="Arial"/>
          <w:sz w:val="20"/>
          <w:szCs w:val="20"/>
        </w:rPr>
        <w:t> </w:t>
      </w:r>
      <w:r w:rsidRPr="001E4BAB">
        <w:rPr>
          <w:rFonts w:ascii="Arial" w:hAnsi="Arial" w:cs="Arial"/>
          <w:sz w:val="20"/>
          <w:szCs w:val="20"/>
        </w:rPr>
        <w:t>Dílčí</w:t>
      </w:r>
      <w:r w:rsidR="00B67F40">
        <w:rPr>
          <w:rFonts w:ascii="Arial" w:hAnsi="Arial" w:cs="Arial"/>
          <w:sz w:val="20"/>
          <w:szCs w:val="20"/>
        </w:rPr>
        <w:t> </w:t>
      </w:r>
      <w:r w:rsidRPr="001E4BAB">
        <w:rPr>
          <w:rFonts w:ascii="Arial" w:hAnsi="Arial" w:cs="Arial"/>
          <w:sz w:val="20"/>
          <w:szCs w:val="20"/>
        </w:rPr>
        <w:t xml:space="preserve">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425FD7">
        <w:rPr>
          <w:rFonts w:ascii="Arial" w:hAnsi="Arial" w:cs="Arial"/>
          <w:sz w:val="20"/>
          <w:szCs w:val="20"/>
        </w:rPr>
        <w:t>27</w:t>
      </w:r>
      <w:r w:rsidRPr="001E4BAB">
        <w:rPr>
          <w:rFonts w:ascii="Arial" w:hAnsi="Arial" w:cs="Arial"/>
          <w:sz w:val="20"/>
          <w:szCs w:val="20"/>
        </w:rPr>
        <w:t xml:space="preserve">, se </w:t>
      </w:r>
      <w:r w:rsidR="005F0348">
        <w:rPr>
          <w:rFonts w:ascii="Arial" w:hAnsi="Arial" w:cs="Arial"/>
          <w:sz w:val="20"/>
          <w:szCs w:val="20"/>
        </w:rPr>
        <w:t>S</w:t>
      </w:r>
      <w:r w:rsidRPr="001E4BAB">
        <w:rPr>
          <w:rFonts w:ascii="Arial" w:hAnsi="Arial" w:cs="Arial"/>
          <w:sz w:val="20"/>
          <w:szCs w:val="20"/>
        </w:rPr>
        <w:t>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</w:t>
      </w:r>
      <w:r w:rsidR="00213A5C">
        <w:rPr>
          <w:rFonts w:ascii="Arial" w:hAnsi="Arial" w:cs="Arial"/>
          <w:sz w:val="20"/>
          <w:szCs w:val="20"/>
        </w:rPr>
        <w:t xml:space="preserve">na prodloužení účinnosti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425FD7">
        <w:rPr>
          <w:rFonts w:ascii="Arial" w:hAnsi="Arial" w:cs="Arial"/>
          <w:sz w:val="20"/>
          <w:szCs w:val="20"/>
        </w:rPr>
        <w:t>27</w:t>
      </w:r>
      <w:r w:rsidR="000A1C3C">
        <w:rPr>
          <w:rFonts w:ascii="Arial" w:hAnsi="Arial" w:cs="Arial"/>
          <w:sz w:val="20"/>
          <w:szCs w:val="20"/>
        </w:rPr>
        <w:t xml:space="preserve"> dle tohoto Dodatku č. </w:t>
      </w:r>
      <w:r w:rsidR="00425FD7">
        <w:rPr>
          <w:rFonts w:ascii="Arial" w:hAnsi="Arial" w:cs="Arial"/>
          <w:sz w:val="20"/>
          <w:szCs w:val="20"/>
        </w:rPr>
        <w:t>1</w:t>
      </w:r>
      <w:r w:rsidR="00913964" w:rsidRPr="001E4BAB">
        <w:rPr>
          <w:rFonts w:ascii="Arial" w:hAnsi="Arial" w:cs="Arial"/>
          <w:sz w:val="20"/>
          <w:szCs w:val="20"/>
        </w:rPr>
        <w:t>, kdy je s ohledem na předchozí zapojení a znalost problematiky potřebné zachovat poskytov</w:t>
      </w:r>
      <w:r w:rsidR="005F0348">
        <w:rPr>
          <w:rFonts w:ascii="Arial" w:hAnsi="Arial" w:cs="Arial"/>
          <w:sz w:val="20"/>
          <w:szCs w:val="20"/>
        </w:rPr>
        <w:t>ání</w:t>
      </w:r>
      <w:r w:rsidR="00913964" w:rsidRPr="001E4BAB">
        <w:rPr>
          <w:rFonts w:ascii="Arial" w:hAnsi="Arial" w:cs="Arial"/>
          <w:sz w:val="20"/>
          <w:szCs w:val="20"/>
        </w:rPr>
        <w:t xml:space="preserve"> Služby </w:t>
      </w:r>
      <w:r w:rsidR="00913964" w:rsidRPr="004536E5">
        <w:rPr>
          <w:rFonts w:ascii="Arial" w:hAnsi="Arial" w:cs="Arial"/>
          <w:sz w:val="20"/>
          <w:szCs w:val="20"/>
        </w:rPr>
        <w:t>Poskytovatelem</w:t>
      </w:r>
      <w:r w:rsidR="00213A5C" w:rsidRPr="004536E5">
        <w:rPr>
          <w:rFonts w:ascii="Arial" w:hAnsi="Arial" w:cs="Arial"/>
          <w:sz w:val="20"/>
          <w:szCs w:val="20"/>
        </w:rPr>
        <w:t>.</w:t>
      </w:r>
      <w:r w:rsidR="00CB0CE5" w:rsidRPr="004536E5">
        <w:rPr>
          <w:rFonts w:ascii="Arial" w:hAnsi="Arial" w:cs="Arial"/>
          <w:sz w:val="20"/>
          <w:szCs w:val="20"/>
        </w:rPr>
        <w:t xml:space="preserve"> Současně na straně Objednatele vyvstala nutná potřeba právního poradenství také v souvislosti s </w:t>
      </w:r>
      <w:r w:rsidR="00F7391B" w:rsidRPr="004536E5">
        <w:rPr>
          <w:rFonts w:ascii="Arial" w:hAnsi="Arial" w:cs="Arial"/>
          <w:sz w:val="20"/>
          <w:szCs w:val="20"/>
        </w:rPr>
        <w:t>naplňováním požadavků vyplývajících z vyhlášky č. 82/2018 Sb., o kybernetické bezpečnosti</w:t>
      </w:r>
      <w:r w:rsidR="00AE0193" w:rsidRPr="004536E5">
        <w:rPr>
          <w:rFonts w:ascii="Arial" w:hAnsi="Arial" w:cs="Arial"/>
          <w:sz w:val="20"/>
          <w:szCs w:val="20"/>
        </w:rPr>
        <w:t xml:space="preserve">, požadavků vzniklých na základě změny zákona č. 264/2025 Sb., o kybernetické bezpečnosti, který nabyl účinnosti k 1. listopadu 2025 a v souvislosti s aktuálními varováními, </w:t>
      </w:r>
      <w:proofErr w:type="spellStart"/>
      <w:r w:rsidR="00AE0193" w:rsidRPr="004536E5">
        <w:rPr>
          <w:rFonts w:ascii="Arial" w:hAnsi="Arial" w:cs="Arial"/>
          <w:sz w:val="20"/>
          <w:szCs w:val="20"/>
        </w:rPr>
        <w:t>doporučními</w:t>
      </w:r>
      <w:proofErr w:type="spellEnd"/>
      <w:r w:rsidR="00AE0193" w:rsidRPr="004536E5">
        <w:rPr>
          <w:rFonts w:ascii="Arial" w:hAnsi="Arial" w:cs="Arial"/>
          <w:sz w:val="20"/>
          <w:szCs w:val="20"/>
        </w:rPr>
        <w:t xml:space="preserve"> a ro</w:t>
      </w:r>
      <w:r w:rsidR="00CB0CE5" w:rsidRPr="004536E5">
        <w:rPr>
          <w:rFonts w:ascii="Arial" w:hAnsi="Arial" w:cs="Arial"/>
          <w:sz w:val="20"/>
          <w:szCs w:val="20"/>
        </w:rPr>
        <w:t>zhodnutím</w:t>
      </w:r>
      <w:r w:rsidR="00AE0193" w:rsidRPr="004536E5">
        <w:rPr>
          <w:rFonts w:ascii="Arial" w:hAnsi="Arial" w:cs="Arial"/>
          <w:sz w:val="20"/>
          <w:szCs w:val="20"/>
        </w:rPr>
        <w:t>i</w:t>
      </w:r>
      <w:r w:rsidR="00CB0CE5" w:rsidRPr="004536E5">
        <w:rPr>
          <w:rFonts w:ascii="Arial" w:hAnsi="Arial" w:cs="Arial"/>
          <w:sz w:val="20"/>
          <w:szCs w:val="20"/>
        </w:rPr>
        <w:t xml:space="preserve"> </w:t>
      </w:r>
      <w:r w:rsidR="00AE0193" w:rsidRPr="004536E5">
        <w:rPr>
          <w:rFonts w:ascii="Arial" w:hAnsi="Arial" w:cs="Arial"/>
          <w:sz w:val="20"/>
          <w:szCs w:val="20"/>
        </w:rPr>
        <w:t>Národního úřadu pro kybernetickou bezpečnosti</w:t>
      </w:r>
      <w:r w:rsidR="00CB0CE5" w:rsidRPr="004536E5">
        <w:rPr>
          <w:rFonts w:ascii="Arial" w:hAnsi="Arial" w:cs="Arial"/>
          <w:sz w:val="20"/>
          <w:szCs w:val="20"/>
        </w:rPr>
        <w:t xml:space="preserve">. Smluvní strany </w:t>
      </w:r>
      <w:r w:rsidR="00F7391B" w:rsidRPr="004536E5">
        <w:rPr>
          <w:rFonts w:ascii="Arial" w:hAnsi="Arial" w:cs="Arial"/>
          <w:sz w:val="20"/>
          <w:szCs w:val="20"/>
        </w:rPr>
        <w:t xml:space="preserve">tak </w:t>
      </w:r>
      <w:r w:rsidR="00CB0CE5" w:rsidRPr="004536E5">
        <w:rPr>
          <w:rFonts w:ascii="Arial" w:hAnsi="Arial" w:cs="Arial"/>
          <w:sz w:val="20"/>
          <w:szCs w:val="20"/>
        </w:rPr>
        <w:t xml:space="preserve">dohodly </w:t>
      </w:r>
      <w:r w:rsidR="00F7391B" w:rsidRPr="004536E5">
        <w:rPr>
          <w:rFonts w:ascii="Arial" w:hAnsi="Arial" w:cs="Arial"/>
          <w:sz w:val="20"/>
          <w:szCs w:val="20"/>
        </w:rPr>
        <w:t xml:space="preserve">rovněž </w:t>
      </w:r>
      <w:r w:rsidR="00CB0CE5" w:rsidRPr="004536E5">
        <w:rPr>
          <w:rFonts w:ascii="Arial" w:hAnsi="Arial" w:cs="Arial"/>
          <w:sz w:val="20"/>
          <w:szCs w:val="20"/>
        </w:rPr>
        <w:t>na rozšíření objednaných služeb, a to způsobem uvedeným dále</w:t>
      </w:r>
      <w:r w:rsidR="00CB0CE5" w:rsidRPr="00F7391B">
        <w:rPr>
          <w:rFonts w:ascii="Arial" w:hAnsi="Arial" w:cs="Arial"/>
          <w:sz w:val="20"/>
          <w:szCs w:val="20"/>
        </w:rPr>
        <w:t xml:space="preserve"> v tomto Dodatku č. </w:t>
      </w:r>
      <w:r w:rsidR="003F3D49">
        <w:rPr>
          <w:rFonts w:ascii="Arial" w:hAnsi="Arial" w:cs="Arial"/>
          <w:sz w:val="20"/>
          <w:szCs w:val="20"/>
        </w:rPr>
        <w:t>1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3B4935D0" w14:textId="16E52501" w:rsidR="003F3D49" w:rsidRPr="00913964" w:rsidRDefault="003F3D49" w:rsidP="003F3D49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83"/>
      <w:bookmarkStart w:id="12" w:name="_Toc357594085"/>
      <w:bookmarkStart w:id="13" w:name="_Toc358638381"/>
      <w:bookmarkStart w:id="14" w:name="_Toc361816567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>
        <w:rPr>
          <w:rFonts w:ascii="Arial" w:hAnsi="Arial" w:cs="Arial"/>
          <w:sz w:val="20"/>
          <w:szCs w:val="20"/>
        </w:rPr>
        <w:t xml:space="preserve">č. 27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</w:p>
    <w:p w14:paraId="235154D7" w14:textId="610A8F84" w:rsidR="00CB0CE5" w:rsidRPr="00AE0193" w:rsidRDefault="003F3D49" w:rsidP="00AE0193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</w:t>
      </w:r>
      <w:r w:rsidRPr="003F3D49">
        <w:rPr>
          <w:rFonts w:ascii="Arial" w:hAnsi="Arial" w:cs="Arial"/>
          <w:i/>
          <w:iCs/>
          <w:sz w:val="20"/>
          <w:szCs w:val="20"/>
        </w:rPr>
        <w:t xml:space="preserve">1 Poskytovatel se Dílčí smlouvou zavazuje poskytnout právní poradenství </w:t>
      </w:r>
      <w:bookmarkStart w:id="15" w:name="_Hlk148012519"/>
      <w:r w:rsidRPr="003F3D49">
        <w:rPr>
          <w:rFonts w:ascii="Arial" w:hAnsi="Arial" w:cs="Arial"/>
          <w:i/>
          <w:iCs/>
          <w:sz w:val="20"/>
          <w:szCs w:val="20"/>
        </w:rPr>
        <w:t xml:space="preserve">v rámci resortu MPSV </w:t>
      </w:r>
      <w:bookmarkStart w:id="16" w:name="_Hlk160697945"/>
      <w:r w:rsidRPr="003F3D49">
        <w:rPr>
          <w:rFonts w:ascii="Arial" w:hAnsi="Arial" w:cs="Arial"/>
          <w:i/>
          <w:iCs/>
          <w:sz w:val="20"/>
          <w:szCs w:val="20"/>
        </w:rPr>
        <w:t>spočívající v zajištění souladu, vyhodnocování, doporučení, konzultacích, analýzách a poskytovaní dalších forem poradenství v souvislosti s plněním požadavků Nařízení EU č. 2016/679 o ochraně fyzických osob v souvislosti se zpracováním osobních údajů a o volném pohybu těchto údajů a o zrušení směrnice 95/46/ES (obecné nařízení o ochraně osobních údajů). Kontaktní osobou pro konkrétní požadavky</w:t>
      </w:r>
      <w:r w:rsidRPr="003F3D49">
        <w:rPr>
          <w:rFonts w:ascii="Arial" w:hAnsi="Arial" w:cs="Arial"/>
          <w:i/>
          <w:iCs/>
          <w:sz w:val="20"/>
          <w:szCs w:val="20"/>
          <w:lang w:eastAsia="en-US"/>
        </w:rPr>
        <w:t xml:space="preserve"> je </w:t>
      </w:r>
      <w:r w:rsidR="004536E5" w:rsidRPr="004536E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3F3D49">
        <w:rPr>
          <w:rFonts w:ascii="Arial" w:hAnsi="Arial" w:cs="Arial"/>
          <w:i/>
          <w:iCs/>
          <w:sz w:val="20"/>
          <w:szCs w:val="20"/>
          <w:lang w:eastAsia="en-US"/>
        </w:rPr>
        <w:t>.</w:t>
      </w:r>
      <w:bookmarkEnd w:id="15"/>
      <w:bookmarkEnd w:id="16"/>
      <w:r w:rsidR="00AE0193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="00CB0CE5" w:rsidRPr="00AE0193">
        <w:rPr>
          <w:rFonts w:ascii="Arial" w:hAnsi="Arial" w:cs="Arial"/>
          <w:i/>
          <w:iCs/>
          <w:sz w:val="20"/>
          <w:szCs w:val="20"/>
        </w:rPr>
        <w:t>Dále j</w:t>
      </w:r>
      <w:r w:rsidRPr="00AE0193">
        <w:rPr>
          <w:rFonts w:ascii="Arial" w:hAnsi="Arial" w:cs="Arial"/>
          <w:i/>
          <w:iCs/>
          <w:sz w:val="20"/>
          <w:szCs w:val="20"/>
        </w:rPr>
        <w:t>e</w:t>
      </w:r>
      <w:r w:rsidR="00CB0CE5" w:rsidRPr="00AE0193">
        <w:rPr>
          <w:rFonts w:ascii="Arial" w:hAnsi="Arial" w:cs="Arial"/>
          <w:i/>
          <w:iCs/>
          <w:sz w:val="20"/>
          <w:szCs w:val="20"/>
        </w:rPr>
        <w:t xml:space="preserve"> předmětem plnění právní </w:t>
      </w:r>
      <w:r w:rsidRPr="00AE0193">
        <w:rPr>
          <w:rFonts w:ascii="Arial" w:hAnsi="Arial" w:cs="Arial"/>
          <w:i/>
          <w:iCs/>
          <w:sz w:val="20"/>
          <w:szCs w:val="20"/>
        </w:rPr>
        <w:t xml:space="preserve">poradenství </w:t>
      </w:r>
      <w:r w:rsidRPr="004536E5">
        <w:rPr>
          <w:rFonts w:ascii="Arial" w:hAnsi="Arial" w:cs="Arial"/>
          <w:i/>
          <w:iCs/>
          <w:sz w:val="20"/>
          <w:szCs w:val="20"/>
        </w:rPr>
        <w:t xml:space="preserve">související s naplňováním požadavků vyplývajících z vyhlášky č. 82/2018 Sb., o kybernetické bezpečnosti, </w:t>
      </w:r>
      <w:r w:rsidR="00AE0193" w:rsidRPr="004536E5">
        <w:rPr>
          <w:rFonts w:ascii="Arial" w:hAnsi="Arial" w:cs="Arial"/>
          <w:i/>
          <w:iCs/>
          <w:sz w:val="20"/>
          <w:szCs w:val="20"/>
        </w:rPr>
        <w:t xml:space="preserve">požadavků vzniklých na základě změny zákona č. 264/2025 Sb., o kybernetické bezpečnosti, který nabyl účinnosti k 1. listopadu 2025 a v souvislosti s aktuálními varováními, </w:t>
      </w:r>
      <w:proofErr w:type="spellStart"/>
      <w:r w:rsidR="00AE0193" w:rsidRPr="004536E5">
        <w:rPr>
          <w:rFonts w:ascii="Arial" w:hAnsi="Arial" w:cs="Arial"/>
          <w:i/>
          <w:iCs/>
          <w:sz w:val="20"/>
          <w:szCs w:val="20"/>
        </w:rPr>
        <w:t>doporučními</w:t>
      </w:r>
      <w:proofErr w:type="spellEnd"/>
      <w:r w:rsidR="00AE0193" w:rsidRPr="004536E5">
        <w:rPr>
          <w:rFonts w:ascii="Arial" w:hAnsi="Arial" w:cs="Arial"/>
          <w:i/>
          <w:iCs/>
          <w:sz w:val="20"/>
          <w:szCs w:val="20"/>
        </w:rPr>
        <w:t xml:space="preserve"> a rozhodnutími Národního úřadu pro kybernetickou bezpečnosti</w:t>
      </w:r>
      <w:r w:rsidRPr="004536E5">
        <w:rPr>
          <w:rFonts w:ascii="Arial" w:hAnsi="Arial" w:cs="Arial"/>
          <w:i/>
          <w:iCs/>
          <w:sz w:val="20"/>
          <w:szCs w:val="20"/>
        </w:rPr>
        <w:t>.</w:t>
      </w:r>
      <w:r w:rsidR="00CB0CE5" w:rsidRPr="00AE0193">
        <w:rPr>
          <w:rFonts w:ascii="Arial" w:hAnsi="Arial" w:cs="Arial"/>
          <w:i/>
          <w:iCs/>
          <w:sz w:val="20"/>
          <w:szCs w:val="20"/>
        </w:rPr>
        <w:t xml:space="preserve"> Kontaktní osobou pro technická zadání je </w:t>
      </w:r>
      <w:r w:rsidR="004536E5" w:rsidRPr="004536E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AE0193">
        <w:rPr>
          <w:i/>
          <w:iCs/>
          <w:sz w:val="20"/>
          <w:szCs w:val="20"/>
        </w:rPr>
        <w:t>.</w:t>
      </w:r>
    </w:p>
    <w:p w14:paraId="421BCC1D" w14:textId="492C3DBF" w:rsidR="00913964" w:rsidRPr="00913964" w:rsidRDefault="00913964" w:rsidP="0091396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 xml:space="preserve">Smluvní strany se </w:t>
      </w:r>
      <w:r w:rsidR="00AE0193">
        <w:rPr>
          <w:rFonts w:ascii="Arial" w:hAnsi="Arial" w:cs="Arial"/>
          <w:sz w:val="20"/>
          <w:szCs w:val="20"/>
        </w:rPr>
        <w:t xml:space="preserve">dále </w:t>
      </w:r>
      <w:r w:rsidRPr="000D39C8">
        <w:rPr>
          <w:rFonts w:ascii="Arial" w:hAnsi="Arial" w:cs="Arial"/>
          <w:sz w:val="20"/>
          <w:szCs w:val="20"/>
        </w:rPr>
        <w:t>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425FD7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1EBA6A03" w14:textId="5A478019" w:rsidR="00033E6C" w:rsidRPr="00033E6C" w:rsidRDefault="00913964" w:rsidP="00033E6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období ode dne nabytí účinnosti Dílčí smlouvy do 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30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1A42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lastRenderedPageBreak/>
        <w:t xml:space="preserve">částky ve výši 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495 000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Kč bez DPH, s ohledem na to, která z uvedených skutečností nastane dříve.</w:t>
      </w:r>
    </w:p>
    <w:p w14:paraId="659E2B72" w14:textId="1EF15759" w:rsidR="001227A2" w:rsidRPr="00BB2C2E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2AB9B3C8" w:rsidR="00D32BD9" w:rsidRPr="00D32BD9" w:rsidRDefault="000D39C8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27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27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753948EA" w:rsidR="000D39C8" w:rsidRPr="004536E5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 xml:space="preserve">nejdříve v den uveřejnění v registru smluv dle zákona č. 340/2015 Sb., zákon o zvláštních podmínkách účinnosti některých smluv, uveřejňování těchto smluv a o registru smluv (zákon o registru smluv), ve znění pozdějších </w:t>
      </w:r>
      <w:r w:rsidRPr="004536E5">
        <w:rPr>
          <w:rFonts w:ascii="Arial" w:hAnsi="Arial" w:cs="Arial"/>
          <w:sz w:val="20"/>
          <w:szCs w:val="22"/>
        </w:rPr>
        <w:t>předpisů.</w:t>
      </w:r>
      <w:r w:rsidR="006A7589" w:rsidRPr="004536E5">
        <w:rPr>
          <w:rFonts w:ascii="Arial" w:hAnsi="Arial" w:cs="Arial"/>
          <w:sz w:val="20"/>
          <w:szCs w:val="22"/>
        </w:rPr>
        <w:t xml:space="preserve"> Na plnění, které bylo případně poskytnuto a provedeno na základě </w:t>
      </w:r>
      <w:r w:rsidR="00EE0B7B" w:rsidRPr="004536E5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033E6C" w:rsidRPr="004536E5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 w:rsidRPr="004536E5">
        <w:rPr>
          <w:rFonts w:ascii="Arial" w:hAnsi="Arial" w:cs="Arial"/>
          <w:sz w:val="20"/>
          <w:szCs w:val="20"/>
          <w:lang w:eastAsia="en-US"/>
        </w:rPr>
        <w:t>27</w:t>
      </w:r>
      <w:r w:rsidR="00AF09C1" w:rsidRPr="004536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4536E5">
        <w:rPr>
          <w:rFonts w:ascii="Arial" w:hAnsi="Arial" w:cs="Arial"/>
          <w:sz w:val="20"/>
          <w:szCs w:val="22"/>
        </w:rPr>
        <w:t xml:space="preserve">před nabytím účinnosti tohoto Dodatku </w:t>
      </w:r>
      <w:r w:rsidR="00123B63" w:rsidRPr="004536E5">
        <w:rPr>
          <w:rFonts w:ascii="Arial" w:hAnsi="Arial" w:cs="Arial"/>
          <w:sz w:val="20"/>
          <w:szCs w:val="22"/>
        </w:rPr>
        <w:t xml:space="preserve">č. </w:t>
      </w:r>
      <w:r w:rsidR="00B67F40" w:rsidRPr="004536E5">
        <w:rPr>
          <w:rFonts w:ascii="Arial" w:hAnsi="Arial" w:cs="Arial"/>
          <w:sz w:val="20"/>
          <w:szCs w:val="22"/>
        </w:rPr>
        <w:t>1</w:t>
      </w:r>
      <w:r w:rsidR="00EE0B7B" w:rsidRPr="004536E5">
        <w:rPr>
          <w:rFonts w:ascii="Arial" w:hAnsi="Arial" w:cs="Arial"/>
          <w:sz w:val="20"/>
          <w:szCs w:val="22"/>
        </w:rPr>
        <w:t>,</w:t>
      </w:r>
      <w:r w:rsidR="006A7589" w:rsidRPr="004536E5">
        <w:rPr>
          <w:rFonts w:ascii="Arial" w:hAnsi="Arial" w:cs="Arial"/>
          <w:sz w:val="20"/>
          <w:szCs w:val="22"/>
        </w:rPr>
        <w:t xml:space="preserve"> se hledí tak, jako by bylo poskytnuto na základě a dle podmínek </w:t>
      </w:r>
      <w:r w:rsidR="00AF09C1" w:rsidRPr="004536E5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033E6C" w:rsidRPr="004536E5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 w:rsidRPr="004536E5">
        <w:rPr>
          <w:rFonts w:ascii="Arial" w:hAnsi="Arial" w:cs="Arial"/>
          <w:sz w:val="20"/>
          <w:szCs w:val="20"/>
          <w:lang w:eastAsia="en-US"/>
        </w:rPr>
        <w:t>27</w:t>
      </w:r>
      <w:r w:rsidR="00AF09C1" w:rsidRPr="004536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4536E5">
        <w:rPr>
          <w:rFonts w:ascii="Arial" w:hAnsi="Arial" w:cs="Arial"/>
          <w:sz w:val="20"/>
          <w:szCs w:val="22"/>
        </w:rPr>
        <w:t xml:space="preserve">ve znění tohoto Dodatku </w:t>
      </w:r>
      <w:r w:rsidR="00123B63" w:rsidRPr="004536E5">
        <w:rPr>
          <w:rFonts w:ascii="Arial" w:hAnsi="Arial" w:cs="Arial"/>
          <w:sz w:val="20"/>
          <w:szCs w:val="22"/>
        </w:rPr>
        <w:t xml:space="preserve">č. </w:t>
      </w:r>
      <w:r w:rsidR="00B67F40" w:rsidRPr="004536E5">
        <w:rPr>
          <w:rFonts w:ascii="Arial" w:hAnsi="Arial" w:cs="Arial"/>
          <w:sz w:val="20"/>
          <w:szCs w:val="22"/>
        </w:rPr>
        <w:t>1</w:t>
      </w:r>
      <w:r w:rsidR="00AF09C1" w:rsidRPr="004536E5">
        <w:rPr>
          <w:rFonts w:ascii="Arial" w:hAnsi="Arial" w:cs="Arial"/>
          <w:sz w:val="20"/>
          <w:szCs w:val="22"/>
        </w:rPr>
        <w:t>.</w:t>
      </w:r>
    </w:p>
    <w:p w14:paraId="6EAD8974" w14:textId="3FC9F115" w:rsidR="00B67F40" w:rsidRPr="00B67F40" w:rsidRDefault="000D39C8" w:rsidP="00B67F40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67F40" w:rsidRPr="00B67F40">
        <w:rPr>
          <w:rFonts w:ascii="Arial" w:hAnsi="Arial" w:cs="Arial"/>
          <w:sz w:val="20"/>
          <w:szCs w:val="20"/>
        </w:rPr>
        <w:t xml:space="preserve">je uzavřen elektronicky, tj. prostřednictvím uznávaného elektronického podpisu ve smyslu zákona č. 297/2016 Sb., o službách vytvářejících důvěru pro elektronické transakce, ve znění pozdějších předpisů, opatřeného časovým razítkem. </w:t>
      </w:r>
    </w:p>
    <w:p w14:paraId="0DBF3FFE" w14:textId="77777777" w:rsid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7E1CD0BA" w:rsid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 xml:space="preserve">Smluvní strany prohlašují, že si tento Dodatek </w:t>
      </w:r>
      <w:r w:rsidR="00123B63">
        <w:rPr>
          <w:rFonts w:ascii="Arial" w:hAnsi="Arial" w:cs="Arial"/>
          <w:sz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lang w:eastAsia="en-US"/>
        </w:rPr>
        <w:t>1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61F9767D" w14:textId="77777777" w:rsidR="00AE0193" w:rsidRDefault="00AE0193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B67F40" w:rsidRPr="00BB2C2E" w14:paraId="356B83A2" w14:textId="77777777" w:rsidTr="0053760F">
        <w:trPr>
          <w:jc w:val="center"/>
        </w:trPr>
        <w:tc>
          <w:tcPr>
            <w:tcW w:w="4535" w:type="dxa"/>
          </w:tcPr>
          <w:p w14:paraId="17ECD74B" w14:textId="77777777" w:rsidR="00B67F40" w:rsidRPr="00BB2C2E" w:rsidRDefault="00B67F40" w:rsidP="0053760F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740C0DD1" w14:textId="09355EF8" w:rsidR="00B67F40" w:rsidRPr="00BB2C2E" w:rsidRDefault="00B67F40" w:rsidP="0053760F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  <w:tc>
          <w:tcPr>
            <w:tcW w:w="4535" w:type="dxa"/>
          </w:tcPr>
          <w:p w14:paraId="0D7B0643" w14:textId="77777777" w:rsidR="00B67F40" w:rsidRPr="00BB2C2E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3ABEB37" w14:textId="77777777" w:rsidR="00B67F40" w:rsidRPr="00BB2C2E" w:rsidRDefault="00B67F40" w:rsidP="0053760F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B67F40" w:rsidRPr="00BB2C2E" w14:paraId="7B3C756F" w14:textId="77777777" w:rsidTr="0053760F">
        <w:trPr>
          <w:trHeight w:val="820"/>
          <w:jc w:val="center"/>
        </w:trPr>
        <w:tc>
          <w:tcPr>
            <w:tcW w:w="4535" w:type="dxa"/>
          </w:tcPr>
          <w:p w14:paraId="78A5B1D8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A49D10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12A3060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A8EAA3D" w14:textId="77777777" w:rsidR="00B67F40" w:rsidRPr="00BB2C2E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E25DE6C" w14:textId="77777777" w:rsidR="00B67F40" w:rsidRDefault="00B67F40" w:rsidP="00AE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7DD29D29" w14:textId="77777777" w:rsidR="00B67F40" w:rsidRPr="00BB2C2E" w:rsidRDefault="00B67F40" w:rsidP="004536E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13E43C7C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5F12E00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7E7E63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C33AEA" w14:textId="77777777" w:rsidR="00B67F40" w:rsidRPr="00BB2C2E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FB7D729" w14:textId="77777777" w:rsidR="00B67F40" w:rsidRPr="00677A2F" w:rsidRDefault="00B67F40" w:rsidP="00AE0193">
            <w:pPr>
              <w:pStyle w:val="RLProhlensmluvnchstran"/>
              <w:spacing w:after="0" w:line="280" w:lineRule="atLeast"/>
              <w:rPr>
                <w:rFonts w:ascii="Arial" w:hAnsi="Arial" w:cs="Arial"/>
                <w:sz w:val="16"/>
                <w:szCs w:val="12"/>
                <w:highlight w:val="yellow"/>
                <w:lang w:val="en-US" w:eastAsia="en-US"/>
              </w:rPr>
            </w:pPr>
            <w:r w:rsidRPr="00677A2F">
              <w:rPr>
                <w:rFonts w:ascii="Arial" w:hAnsi="Arial" w:cs="Arial"/>
                <w:sz w:val="20"/>
                <w:szCs w:val="24"/>
              </w:rPr>
              <w:t>PORTOS, advokátní kancelář s.r.o.</w:t>
            </w:r>
            <w:r w:rsidRPr="00677A2F">
              <w:rPr>
                <w:rFonts w:ascii="Arial" w:hAnsi="Arial" w:cs="Arial"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5AC60F0E" w14:textId="6D309C0F" w:rsidR="00B67F40" w:rsidRPr="00BB2C2E" w:rsidRDefault="00B67F40" w:rsidP="00AF6D9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F40" w14:paraId="370B1B13" w14:textId="77777777" w:rsidTr="0053760F">
        <w:trPr>
          <w:trHeight w:val="510"/>
          <w:jc w:val="center"/>
        </w:trPr>
        <w:tc>
          <w:tcPr>
            <w:tcW w:w="4535" w:type="dxa"/>
          </w:tcPr>
          <w:p w14:paraId="59720BFF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7432C67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F40" w14:paraId="7EEBC2D5" w14:textId="77777777" w:rsidTr="0053760F">
        <w:trPr>
          <w:trHeight w:val="652"/>
          <w:jc w:val="center"/>
        </w:trPr>
        <w:tc>
          <w:tcPr>
            <w:tcW w:w="4535" w:type="dxa"/>
          </w:tcPr>
          <w:p w14:paraId="401A6F76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132C740" w14:textId="77777777" w:rsidR="00B67F40" w:rsidRPr="00BB2C2E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412C3BC" w14:textId="77777777" w:rsidR="00B67F40" w:rsidRDefault="00B67F40" w:rsidP="0053760F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B67F40" w14:paraId="6669C6A5" w14:textId="77777777" w:rsidTr="0053760F">
        <w:trPr>
          <w:trHeight w:val="820"/>
          <w:jc w:val="center"/>
        </w:trPr>
        <w:tc>
          <w:tcPr>
            <w:tcW w:w="4535" w:type="dxa"/>
          </w:tcPr>
          <w:p w14:paraId="359E66C8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18D9D4CF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C5CDFB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7C0CA4" w14:textId="77777777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3FDF687" w14:textId="77777777" w:rsidR="00B67F40" w:rsidRPr="00BB2C2E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0E751C4" w14:textId="77777777" w:rsidR="00B67F40" w:rsidRDefault="00B67F40" w:rsidP="00AE0193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E451E2">
              <w:rPr>
                <w:rFonts w:ascii="Arial" w:eastAsia="Calibri" w:hAnsi="Arial" w:cs="Arial"/>
                <w:bCs/>
                <w:sz w:val="20"/>
                <w:szCs w:val="22"/>
              </w:rPr>
              <w:t xml:space="preserve">MT </w:t>
            </w:r>
            <w:proofErr w:type="spellStart"/>
            <w:r w:rsidRPr="00E451E2">
              <w:rPr>
                <w:rFonts w:ascii="Arial" w:eastAsia="Calibri" w:hAnsi="Arial" w:cs="Arial"/>
                <w:bCs/>
                <w:sz w:val="20"/>
                <w:szCs w:val="22"/>
              </w:rPr>
              <w:t>Legal</w:t>
            </w:r>
            <w:proofErr w:type="spellEnd"/>
            <w:r w:rsidRPr="00E451E2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s.r.o., advokátní kancelář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053892F0" w14:textId="7CDFD4DF" w:rsidR="00B67F40" w:rsidRDefault="00B67F40" w:rsidP="005376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AE0193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B67F40">
      <w:headerReference w:type="default" r:id="rId11"/>
      <w:footerReference w:type="default" r:id="rId12"/>
      <w:pgSz w:w="11906" w:h="16838"/>
      <w:pgMar w:top="1418" w:right="1418" w:bottom="1418" w:left="1418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AF61" w14:textId="77777777" w:rsidR="00F90A65" w:rsidRDefault="00F90A65">
      <w:r>
        <w:separator/>
      </w:r>
    </w:p>
  </w:endnote>
  <w:endnote w:type="continuationSeparator" w:id="0">
    <w:p w14:paraId="75FF9EE6" w14:textId="77777777" w:rsidR="00F90A65" w:rsidRDefault="00F90A65">
      <w:r>
        <w:continuationSeparator/>
      </w:r>
    </w:p>
  </w:endnote>
  <w:endnote w:type="continuationNotice" w:id="1">
    <w:p w14:paraId="44828335" w14:textId="77777777" w:rsidR="00F90A65" w:rsidRDefault="00F90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54448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D9B547" w14:textId="6C8F127F" w:rsidR="00B67F40" w:rsidRDefault="00B67F40">
            <w:pPr>
              <w:pStyle w:val="Zpat"/>
            </w:pP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088C7E" w14:textId="77777777" w:rsidR="00B67F40" w:rsidRDefault="00B67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763" w14:textId="77777777" w:rsidR="00F90A65" w:rsidRDefault="00F90A65">
      <w:r>
        <w:separator/>
      </w:r>
    </w:p>
  </w:footnote>
  <w:footnote w:type="continuationSeparator" w:id="0">
    <w:p w14:paraId="5A2A2137" w14:textId="77777777" w:rsidR="00F90A65" w:rsidRDefault="00F90A65">
      <w:r>
        <w:continuationSeparator/>
      </w:r>
    </w:p>
  </w:footnote>
  <w:footnote w:type="continuationNotice" w:id="1">
    <w:p w14:paraId="1A4E66D5" w14:textId="77777777" w:rsidR="00F90A65" w:rsidRDefault="00F90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5pt;height:140.5pt;visibility:visible;mso-wrap-style:square" o:bullet="t">
        <v:imagedata r:id="rId1" o:title=""/>
      </v:shape>
    </w:pict>
  </w:numPicBullet>
  <w:numPicBullet w:numPicBulletId="1">
    <w:pict>
      <v:shape id="_x0000_i1027" type="#_x0000_t75" style="width:11.5pt;height:11.5pt;visibility:visible;mso-wrap-style:square" o:bullet="t">
        <v:imagedata r:id="rId2" o:title=""/>
      </v:shape>
    </w:pict>
  </w:numPicBullet>
  <w:numPicBullet w:numPicBulletId="2">
    <w:pict>
      <v:shape id="_x0000_i1028" type="#_x0000_t75" style="width:9.5pt;height:9.5pt;visibility:visible;mso-wrap-style:square" o:bullet="t">
        <v:imagedata r:id="rId3" o:title=""/>
      </v:shape>
    </w:pict>
  </w:numPicBullet>
  <w:numPicBullet w:numPicBulletId="3">
    <w:pict>
      <v:shape id="_x0000_i1029" type="#_x0000_t75" style="width:9.5pt;height:9.5pt;visibility:visible;mso-wrap-style:square" o:bullet="t">
        <v:imagedata r:id="rId4" o:title=""/>
      </v:shape>
    </w:pict>
  </w:numPicBullet>
  <w:numPicBullet w:numPicBulletId="4">
    <w:pict>
      <v:shape id="_x0000_i1030" type="#_x0000_t75" style="width:9.5pt;height:9.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3E6C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1C1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1C3C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B63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5B08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240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2D5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5C"/>
    <w:rsid w:val="00213A67"/>
    <w:rsid w:val="002140E6"/>
    <w:rsid w:val="002151FD"/>
    <w:rsid w:val="00215542"/>
    <w:rsid w:val="00215839"/>
    <w:rsid w:val="00215F17"/>
    <w:rsid w:val="00216E15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6F4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5E08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5D9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2E4A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3D49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7F1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5FD7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6E5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6D7C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1914"/>
    <w:rsid w:val="00512099"/>
    <w:rsid w:val="00512DC0"/>
    <w:rsid w:val="00512EF9"/>
    <w:rsid w:val="00513A88"/>
    <w:rsid w:val="0051599D"/>
    <w:rsid w:val="00516934"/>
    <w:rsid w:val="00516968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4BB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67C7D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348"/>
    <w:rsid w:val="005F0B3C"/>
    <w:rsid w:val="005F2527"/>
    <w:rsid w:val="005F2CE0"/>
    <w:rsid w:val="005F34C4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2AB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1CB2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070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3FB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DE4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3D13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7ED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8B5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25C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279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1ED6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193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26F"/>
    <w:rsid w:val="00AF4C39"/>
    <w:rsid w:val="00AF507A"/>
    <w:rsid w:val="00AF545F"/>
    <w:rsid w:val="00AF5A74"/>
    <w:rsid w:val="00AF63DB"/>
    <w:rsid w:val="00AF687B"/>
    <w:rsid w:val="00AF6D92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67F40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77F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A7891"/>
    <w:rsid w:val="00BB124D"/>
    <w:rsid w:val="00BB2683"/>
    <w:rsid w:val="00BB2C2E"/>
    <w:rsid w:val="00BB47D8"/>
    <w:rsid w:val="00BB6DF9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3E0E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0CE5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D51F8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2A26"/>
    <w:rsid w:val="00CF382D"/>
    <w:rsid w:val="00CF3B25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497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4B22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2D96"/>
    <w:rsid w:val="00DC2FEA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2D2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26FC4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91B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0A65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infopath/2007/PartnerControls"/>
    <ds:schemaRef ds:uri="a9359a40-f311-4999-9c73-bd7ebaba2dd8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978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6804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27</cp:revision>
  <cp:lastPrinted>2024-12-03T08:54:00Z</cp:lastPrinted>
  <dcterms:created xsi:type="dcterms:W3CDTF">2024-11-08T14:10:00Z</dcterms:created>
  <dcterms:modified xsi:type="dcterms:W3CDTF">2025-11-24T17:31:00Z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