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1220/2025</w:t>
      </w:r>
      <w:bookmarkEnd w:id="3"/>
      <w:bookmarkEnd w:id="4"/>
      <w:bookmarkEnd w:id="5"/>
    </w:p>
    <w:p>
      <w:pPr>
        <w:pStyle w:val="Style8"/>
        <w:keepNext/>
        <w:keepLines/>
        <w:widowControl w:val="0"/>
        <w:shd w:val="clear" w:color="auto" w:fill="auto"/>
        <w:bidi w:val="0"/>
        <w:spacing w:before="0" w:after="18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z91/24</w:t>
      </w:r>
      <w:bookmarkEnd w:id="6"/>
      <w:bookmarkEnd w:id="7"/>
      <w:bookmarkEnd w:id="8"/>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8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Kadaň - tabule nátoku SV, číslo akce 203752“ – potápěčské práce 2025</w:t>
      </w:r>
    </w:p>
    <w:p>
      <w:pPr>
        <w:pStyle w:val="Style8"/>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61" w:left="1396" w:right="1382" w:bottom="1267" w:header="0" w:footer="3" w:gutter="0"/>
          <w:pgNumType w:start="1"/>
          <w:cols w:space="720"/>
          <w:noEndnote/>
          <w:rtlGutter w:val="0"/>
          <w:docGrid w:linePitch="360"/>
        </w:sectPr>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267"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val="0"/>
        <w:keepLines w:val="0"/>
        <w:widowControl w:val="0"/>
        <w:shd w:val="clear" w:color="auto" w:fill="auto"/>
        <w:bidi w:val="0"/>
        <w:spacing w:before="0" w:after="200" w:line="240" w:lineRule="auto"/>
        <w:ind w:left="0" w:right="0" w:firstLine="0"/>
        <w:jc w:val="left"/>
      </w:pPr>
      <w:bookmarkStart w:id="12" w:name="bookmark12"/>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2687" w:bottom="1267" w:header="0" w:footer="3" w:gutter="0"/>
          <w:cols w:num="2" w:space="455"/>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0" w:left="0" w:right="0" w:bottom="1297" w:header="0" w:footer="3" w:gutter="0"/>
          <w:cols w:space="720"/>
          <w:noEndnote/>
          <w:rtlGutter w:val="0"/>
          <w:docGrid w:linePitch="360"/>
        </w:sectPr>
      </w:pPr>
    </w:p>
    <w:p>
      <w:pPr>
        <w:pStyle w:val="Style10"/>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8"/>
        <w:keepNext/>
        <w:keepLines/>
        <w:widowControl w:val="0"/>
        <w:shd w:val="clear" w:color="auto" w:fill="auto"/>
        <w:bidi w:val="0"/>
        <w:spacing w:before="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p>
      <w:pPr>
        <w:pStyle w:val="Style8"/>
        <w:keepNext/>
        <w:keepLines/>
        <w:widowControl w:val="0"/>
        <w:shd w:val="clear" w:color="auto" w:fill="auto"/>
        <w:tabs>
          <w:tab w:pos="4280" w:val="left"/>
        </w:tabs>
        <w:bidi w:val="0"/>
        <w:spacing w:before="0" w:after="0" w:line="240" w:lineRule="auto"/>
        <w:ind w:left="0" w:right="0" w:firstLine="0"/>
        <w:jc w:val="left"/>
      </w:pPr>
      <w:bookmarkStart w:id="16" w:name="bookmark16"/>
      <w:bookmarkStart w:id="17" w:name="bookmark17"/>
      <w:r>
        <w:rPr>
          <w:b/>
          <w:bCs/>
          <w:color w:val="000000"/>
          <w:spacing w:val="0"/>
          <w:w w:val="100"/>
          <w:position w:val="0"/>
          <w:shd w:val="clear" w:color="auto" w:fill="auto"/>
          <w:lang w:val="cs-CZ" w:eastAsia="cs-CZ" w:bidi="cs-CZ"/>
        </w:rPr>
        <w:t>zhotovitel:</w:t>
        <w:tab/>
        <w:t>Potápěčská stanice, a.s.</w:t>
      </w:r>
      <w:bookmarkEnd w:id="16"/>
      <w:bookmarkEnd w:id="17"/>
    </w:p>
    <w:p>
      <w:pPr>
        <w:pStyle w:val="Style10"/>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Botičská 1936/4, Nové Město, 128 00 Praha 2</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10"/>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47285532</w:t>
      </w:r>
    </w:p>
    <w:p>
      <w:pPr>
        <w:pStyle w:val="Style10"/>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CZ47285532</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tabs>
          <w:tab w:pos="4280"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 v obchodním rejstříku: u Městského soudu v Praze v oddílu B, vložce č. 20037 tel.:</w:t>
        <w:tab/>
        <w:t>e-mail:</w:t>
      </w:r>
    </w:p>
    <w:p>
      <w:pPr>
        <w:pStyle w:val="Style10"/>
        <w:keepNext w:val="0"/>
        <w:keepLines w:val="0"/>
        <w:widowControl w:val="0"/>
        <w:shd w:val="clear" w:color="auto" w:fill="auto"/>
        <w:bidi w:val="0"/>
        <w:spacing w:before="0" w:after="200" w:line="240" w:lineRule="auto"/>
        <w:ind w:left="0" w:right="0" w:firstLine="0"/>
        <w:jc w:val="both"/>
      </w:pPr>
      <w:bookmarkStart w:id="19" w:name="bookmark19"/>
      <w:bookmarkStart w:id="20" w:name="bookmark20"/>
      <w:r>
        <w:rPr>
          <w:color w:val="000000"/>
          <w:spacing w:val="0"/>
          <w:w w:val="100"/>
          <w:position w:val="0"/>
          <w:shd w:val="clear" w:color="auto" w:fill="auto"/>
          <w:lang w:val="cs-CZ" w:eastAsia="cs-CZ" w:bidi="cs-CZ"/>
        </w:rPr>
        <w:t>(dále jen „zhotovitel“)</w:t>
      </w:r>
      <w:bookmarkEnd w:id="19"/>
      <w:bookmarkEnd w:id="20"/>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21"/>
      <w:bookmarkEnd w:id="22"/>
      <w:bookmarkEnd w:id="24"/>
    </w:p>
    <w:p>
      <w:pPr>
        <w:pStyle w:val="Style8"/>
        <w:keepNext/>
        <w:keepLines/>
        <w:widowControl w:val="0"/>
        <w:numPr>
          <w:ilvl w:val="0"/>
          <w:numId w:val="1"/>
        </w:numPr>
        <w:shd w:val="clear" w:color="auto" w:fill="auto"/>
        <w:tabs>
          <w:tab w:pos="360" w:val="left"/>
        </w:tabs>
        <w:bidi w:val="0"/>
        <w:spacing w:before="0" w:after="400" w:line="240" w:lineRule="auto"/>
        <w:ind w:right="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25"/>
      <w:bookmarkEnd w:id="26"/>
      <w:bookmarkEnd w:id="28"/>
    </w:p>
    <w:p>
      <w:pPr>
        <w:pStyle w:val="Style8"/>
        <w:keepNext/>
        <w:keepLines/>
        <w:widowControl w:val="0"/>
        <w:numPr>
          <w:ilvl w:val="0"/>
          <w:numId w:val="1"/>
        </w:numPr>
        <w:shd w:val="clear" w:color="auto" w:fill="auto"/>
        <w:tabs>
          <w:tab w:pos="360" w:val="left"/>
        </w:tabs>
        <w:bidi w:val="0"/>
        <w:spacing w:before="0" w:line="240" w:lineRule="auto"/>
        <w:ind w:left="0" w:right="0" w:firstLine="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Předmětem potápěčských prací na VD Kadaň je:</w:t>
      </w:r>
      <w:bookmarkEnd w:id="29"/>
      <w:bookmarkEnd w:id="30"/>
      <w:bookmarkEnd w:id="32"/>
    </w:p>
    <w:p>
      <w:pPr>
        <w:pStyle w:val="Style8"/>
        <w:keepNext/>
        <w:keepLines/>
        <w:widowControl w:val="0"/>
        <w:shd w:val="clear" w:color="auto" w:fill="auto"/>
        <w:bidi w:val="0"/>
        <w:spacing w:before="0" w:line="240" w:lineRule="auto"/>
        <w:ind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Požadujeme provedení potápěčských prací při demontáži hradící tabule nátoku SV (levá a pravá strana). Jde o montáž a zajištění vázacího prostředku na čep, který je umístěn na vrcholu hradící tabule.</w:t>
      </w:r>
      <w:bookmarkEnd w:id="33"/>
      <w:bookmarkEnd w:id="34"/>
      <w:bookmarkEnd w:id="35"/>
    </w:p>
    <w:p>
      <w:pPr>
        <w:pStyle w:val="Style8"/>
        <w:keepNext/>
        <w:keepLines/>
        <w:widowControl w:val="0"/>
        <w:shd w:val="clear" w:color="auto" w:fill="auto"/>
        <w:bidi w:val="0"/>
        <w:spacing w:before="0" w:line="240" w:lineRule="auto"/>
        <w:ind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Z provedené kontroly požadujeme vyhotovit nálezovou zprávu, včetně obrazového záznamu.</w:t>
      </w:r>
      <w:bookmarkEnd w:id="36"/>
      <w:bookmarkEnd w:id="37"/>
      <w:bookmarkEnd w:id="38"/>
    </w:p>
    <w:p>
      <w:pPr>
        <w:pStyle w:val="Style8"/>
        <w:keepNext/>
        <w:keepLines/>
        <w:widowControl w:val="0"/>
        <w:numPr>
          <w:ilvl w:val="0"/>
          <w:numId w:val="1"/>
        </w:numPr>
        <w:shd w:val="clear" w:color="auto" w:fill="auto"/>
        <w:tabs>
          <w:tab w:pos="737" w:val="left"/>
        </w:tabs>
        <w:bidi w:val="0"/>
        <w:spacing w:before="0" w:after="0" w:line="240" w:lineRule="auto"/>
        <w:ind w:left="0" w:right="0" w:firstLine="30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 předmět díla se dále považuje:</w:t>
      </w:r>
      <w:bookmarkEnd w:id="39"/>
      <w:bookmarkEnd w:id="40"/>
      <w:bookmarkEnd w:id="42"/>
    </w:p>
    <w:p>
      <w:pPr>
        <w:pStyle w:val="Style10"/>
        <w:keepNext w:val="0"/>
        <w:keepLines w:val="0"/>
        <w:widowControl w:val="0"/>
        <w:shd w:val="clear" w:color="auto" w:fill="auto"/>
        <w:bidi w:val="0"/>
        <w:spacing w:before="0" w:after="0" w:line="240" w:lineRule="auto"/>
        <w:ind w:left="720" w:right="0" w:hanging="420"/>
        <w:jc w:val="both"/>
      </w:pPr>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zajištění bezpečnosti a ochrany zdraví při práci, požární ochrany, ochrany životního prostředí,</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10"/>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p>
    <w:p>
      <w:pPr>
        <w:pStyle w:val="Style10"/>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10"/>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p>
    <w:p>
      <w:pPr>
        <w:pStyle w:val="Style8"/>
        <w:keepNext/>
        <w:keepLines/>
        <w:widowControl w:val="0"/>
        <w:numPr>
          <w:ilvl w:val="0"/>
          <w:numId w:val="1"/>
        </w:numPr>
        <w:shd w:val="clear" w:color="auto" w:fill="auto"/>
        <w:tabs>
          <w:tab w:pos="391" w:val="left"/>
        </w:tabs>
        <w:bidi w:val="0"/>
        <w:spacing w:before="0" w:after="0" w:line="240" w:lineRule="auto"/>
        <w:ind w:left="0" w:right="0" w:firstLine="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zajistí:</w:t>
      </w:r>
      <w:bookmarkEnd w:id="43"/>
      <w:bookmarkEnd w:id="44"/>
      <w:bookmarkEnd w:id="46"/>
    </w:p>
    <w:p>
      <w:pPr>
        <w:pStyle w:val="Style10"/>
        <w:keepNext w:val="0"/>
        <w:keepLines w:val="0"/>
        <w:widowControl w:val="0"/>
        <w:numPr>
          <w:ilvl w:val="0"/>
          <w:numId w:val="3"/>
        </w:numPr>
        <w:shd w:val="clear" w:color="auto" w:fill="auto"/>
        <w:tabs>
          <w:tab w:pos="391" w:val="left"/>
        </w:tabs>
        <w:bidi w:val="0"/>
        <w:spacing w:before="0" w:after="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10"/>
        <w:keepNext w:val="0"/>
        <w:keepLines w:val="0"/>
        <w:widowControl w:val="0"/>
        <w:numPr>
          <w:ilvl w:val="0"/>
          <w:numId w:val="3"/>
        </w:numPr>
        <w:shd w:val="clear" w:color="auto" w:fill="auto"/>
        <w:tabs>
          <w:tab w:pos="391" w:val="left"/>
        </w:tabs>
        <w:bidi w:val="0"/>
        <w:spacing w:before="0" w:after="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zajištění potřebné legislativy do doby zahájení stavebních prací</w:t>
      </w:r>
    </w:p>
    <w:p>
      <w:pPr>
        <w:pStyle w:val="Style10"/>
        <w:keepNext w:val="0"/>
        <w:keepLines w:val="0"/>
        <w:widowControl w:val="0"/>
        <w:numPr>
          <w:ilvl w:val="0"/>
          <w:numId w:val="3"/>
        </w:numPr>
        <w:shd w:val="clear" w:color="auto" w:fill="auto"/>
        <w:tabs>
          <w:tab w:pos="391" w:val="left"/>
        </w:tabs>
        <w:bidi w:val="0"/>
        <w:spacing w:before="0" w:after="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 xml:space="preserve">zařízení staveniště, opatření na zabezpečení staveniště, skladování </w:t>
      </w:r>
      <w:r>
        <w:rPr>
          <w:color w:val="00000A"/>
          <w:spacing w:val="0"/>
          <w:w w:val="100"/>
          <w:position w:val="0"/>
          <w:shd w:val="clear" w:color="auto" w:fill="auto"/>
          <w:lang w:val="cs-CZ" w:eastAsia="cs-CZ" w:bidi="cs-CZ"/>
        </w:rPr>
        <w:t>materiálu, převod vody a vstup na pozemky, dovoz nového a odvoz přebytečného a vybouraného materiálu na skládku jsou plně záležitostí zhotovitele.</w:t>
      </w:r>
    </w:p>
    <w:p>
      <w:pPr>
        <w:pStyle w:val="Style10"/>
        <w:keepNext w:val="0"/>
        <w:keepLines w:val="0"/>
        <w:widowControl w:val="0"/>
        <w:numPr>
          <w:ilvl w:val="0"/>
          <w:numId w:val="3"/>
        </w:numPr>
        <w:shd w:val="clear" w:color="auto" w:fill="auto"/>
        <w:tabs>
          <w:tab w:pos="391" w:val="left"/>
        </w:tabs>
        <w:bidi w:val="0"/>
        <w:spacing w:before="0" w:line="300" w:lineRule="auto"/>
        <w:ind w:left="380" w:right="0" w:hanging="380"/>
        <w:jc w:val="both"/>
      </w:pPr>
      <w:bookmarkStart w:id="50" w:name="bookmark50"/>
      <w:bookmarkEnd w:id="50"/>
      <w:r>
        <w:rPr>
          <w:color w:val="00000A"/>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8"/>
        <w:keepNext/>
        <w:keepLines/>
        <w:widowControl w:val="0"/>
        <w:numPr>
          <w:ilvl w:val="0"/>
          <w:numId w:val="1"/>
        </w:numPr>
        <w:shd w:val="clear" w:color="auto" w:fill="auto"/>
        <w:tabs>
          <w:tab w:pos="391" w:val="left"/>
        </w:tabs>
        <w:bidi w:val="0"/>
        <w:spacing w:before="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1"/>
      <w:bookmarkEnd w:id="52"/>
      <w:bookmarkEnd w:id="54"/>
    </w:p>
    <w:p>
      <w:pPr>
        <w:pStyle w:val="Style8"/>
        <w:keepNext/>
        <w:keepLines/>
        <w:widowControl w:val="0"/>
        <w:numPr>
          <w:ilvl w:val="0"/>
          <w:numId w:val="1"/>
        </w:numPr>
        <w:shd w:val="clear" w:color="auto" w:fill="auto"/>
        <w:tabs>
          <w:tab w:pos="391" w:val="left"/>
        </w:tabs>
        <w:bidi w:val="0"/>
        <w:spacing w:before="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55"/>
      <w:bookmarkEnd w:id="56"/>
      <w:bookmarkEnd w:id="58"/>
    </w:p>
    <w:p>
      <w:pPr>
        <w:pStyle w:val="Style8"/>
        <w:keepNext/>
        <w:keepLines/>
        <w:widowControl w:val="0"/>
        <w:numPr>
          <w:ilvl w:val="0"/>
          <w:numId w:val="1"/>
        </w:numPr>
        <w:shd w:val="clear" w:color="auto" w:fill="auto"/>
        <w:tabs>
          <w:tab w:pos="391" w:val="left"/>
        </w:tabs>
        <w:bidi w:val="0"/>
        <w:spacing w:before="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59"/>
      <w:bookmarkEnd w:id="60"/>
      <w:bookmarkEnd w:id="62"/>
    </w:p>
    <w:p>
      <w:pPr>
        <w:pStyle w:val="Style8"/>
        <w:keepNext/>
        <w:keepLines/>
        <w:widowControl w:val="0"/>
        <w:numPr>
          <w:ilvl w:val="0"/>
          <w:numId w:val="1"/>
        </w:numPr>
        <w:shd w:val="clear" w:color="auto" w:fill="auto"/>
        <w:tabs>
          <w:tab w:pos="391" w:val="left"/>
        </w:tabs>
        <w:bidi w:val="0"/>
        <w:spacing w:before="0" w:after="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Objednatel předá zhotoviteli staveniště (nebo jeho ucelenou část) prosté práv třetích osob.</w:t>
      </w:r>
      <w:bookmarkEnd w:id="63"/>
      <w:bookmarkEnd w:id="64"/>
      <w:bookmarkEnd w:id="66"/>
    </w:p>
    <w:p>
      <w:pPr>
        <w:pStyle w:val="Style8"/>
        <w:keepNext/>
        <w:keepLines/>
        <w:widowControl w:val="0"/>
        <w:shd w:val="clear" w:color="auto" w:fill="auto"/>
        <w:bidi w:val="0"/>
        <w:spacing w:before="0" w:line="240" w:lineRule="auto"/>
        <w:ind w:right="0" w:firstLine="4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67"/>
      <w:bookmarkEnd w:id="68"/>
      <w:bookmarkEnd w:id="69"/>
    </w:p>
    <w:p>
      <w:pPr>
        <w:pStyle w:val="Style8"/>
        <w:keepNext/>
        <w:keepLines/>
        <w:widowControl w:val="0"/>
        <w:numPr>
          <w:ilvl w:val="0"/>
          <w:numId w:val="1"/>
        </w:numPr>
        <w:shd w:val="clear" w:color="auto" w:fill="auto"/>
        <w:bidi w:val="0"/>
        <w:spacing w:before="0" w:after="0" w:line="240" w:lineRule="auto"/>
        <w:ind w:left="0" w:right="0" w:firstLine="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V případě, že byl objednatelem určen koordinátor BOZP je zhotovitel povinen:</w:t>
      </w:r>
      <w:bookmarkEnd w:id="70"/>
      <w:bookmarkEnd w:id="71"/>
      <w:bookmarkEnd w:id="73"/>
    </w:p>
    <w:p>
      <w:pPr>
        <w:pStyle w:val="Style10"/>
        <w:keepNext w:val="0"/>
        <w:keepLines w:val="0"/>
        <w:widowControl w:val="0"/>
        <w:numPr>
          <w:ilvl w:val="0"/>
          <w:numId w:val="5"/>
        </w:numPr>
        <w:shd w:val="clear" w:color="auto" w:fill="auto"/>
        <w:tabs>
          <w:tab w:pos="728" w:val="left"/>
        </w:tabs>
        <w:bidi w:val="0"/>
        <w:spacing w:before="0" w:after="0" w:line="240" w:lineRule="auto"/>
        <w:ind w:left="380" w:right="0" w:firstLine="40"/>
        <w:jc w:val="both"/>
      </w:pPr>
      <w:bookmarkStart w:id="74" w:name="bookmark74"/>
      <w:bookmarkEnd w:id="7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10"/>
        <w:keepNext w:val="0"/>
        <w:keepLines w:val="0"/>
        <w:widowControl w:val="0"/>
        <w:numPr>
          <w:ilvl w:val="0"/>
          <w:numId w:val="5"/>
        </w:numPr>
        <w:shd w:val="clear" w:color="auto" w:fill="auto"/>
        <w:tabs>
          <w:tab w:pos="728" w:val="left"/>
        </w:tabs>
        <w:bidi w:val="0"/>
        <w:spacing w:before="0" w:after="200" w:line="240" w:lineRule="auto"/>
        <w:ind w:left="380" w:right="0" w:firstLine="40"/>
        <w:jc w:val="both"/>
        <w:sectPr>
          <w:footnotePr>
            <w:pos w:val="pageBottom"/>
            <w:numFmt w:val="decimal"/>
            <w:numRestart w:val="continuous"/>
          </w:footnotePr>
          <w:type w:val="continuous"/>
          <w:pgSz w:w="11909" w:h="16838"/>
          <w:pgMar w:top="1030" w:left="1396" w:right="1382" w:bottom="1297" w:header="0" w:footer="3" w:gutter="0"/>
          <w:cols w:space="720"/>
          <w:noEndnote/>
          <w:rtlGutter w:val="0"/>
          <w:docGrid w:linePitch="360"/>
        </w:sectPr>
      </w:pPr>
      <w:bookmarkStart w:id="75" w:name="bookmark75"/>
      <w:bookmarkEnd w:id="7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w:t>
      </w:r>
    </w:p>
    <w:p>
      <w:pPr>
        <w:pStyle w:val="Style10"/>
        <w:keepNext w:val="0"/>
        <w:keepLines w:val="0"/>
        <w:widowControl w:val="0"/>
        <w:shd w:val="clear" w:color="auto" w:fill="auto"/>
        <w:bidi w:val="0"/>
        <w:spacing w:before="0" w:after="140" w:line="322" w:lineRule="auto"/>
        <w:ind w:left="440" w:right="0" w:firstLine="7220"/>
        <w:jc w:val="both"/>
      </w:pPr>
      <w:r>
        <w:rPr>
          <w:color w:val="000000"/>
          <w:spacing w:val="0"/>
          <w:w w:val="100"/>
          <w:position w:val="0"/>
          <w:shd w:val="clear" w:color="auto" w:fill="auto"/>
          <w:lang w:val="cs-CZ" w:eastAsia="cs-CZ" w:bidi="cs-CZ"/>
        </w:rPr>
        <w:t>Smlouva o dílo kontrolních dnů a postupovat podle dohodnutých opatření, a to v rozsahu, způsobem a ve lhůtách uvedených v plánu</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368" w:val="left"/>
        </w:tabs>
        <w:bidi w:val="0"/>
        <w:spacing w:before="0" w:after="20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 převzetí staveniště:</w:t>
      </w:r>
    </w:p>
    <w:p>
      <w:pPr>
        <w:pStyle w:val="Style10"/>
        <w:keepNext w:val="0"/>
        <w:keepLines w:val="0"/>
        <w:widowControl w:val="0"/>
        <w:shd w:val="clear" w:color="auto" w:fill="auto"/>
        <w:bidi w:val="0"/>
        <w:spacing w:before="0" w:after="200" w:line="240" w:lineRule="auto"/>
        <w:ind w:left="800" w:right="0" w:firstLine="0"/>
        <w:jc w:val="both"/>
      </w:pPr>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 , e-mail:</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cs-CZ" w:eastAsia="cs-CZ" w:bidi="cs-CZ"/>
        </w:rPr>
        <w:t>Bez zbytečného odkladu po převzetí staveniště.</w:t>
      </w:r>
    </w:p>
    <w:p>
      <w:pPr>
        <w:pStyle w:val="Style10"/>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předání a převzetí díla:</w:t>
      </w:r>
    </w:p>
    <w:p>
      <w:pPr>
        <w:pStyle w:val="Style10"/>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cs-CZ" w:eastAsia="cs-CZ" w:bidi="cs-CZ"/>
        </w:rPr>
        <w:t>Nejpozději do 31.12.2025</w:t>
      </w:r>
    </w:p>
    <w:p>
      <w:pPr>
        <w:pStyle w:val="Style10"/>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d) vyklizení staveniště:</w:t>
      </w:r>
    </w:p>
    <w:p>
      <w:pPr>
        <w:pStyle w:val="Style8"/>
        <w:keepNext/>
        <w:keepLines/>
        <w:widowControl w:val="0"/>
        <w:shd w:val="clear" w:color="auto" w:fill="auto"/>
        <w:bidi w:val="0"/>
        <w:spacing w:before="0" w:after="140" w:line="240" w:lineRule="auto"/>
        <w:ind w:left="1160" w:right="0" w:firstLine="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77"/>
      <w:bookmarkEnd w:id="78"/>
      <w:bookmarkEnd w:id="79"/>
    </w:p>
    <w:p>
      <w:pPr>
        <w:pStyle w:val="Style10"/>
        <w:keepNext w:val="0"/>
        <w:keepLines w:val="0"/>
        <w:widowControl w:val="0"/>
        <w:numPr>
          <w:ilvl w:val="0"/>
          <w:numId w:val="7"/>
        </w:numPr>
        <w:shd w:val="clear" w:color="auto" w:fill="auto"/>
        <w:tabs>
          <w:tab w:pos="368" w:val="left"/>
        </w:tabs>
        <w:bidi w:val="0"/>
        <w:spacing w:before="0" w:after="580" w:line="298" w:lineRule="auto"/>
        <w:ind w:left="300" w:right="0" w:hanging="300"/>
        <w:jc w:val="both"/>
      </w:pPr>
      <w:bookmarkStart w:id="80" w:name="bookmark80"/>
      <w:bookmarkEnd w:id="80"/>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10"/>
        <w:keepNext w:val="0"/>
        <w:keepLines w:val="0"/>
        <w:widowControl w:val="0"/>
        <w:numPr>
          <w:ilvl w:val="0"/>
          <w:numId w:val="7"/>
        </w:numPr>
        <w:shd w:val="clear" w:color="auto" w:fill="auto"/>
        <w:tabs>
          <w:tab w:pos="368" w:val="left"/>
        </w:tabs>
        <w:bidi w:val="0"/>
        <w:spacing w:before="0" w:after="580" w:line="300" w:lineRule="auto"/>
        <w:ind w:left="300" w:right="0" w:hanging="300"/>
        <w:jc w:val="both"/>
      </w:pPr>
      <w:bookmarkStart w:id="81" w:name="bookmark81"/>
      <w:bookmarkEnd w:id="8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7"/>
        </w:numPr>
        <w:shd w:val="clear" w:color="auto" w:fill="auto"/>
        <w:tabs>
          <w:tab w:pos="368" w:val="left"/>
        </w:tabs>
        <w:bidi w:val="0"/>
        <w:spacing w:before="0" w:after="580" w:line="293" w:lineRule="auto"/>
        <w:ind w:left="300" w:right="0" w:hanging="300"/>
        <w:jc w:val="both"/>
      </w:pPr>
      <w:bookmarkStart w:id="82" w:name="bookmark82"/>
      <w:bookmarkEnd w:id="82"/>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10"/>
        <w:keepNext w:val="0"/>
        <w:keepLines w:val="0"/>
        <w:widowControl w:val="0"/>
        <w:numPr>
          <w:ilvl w:val="0"/>
          <w:numId w:val="7"/>
        </w:numPr>
        <w:shd w:val="clear" w:color="auto" w:fill="auto"/>
        <w:tabs>
          <w:tab w:pos="668" w:val="left"/>
        </w:tabs>
        <w:bidi w:val="0"/>
        <w:spacing w:before="0" w:after="140" w:line="295" w:lineRule="auto"/>
        <w:ind w:left="300" w:right="0" w:firstLine="60"/>
        <w:jc w:val="both"/>
      </w:pPr>
      <w:bookmarkStart w:id="83" w:name="bookmark83"/>
      <w:bookmarkEnd w:id="83"/>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10"/>
        <w:keepNext w:val="0"/>
        <w:keepLines w:val="0"/>
        <w:widowControl w:val="0"/>
        <w:shd w:val="clear" w:color="auto" w:fill="auto"/>
        <w:bidi w:val="0"/>
        <w:spacing w:before="0" w:after="140" w:line="295"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78" w:val="left"/>
        </w:tabs>
        <w:bidi w:val="0"/>
        <w:spacing w:before="0" w:after="200" w:line="240" w:lineRule="auto"/>
        <w:ind w:left="300" w:right="0" w:hanging="300"/>
        <w:jc w:val="both"/>
      </w:pPr>
      <w:bookmarkStart w:id="84" w:name="bookmark84"/>
      <w:bookmarkEnd w:id="84"/>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00" w:right="0" w:firstLine="6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10"/>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Cena za dílo zahrnuje veškeré náklady zhotovitele související s realizací díla a předáním</w:t>
      </w:r>
    </w:p>
    <w:p>
      <w:pPr>
        <w:pStyle w:val="Style10"/>
        <w:keepNext w:val="0"/>
        <w:keepLines w:val="0"/>
        <w:widowControl w:val="0"/>
        <w:shd w:val="clear" w:color="auto" w:fill="auto"/>
        <w:bidi w:val="0"/>
        <w:spacing w:before="0" w:after="200" w:line="240" w:lineRule="auto"/>
        <w:ind w:left="0" w:right="0" w:firstLine="0"/>
        <w:jc w:val="right"/>
        <w:rPr>
          <w:sz w:val="24"/>
          <w:szCs w:val="24"/>
        </w:rPr>
        <w:sectPr>
          <w:headerReference w:type="default" r:id="rId7"/>
          <w:footerReference w:type="default" r:id="rId8"/>
          <w:footnotePr>
            <w:pos w:val="pageBottom"/>
            <w:numFmt w:val="decimal"/>
            <w:numRestart w:val="continuous"/>
          </w:footnotePr>
          <w:pgSz w:w="11909" w:h="16838"/>
          <w:pgMar w:top="657" w:left="1396" w:right="1382" w:bottom="657" w:header="229" w:footer="229"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4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p>
      <w:pPr>
        <w:pStyle w:val="Style10"/>
        <w:keepNext w:val="0"/>
        <w:keepLines w:val="0"/>
        <w:widowControl w:val="0"/>
        <w:shd w:val="clear" w:color="auto" w:fill="auto"/>
        <w:bidi w:val="0"/>
        <w:spacing w:before="0" w:after="200" w:line="240" w:lineRule="auto"/>
        <w:ind w:left="0" w:right="0" w:firstLine="300"/>
        <w:jc w:val="both"/>
      </w:pPr>
      <w:r>
        <w:rPr>
          <w:color w:val="000000"/>
          <w:spacing w:val="0"/>
          <w:w w:val="100"/>
          <w:position w:val="0"/>
          <w:shd w:val="clear" w:color="auto" w:fill="auto"/>
          <w:lang w:val="cs-CZ" w:eastAsia="cs-CZ" w:bidi="cs-CZ"/>
        </w:rPr>
        <w:t>objednateli.</w:t>
      </w:r>
    </w:p>
    <w:p>
      <w:pPr>
        <w:pStyle w:val="Style10"/>
        <w:keepNext w:val="0"/>
        <w:keepLines w:val="0"/>
        <w:widowControl w:val="0"/>
        <w:numPr>
          <w:ilvl w:val="0"/>
          <w:numId w:val="9"/>
        </w:numPr>
        <w:shd w:val="clear" w:color="auto" w:fill="auto"/>
        <w:tabs>
          <w:tab w:pos="357" w:val="left"/>
        </w:tabs>
        <w:bidi w:val="0"/>
        <w:spacing w:before="0" w:after="200" w:line="240" w:lineRule="auto"/>
        <w:ind w:left="300" w:right="0" w:hanging="300"/>
        <w:jc w:val="both"/>
      </w:pPr>
      <w:bookmarkStart w:id="85" w:name="bookmark85"/>
      <w:bookmarkEnd w:id="8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57" w:val="left"/>
        </w:tabs>
        <w:bidi w:val="0"/>
        <w:spacing w:before="0" w:after="200" w:line="230" w:lineRule="auto"/>
        <w:ind w:left="300" w:right="0" w:hanging="300"/>
        <w:jc w:val="both"/>
      </w:pPr>
      <w:bookmarkStart w:id="86" w:name="bookmark86"/>
      <w:bookmarkEnd w:id="86"/>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9"/>
        </w:numPr>
        <w:shd w:val="clear" w:color="auto" w:fill="auto"/>
        <w:tabs>
          <w:tab w:pos="357" w:val="left"/>
        </w:tabs>
        <w:bidi w:val="0"/>
        <w:spacing w:before="0" w:after="200" w:line="240" w:lineRule="auto"/>
        <w:ind w:left="300" w:right="0" w:hanging="300"/>
        <w:jc w:val="both"/>
      </w:pPr>
      <w:bookmarkStart w:id="87" w:name="bookmark87"/>
      <w:bookmarkEnd w:id="8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5695" w:val="left"/>
        </w:tabs>
        <w:bidi w:val="0"/>
        <w:spacing w:before="0" w:after="200" w:line="240" w:lineRule="auto"/>
        <w:ind w:left="0" w:right="0" w:firstLine="300"/>
        <w:jc w:val="both"/>
      </w:pPr>
      <w:r>
        <w:rPr>
          <w:color w:val="000000"/>
          <w:spacing w:val="0"/>
          <w:w w:val="100"/>
          <w:position w:val="0"/>
          <w:shd w:val="clear" w:color="auto" w:fill="auto"/>
          <w:lang w:val="cs-CZ" w:eastAsia="cs-CZ" w:bidi="cs-CZ"/>
        </w:rPr>
        <w:t>Celková smluvní cena bez DPH</w:t>
        <w:tab/>
        <w:t>108.264,50 Kč</w:t>
      </w:r>
    </w:p>
    <w:p>
      <w:pPr>
        <w:pStyle w:val="Style10"/>
        <w:keepNext w:val="0"/>
        <w:keepLines w:val="0"/>
        <w:widowControl w:val="0"/>
        <w:shd w:val="clear" w:color="auto" w:fill="auto"/>
        <w:bidi w:val="0"/>
        <w:spacing w:before="0" w:after="20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9"/>
        </w:numPr>
        <w:shd w:val="clear" w:color="auto" w:fill="auto"/>
        <w:tabs>
          <w:tab w:pos="333" w:val="left"/>
        </w:tabs>
        <w:bidi w:val="0"/>
        <w:spacing w:before="0" w:after="440" w:line="240" w:lineRule="auto"/>
        <w:ind w:left="300" w:right="0" w:hanging="300"/>
        <w:jc w:val="both"/>
      </w:pPr>
      <w:bookmarkStart w:id="88" w:name="bookmark88"/>
      <w:bookmarkEnd w:id="88"/>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Objednavatel nebude poskytovat zhotoviteli zálohy.</w:t>
      </w:r>
    </w:p>
    <w:p>
      <w:pPr>
        <w:pStyle w:val="Style10"/>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a.i.2. </w:t>
      </w:r>
      <w:r>
        <w:rPr>
          <w:color w:val="00000A"/>
          <w:spacing w:val="0"/>
          <w:w w:val="100"/>
          <w:position w:val="0"/>
          <w:shd w:val="clear" w:color="auto" w:fill="auto"/>
          <w:lang w:val="cs-CZ" w:eastAsia="cs-CZ" w:bidi="cs-CZ"/>
        </w:rPr>
        <w:t>Cena díla bude zhotoviteli uhrazena po předání a převzetí díla bez vad a nedodělků.</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a.i.3. </w:t>
      </w:r>
      <w:r>
        <w:rPr>
          <w:color w:val="00000A"/>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a.i.4. </w:t>
      </w:r>
      <w:r>
        <w:rPr>
          <w:color w:val="00000A"/>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a.i.5. </w:t>
      </w:r>
      <w:r>
        <w:rPr>
          <w:color w:val="00000A"/>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10"/>
        <w:keepNext w:val="0"/>
        <w:keepLines w:val="0"/>
        <w:widowControl w:val="0"/>
        <w:shd w:val="clear" w:color="auto" w:fill="auto"/>
        <w:bidi w:val="0"/>
        <w:spacing w:before="0" w:after="0" w:line="240" w:lineRule="auto"/>
        <w:ind w:left="300" w:right="0" w:hanging="300"/>
        <w:jc w:val="both"/>
      </w:pPr>
      <w:r>
        <w:rPr>
          <w:b/>
          <w:bCs/>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10"/>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Splatnost faktury je 30 kalendářních dnů od data doručení faktury objednavateli.</w:t>
      </w:r>
    </w:p>
    <w:p>
      <w:pPr>
        <w:pStyle w:val="Style10"/>
        <w:keepNext w:val="0"/>
        <w:keepLines w:val="0"/>
        <w:widowControl w:val="0"/>
        <w:shd w:val="clear" w:color="auto" w:fill="auto"/>
        <w:bidi w:val="0"/>
        <w:spacing w:before="0" w:after="200" w:line="240" w:lineRule="auto"/>
        <w:ind w:left="300" w:right="0" w:hanging="300"/>
        <w:jc w:val="both"/>
        <w:sectPr>
          <w:headerReference w:type="default" r:id="rId9"/>
          <w:footerReference w:type="default" r:id="rId10"/>
          <w:footnotePr>
            <w:pos w:val="pageBottom"/>
            <w:numFmt w:val="decimal"/>
            <w:numRestart w:val="continuous"/>
          </w:footnotePr>
          <w:pgSz w:w="11909" w:h="16838"/>
          <w:pgMar w:top="1080" w:left="1396" w:right="1382" w:bottom="1286" w:header="0" w:footer="3" w:gutter="0"/>
          <w:cols w:space="720"/>
          <w:noEndnote/>
          <w:rtlGutter w:val="0"/>
          <w:docGrid w:linePitch="360"/>
        </w:sectPr>
      </w:pPr>
      <w:r>
        <w:rPr>
          <w:b/>
          <w:bCs/>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w:t>
      </w:r>
    </w:p>
    <w:p>
      <w:pPr>
        <w:pStyle w:val="Style10"/>
        <w:keepNext w:val="0"/>
        <w:keepLines w:val="0"/>
        <w:widowControl w:val="0"/>
        <w:shd w:val="clear" w:color="auto" w:fill="auto"/>
        <w:bidi w:val="0"/>
        <w:spacing w:before="0" w:after="60" w:line="401" w:lineRule="auto"/>
        <w:ind w:left="300" w:right="0" w:firstLine="7340"/>
        <w:jc w:val="both"/>
      </w:pPr>
      <w:r>
        <w:rPr>
          <w:color w:val="000000"/>
          <w:spacing w:val="0"/>
          <w:w w:val="100"/>
          <w:position w:val="0"/>
          <w:shd w:val="clear" w:color="auto" w:fill="auto"/>
          <w:lang w:val="cs-CZ" w:eastAsia="cs-CZ" w:bidi="cs-CZ"/>
        </w:rPr>
        <w:t xml:space="preserve">Smlouva o dílo </w:t>
      </w:r>
      <w:r>
        <w:rPr>
          <w:color w:val="00000A"/>
          <w:spacing w:val="0"/>
          <w:w w:val="100"/>
          <w:position w:val="0"/>
          <w:shd w:val="clear" w:color="auto" w:fill="auto"/>
          <w:lang w:val="cs-CZ" w:eastAsia="cs-CZ" w:bidi="cs-CZ"/>
        </w:rPr>
        <w:t>znění pozdějších předpisů a zákona č. 235/2004 Sb., o DPH v platném znění.</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0" w:right="0" w:firstLine="0"/>
        <w:jc w:val="both"/>
      </w:pPr>
      <w:r>
        <w:rPr>
          <w:b/>
          <w:bCs/>
          <w:color w:val="808080"/>
          <w:spacing w:val="0"/>
          <w:w w:val="100"/>
          <w:position w:val="0"/>
          <w:sz w:val="18"/>
          <w:szCs w:val="18"/>
          <w:shd w:val="clear" w:color="auto" w:fill="auto"/>
          <w:lang w:val="cs-CZ" w:eastAsia="cs-CZ" w:bidi="cs-CZ"/>
        </w:rPr>
        <w:t xml:space="preserve">a.i.10. </w:t>
      </w:r>
      <w:r>
        <w:rPr>
          <w:color w:val="00000A"/>
          <w:spacing w:val="0"/>
          <w:w w:val="100"/>
          <w:position w:val="0"/>
          <w:shd w:val="clear" w:color="auto" w:fill="auto"/>
          <w:lang w:val="cs-CZ" w:eastAsia="cs-CZ" w:bidi="cs-CZ"/>
        </w:rPr>
        <w:t>Předat faktury lze i elektronicky na adresu:</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a.i.11. </w:t>
      </w:r>
      <w:r>
        <w:rPr>
          <w:color w:val="00000A"/>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a.i.12. </w:t>
      </w:r>
      <w:r>
        <w:rPr>
          <w:color w:val="00000A"/>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a.i.13. </w:t>
      </w:r>
      <w:r>
        <w:rPr>
          <w:color w:val="00000A"/>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0"/>
        <w:keepNext w:val="0"/>
        <w:keepLines w:val="0"/>
        <w:widowControl w:val="0"/>
        <w:shd w:val="clear" w:color="auto" w:fill="auto"/>
        <w:bidi w:val="0"/>
        <w:spacing w:before="0" w:after="200" w:line="240" w:lineRule="auto"/>
        <w:ind w:left="300" w:right="0" w:hanging="300"/>
        <w:jc w:val="both"/>
      </w:pPr>
      <w:r>
        <w:rPr>
          <w:b/>
          <w:bCs/>
          <w:color w:val="808080"/>
          <w:spacing w:val="0"/>
          <w:w w:val="100"/>
          <w:position w:val="0"/>
          <w:sz w:val="18"/>
          <w:szCs w:val="18"/>
          <w:shd w:val="clear" w:color="auto" w:fill="auto"/>
          <w:lang w:val="cs-CZ" w:eastAsia="cs-CZ" w:bidi="cs-CZ"/>
        </w:rPr>
        <w:t xml:space="preserve">a.i.14.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10"/>
        <w:keepNext w:val="0"/>
        <w:keepLines w:val="0"/>
        <w:widowControl w:val="0"/>
        <w:shd w:val="clear" w:color="auto" w:fill="auto"/>
        <w:bidi w:val="0"/>
        <w:spacing w:before="0" w:after="360" w:line="295" w:lineRule="auto"/>
        <w:ind w:left="300" w:right="0" w:hanging="300"/>
        <w:jc w:val="both"/>
      </w:pPr>
      <w:r>
        <w:rPr>
          <w:b/>
          <w:bCs/>
          <w:color w:val="808080"/>
          <w:spacing w:val="0"/>
          <w:w w:val="100"/>
          <w:position w:val="0"/>
          <w:sz w:val="18"/>
          <w:szCs w:val="18"/>
          <w:shd w:val="clear" w:color="auto" w:fill="auto"/>
          <w:lang w:val="cs-CZ" w:eastAsia="cs-CZ" w:bidi="cs-CZ"/>
        </w:rPr>
        <w:t xml:space="preserve">a.i.15. </w:t>
      </w:r>
      <w:r>
        <w:rPr>
          <w:color w:val="00000A"/>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89" w:name="bookmark89"/>
      <w:bookmarkEnd w:id="89"/>
      <w:r>
        <w:rPr>
          <w:color w:val="00000A"/>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10"/>
        <w:keepNext w:val="0"/>
        <w:keepLines w:val="0"/>
        <w:widowControl w:val="0"/>
        <w:numPr>
          <w:ilvl w:val="0"/>
          <w:numId w:val="13"/>
        </w:numPr>
        <w:shd w:val="clear" w:color="auto" w:fill="auto"/>
        <w:bidi w:val="0"/>
        <w:spacing w:before="0" w:after="0" w:line="240" w:lineRule="auto"/>
        <w:ind w:left="380" w:right="0" w:firstLine="20"/>
        <w:jc w:val="both"/>
      </w:pPr>
      <w:bookmarkStart w:id="90" w:name="bookmark90"/>
      <w:bookmarkEnd w:id="90"/>
      <w:r>
        <w:rPr>
          <w:color w:val="000000"/>
          <w:spacing w:val="0"/>
          <w:w w:val="100"/>
          <w:position w:val="0"/>
          <w:shd w:val="clear" w:color="auto" w:fill="auto"/>
          <w:lang w:val="cs-CZ" w:eastAsia="cs-CZ" w:bidi="cs-CZ"/>
        </w:rPr>
        <w:t>a) při nesplnění termínu předání a převzetí díla dle čl. II. odst. 1. písm. c) této smlouvy se sjednává smluvní pokuta ve výši 0,1 % z ceny díla bez DPH dle čl. III této smlouvy za každý i započatý kalendářní den prodlení, až do dne podpisu spisu o předání a převzetí díla;</w:t>
      </w:r>
    </w:p>
    <w:p>
      <w:pPr>
        <w:pStyle w:val="Style10"/>
        <w:keepNext w:val="0"/>
        <w:keepLines w:val="0"/>
        <w:widowControl w:val="0"/>
        <w:shd w:val="clear" w:color="auto" w:fill="auto"/>
        <w:bidi w:val="0"/>
        <w:spacing w:before="0" w:after="0" w:line="240" w:lineRule="auto"/>
        <w:ind w:left="800" w:right="0" w:hanging="280"/>
        <w:jc w:val="both"/>
      </w:pPr>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p>
    <w:p>
      <w:pPr>
        <w:pStyle w:val="Style10"/>
        <w:keepNext w:val="0"/>
        <w:keepLines w:val="0"/>
        <w:widowControl w:val="0"/>
        <w:shd w:val="clear" w:color="auto" w:fill="auto"/>
        <w:bidi w:val="0"/>
        <w:spacing w:before="0" w:after="200" w:line="240" w:lineRule="auto"/>
        <w:ind w:left="800" w:right="0" w:firstLine="60"/>
        <w:jc w:val="both"/>
        <w:sectPr>
          <w:headerReference w:type="default" r:id="rId11"/>
          <w:footerReference w:type="default" r:id="rId12"/>
          <w:footnotePr>
            <w:pos w:val="pageBottom"/>
            <w:numFmt w:val="decimal"/>
            <w:numRestart w:val="continuous"/>
          </w:footnotePr>
          <w:pgSz w:w="11909" w:h="16838"/>
          <w:pgMar w:top="657" w:left="1396" w:right="1386" w:bottom="1286" w:header="229" w:footer="3" w:gutter="0"/>
          <w:cols w:space="720"/>
          <w:noEndnote/>
          <w:rtlGutter w:val="0"/>
          <w:docGrid w:linePitch="360"/>
        </w:sectPr>
      </w:pPr>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 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pPr>
        <w:pStyle w:val="Style10"/>
        <w:keepNext w:val="0"/>
        <w:keepLines w:val="0"/>
        <w:widowControl w:val="0"/>
        <w:shd w:val="clear" w:color="auto" w:fill="auto"/>
        <w:bidi w:val="0"/>
        <w:spacing w:before="0" w:after="0" w:line="240" w:lineRule="auto"/>
        <w:ind w:left="860" w:right="0" w:firstLine="0"/>
        <w:jc w:val="both"/>
      </w:pPr>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p>
    <w:p>
      <w:pPr>
        <w:pStyle w:val="Style10"/>
        <w:keepNext w:val="0"/>
        <w:keepLines w:val="0"/>
        <w:widowControl w:val="0"/>
        <w:shd w:val="clear" w:color="auto" w:fill="auto"/>
        <w:bidi w:val="0"/>
        <w:spacing w:before="0" w:after="0" w:line="240" w:lineRule="auto"/>
        <w:ind w:left="860" w:right="0" w:firstLine="0"/>
        <w:jc w:val="both"/>
      </w:pPr>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pPr>
        <w:pStyle w:val="Style10"/>
        <w:keepNext w:val="0"/>
        <w:keepLines w:val="0"/>
        <w:widowControl w:val="0"/>
        <w:shd w:val="clear" w:color="auto" w:fill="auto"/>
        <w:bidi w:val="0"/>
        <w:spacing w:before="0" w:after="0" w:line="240" w:lineRule="auto"/>
        <w:ind w:left="860" w:right="0" w:firstLine="0"/>
        <w:jc w:val="both"/>
      </w:pPr>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p>
    <w:p>
      <w:pPr>
        <w:pStyle w:val="Style10"/>
        <w:keepNext w:val="0"/>
        <w:keepLines w:val="0"/>
        <w:widowControl w:val="0"/>
        <w:shd w:val="clear" w:color="auto" w:fill="auto"/>
        <w:bidi w:val="0"/>
        <w:spacing w:before="0" w:after="200" w:line="240" w:lineRule="auto"/>
        <w:ind w:left="860" w:right="0" w:firstLine="0"/>
        <w:jc w:val="both"/>
      </w:pPr>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8"/>
        <w:keepNext/>
        <w:keepLines/>
        <w:widowControl w:val="0"/>
        <w:numPr>
          <w:ilvl w:val="0"/>
          <w:numId w:val="13"/>
        </w:numPr>
        <w:shd w:val="clear" w:color="auto" w:fill="auto"/>
        <w:tabs>
          <w:tab w:pos="382" w:val="left"/>
        </w:tabs>
        <w:bidi w:val="0"/>
        <w:spacing w:before="0" w:after="10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91"/>
      <w:bookmarkEnd w:id="92"/>
      <w:bookmarkEnd w:id="94"/>
    </w:p>
    <w:p>
      <w:pPr>
        <w:pStyle w:val="Style10"/>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82" w:val="left"/>
        </w:tabs>
        <w:bidi w:val="0"/>
        <w:spacing w:before="0" w:after="0" w:line="240" w:lineRule="auto"/>
        <w:ind w:left="0" w:right="0" w:firstLine="0"/>
        <w:jc w:val="both"/>
      </w:pPr>
      <w:bookmarkStart w:id="96" w:name="bookmark96"/>
      <w:bookmarkEnd w:id="96"/>
      <w:r>
        <w:rPr>
          <w:color w:val="000000"/>
          <w:spacing w:val="0"/>
          <w:w w:val="100"/>
          <w:position w:val="0"/>
          <w:shd w:val="clear" w:color="auto" w:fill="auto"/>
          <w:lang w:val="cs-CZ" w:eastAsia="cs-CZ" w:bidi="cs-CZ"/>
        </w:rPr>
        <w:t>Sankci vyúčtuje oprávněná strana straně povinné písemnou formou.</w:t>
      </w:r>
    </w:p>
    <w:p>
      <w:pPr>
        <w:pStyle w:val="Style10"/>
        <w:keepNext w:val="0"/>
        <w:keepLines w:val="0"/>
        <w:widowControl w:val="0"/>
        <w:shd w:val="clear" w:color="auto" w:fill="auto"/>
        <w:bidi w:val="0"/>
        <w:spacing w:before="0" w:after="200" w:line="240" w:lineRule="auto"/>
        <w:ind w:left="380" w:right="0" w:hanging="38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382" w:val="left"/>
        </w:tabs>
        <w:bidi w:val="0"/>
        <w:spacing w:before="0" w:after="84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5"/>
        </w:numPr>
        <w:shd w:val="clear" w:color="auto" w:fill="auto"/>
        <w:tabs>
          <w:tab w:pos="402" w:val="left"/>
        </w:tabs>
        <w:bidi w:val="0"/>
        <w:spacing w:before="0" w:after="0" w:line="221" w:lineRule="auto"/>
        <w:ind w:left="0" w:right="0" w:firstLine="0"/>
        <w:jc w:val="left"/>
      </w:pPr>
      <w:bookmarkStart w:id="100" w:name="bookmark100"/>
      <w:bookmarkEnd w:id="100"/>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10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3"/>
        </w:numPr>
        <w:shd w:val="clear" w:color="auto" w:fill="auto"/>
        <w:tabs>
          <w:tab w:pos="986" w:val="left"/>
        </w:tabs>
        <w:bidi w:val="0"/>
        <w:spacing w:before="0" w:after="100" w:line="240" w:lineRule="auto"/>
        <w:ind w:left="1020" w:right="0" w:hanging="600"/>
        <w:jc w:val="both"/>
      </w:pPr>
      <w:bookmarkStart w:id="101" w:name="bookmark101"/>
      <w:bookmarkEnd w:id="101"/>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3"/>
        </w:numPr>
        <w:shd w:val="clear" w:color="auto" w:fill="auto"/>
        <w:tabs>
          <w:tab w:pos="986" w:val="left"/>
        </w:tabs>
        <w:bidi w:val="0"/>
        <w:spacing w:before="0" w:after="100" w:line="240" w:lineRule="auto"/>
        <w:ind w:left="1020" w:right="0" w:hanging="600"/>
        <w:jc w:val="both"/>
      </w:pPr>
      <w:bookmarkStart w:id="102" w:name="bookmark102"/>
      <w:bookmarkEnd w:id="102"/>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2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2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5"/>
        </w:numPr>
        <w:shd w:val="clear" w:color="auto" w:fill="auto"/>
        <w:tabs>
          <w:tab w:pos="360" w:val="left"/>
        </w:tabs>
        <w:bidi w:val="0"/>
        <w:spacing w:before="0" w:after="440" w:line="240" w:lineRule="auto"/>
        <w:ind w:left="0" w:right="0" w:firstLine="0"/>
        <w:jc w:val="both"/>
      </w:pPr>
      <w:bookmarkStart w:id="103" w:name="bookmark103"/>
      <w:bookmarkEnd w:id="103"/>
      <w:r>
        <w:rPr>
          <w:color w:val="00000A"/>
          <w:spacing w:val="0"/>
          <w:w w:val="100"/>
          <w:position w:val="0"/>
          <w:shd w:val="clear" w:color="auto" w:fill="auto"/>
          <w:lang w:val="cs-CZ" w:eastAsia="cs-CZ" w:bidi="cs-CZ"/>
        </w:rPr>
        <w:t>Záruční doba se s ohledem na charakter prací nesjednává.</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7"/>
        </w:numPr>
        <w:shd w:val="clear" w:color="auto" w:fill="auto"/>
        <w:tabs>
          <w:tab w:pos="360" w:val="left"/>
        </w:tabs>
        <w:bidi w:val="0"/>
        <w:spacing w:before="0" w:after="18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360" w:val="left"/>
        </w:tabs>
        <w:bidi w:val="0"/>
        <w:spacing w:before="0" w:after="300" w:line="240" w:lineRule="auto"/>
        <w:ind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05"/>
      <w:bookmarkEnd w:id="106"/>
      <w:bookmarkEnd w:id="108"/>
    </w:p>
    <w:p>
      <w:pPr>
        <w:pStyle w:val="Style10"/>
        <w:keepNext w:val="0"/>
        <w:keepLines w:val="0"/>
        <w:widowControl w:val="0"/>
        <w:shd w:val="clear" w:color="auto" w:fill="auto"/>
        <w:bidi w:val="0"/>
        <w:spacing w:before="0" w:after="300" w:line="240" w:lineRule="auto"/>
        <w:ind w:left="364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19"/>
        </w:numPr>
        <w:shd w:val="clear" w:color="auto" w:fill="auto"/>
        <w:tabs>
          <w:tab w:pos="360" w:val="left"/>
        </w:tabs>
        <w:bidi w:val="0"/>
        <w:spacing w:before="0" w:after="180" w:line="23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19"/>
        </w:numPr>
        <w:shd w:val="clear" w:color="auto" w:fill="auto"/>
        <w:tabs>
          <w:tab w:pos="360" w:val="left"/>
        </w:tabs>
        <w:bidi w:val="0"/>
        <w:spacing w:before="0" w:after="180" w:line="240" w:lineRule="auto"/>
        <w:ind w:left="380" w:right="0" w:hanging="380"/>
        <w:jc w:val="both"/>
      </w:pPr>
      <w:bookmarkStart w:id="110" w:name="bookmark110"/>
      <w:bookmarkEnd w:id="110"/>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19"/>
        </w:numPr>
        <w:shd w:val="clear" w:color="auto" w:fill="auto"/>
        <w:tabs>
          <w:tab w:pos="360" w:val="left"/>
        </w:tabs>
        <w:bidi w:val="0"/>
        <w:spacing w:before="0" w:after="300" w:line="240" w:lineRule="auto"/>
        <w:ind w:left="380" w:right="0" w:hanging="380"/>
        <w:jc w:val="both"/>
      </w:pPr>
      <w:bookmarkStart w:id="111" w:name="bookmark111"/>
      <w:bookmarkEnd w:id="111"/>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19"/>
        </w:numPr>
        <w:shd w:val="clear" w:color="auto" w:fill="auto"/>
        <w:tabs>
          <w:tab w:pos="360" w:val="left"/>
        </w:tabs>
        <w:bidi w:val="0"/>
        <w:spacing w:before="0" w:after="30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2"/>
      <w:bookmarkEnd w:id="113"/>
      <w:bookmarkEnd w:id="115"/>
    </w:p>
    <w:p>
      <w:pPr>
        <w:pStyle w:val="Style10"/>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16" w:name="bookmark116"/>
      <w:bookmarkEnd w:id="116"/>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17" w:name="bookmark117"/>
      <w:bookmarkEnd w:id="117"/>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18" w:name="bookmark118"/>
      <w:bookmarkEnd w:id="118"/>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1"/>
        </w:numPr>
        <w:shd w:val="clear" w:color="auto" w:fill="auto"/>
        <w:tabs>
          <w:tab w:pos="358" w:val="left"/>
        </w:tabs>
        <w:bidi w:val="0"/>
        <w:spacing w:before="0" w:after="60" w:line="230" w:lineRule="auto"/>
        <w:ind w:left="380" w:right="0" w:hanging="380"/>
        <w:jc w:val="both"/>
      </w:pPr>
      <w:bookmarkStart w:id="119" w:name="bookmark119"/>
      <w:bookmarkEnd w:id="119"/>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0"/>
        <w:keepNext w:val="0"/>
        <w:keepLines w:val="0"/>
        <w:widowControl w:val="0"/>
        <w:numPr>
          <w:ilvl w:val="0"/>
          <w:numId w:val="23"/>
        </w:numPr>
        <w:shd w:val="clear" w:color="auto" w:fill="auto"/>
        <w:tabs>
          <w:tab w:pos="719" w:val="left"/>
        </w:tabs>
        <w:bidi w:val="0"/>
        <w:spacing w:before="0" w:line="240" w:lineRule="auto"/>
        <w:ind w:left="740" w:right="0" w:hanging="360"/>
        <w:jc w:val="both"/>
      </w:pPr>
      <w:bookmarkStart w:id="120" w:name="bookmark120"/>
      <w:bookmarkEnd w:id="12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p>
    <w:p>
      <w:pPr>
        <w:pStyle w:val="Style10"/>
        <w:keepNext w:val="0"/>
        <w:keepLines w:val="0"/>
        <w:widowControl w:val="0"/>
        <w:numPr>
          <w:ilvl w:val="0"/>
          <w:numId w:val="23"/>
        </w:numPr>
        <w:shd w:val="clear" w:color="auto" w:fill="auto"/>
        <w:tabs>
          <w:tab w:pos="719" w:val="left"/>
        </w:tabs>
        <w:bidi w:val="0"/>
        <w:spacing w:before="0" w:line="240" w:lineRule="auto"/>
        <w:ind w:left="0" w:right="0" w:firstLine="380"/>
        <w:jc w:val="both"/>
      </w:pPr>
      <w:bookmarkStart w:id="121" w:name="bookmark121"/>
      <w:bookmarkEnd w:id="121"/>
      <w:r>
        <w:rPr>
          <w:color w:val="000000"/>
          <w:spacing w:val="0"/>
          <w:w w:val="100"/>
          <w:position w:val="0"/>
          <w:shd w:val="clear" w:color="auto" w:fill="auto"/>
          <w:lang w:val="cs-CZ" w:eastAsia="cs-CZ" w:bidi="cs-CZ"/>
        </w:rPr>
        <w:t>bezdůvodném přerušení prací zhotovitelem, které trvá více než 14 dnů,</w:t>
      </w:r>
    </w:p>
    <w:p>
      <w:pPr>
        <w:pStyle w:val="Style10"/>
        <w:keepNext w:val="0"/>
        <w:keepLines w:val="0"/>
        <w:widowControl w:val="0"/>
        <w:numPr>
          <w:ilvl w:val="0"/>
          <w:numId w:val="23"/>
        </w:numPr>
        <w:shd w:val="clear" w:color="auto" w:fill="auto"/>
        <w:tabs>
          <w:tab w:pos="719" w:val="left"/>
        </w:tabs>
        <w:bidi w:val="0"/>
        <w:spacing w:before="0" w:line="240" w:lineRule="auto"/>
        <w:ind w:left="740" w:right="0" w:hanging="360"/>
        <w:jc w:val="both"/>
      </w:pPr>
      <w:bookmarkStart w:id="122" w:name="bookmark122"/>
      <w:bookmarkEnd w:id="12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pPr>
        <w:pStyle w:val="Style10"/>
        <w:keepNext w:val="0"/>
        <w:keepLines w:val="0"/>
        <w:widowControl w:val="0"/>
        <w:numPr>
          <w:ilvl w:val="0"/>
          <w:numId w:val="23"/>
        </w:numPr>
        <w:shd w:val="clear" w:color="auto" w:fill="auto"/>
        <w:tabs>
          <w:tab w:pos="724" w:val="left"/>
        </w:tabs>
        <w:bidi w:val="0"/>
        <w:spacing w:before="0" w:after="60" w:line="240" w:lineRule="auto"/>
        <w:ind w:left="0" w:right="0" w:firstLine="380"/>
        <w:jc w:val="both"/>
      </w:pPr>
      <w:bookmarkStart w:id="123" w:name="bookmark123"/>
      <w:bookmarkEnd w:id="123"/>
      <w:r>
        <w:rPr>
          <w:color w:val="000000"/>
          <w:spacing w:val="0"/>
          <w:w w:val="100"/>
          <w:position w:val="0"/>
          <w:shd w:val="clear" w:color="auto" w:fill="auto"/>
          <w:lang w:val="cs-CZ" w:eastAsia="cs-CZ" w:bidi="cs-CZ"/>
        </w:rPr>
        <w:t>neplněním povinností zhotovitele vést řádně zápisy do stavebního deníku.</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24" w:name="bookmark124"/>
      <w:bookmarkEnd w:id="124"/>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1"/>
        </w:numPr>
        <w:shd w:val="clear" w:color="auto" w:fill="auto"/>
        <w:tabs>
          <w:tab w:pos="358" w:val="left"/>
        </w:tabs>
        <w:bidi w:val="0"/>
        <w:spacing w:before="0" w:after="60" w:line="230" w:lineRule="auto"/>
        <w:ind w:left="380" w:right="0" w:hanging="380"/>
        <w:jc w:val="both"/>
      </w:pPr>
      <w:bookmarkStart w:id="125" w:name="bookmark125"/>
      <w:bookmarkEnd w:id="125"/>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1"/>
        </w:numPr>
        <w:shd w:val="clear" w:color="auto" w:fill="auto"/>
        <w:tabs>
          <w:tab w:pos="358" w:val="left"/>
        </w:tabs>
        <w:bidi w:val="0"/>
        <w:spacing w:before="0" w:after="6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1"/>
        </w:numPr>
        <w:shd w:val="clear" w:color="auto" w:fill="auto"/>
        <w:tabs>
          <w:tab w:pos="478" w:val="left"/>
        </w:tabs>
        <w:bidi w:val="0"/>
        <w:spacing w:before="0" w:after="6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1"/>
        </w:numPr>
        <w:shd w:val="clear" w:color="auto" w:fill="auto"/>
        <w:tabs>
          <w:tab w:pos="478" w:val="left"/>
        </w:tabs>
        <w:bidi w:val="0"/>
        <w:spacing w:before="0" w:after="60" w:line="240" w:lineRule="auto"/>
        <w:ind w:left="380" w:right="0" w:hanging="380"/>
        <w:jc w:val="both"/>
        <w:sectPr>
          <w:headerReference w:type="default" r:id="rId13"/>
          <w:footerReference w:type="default" r:id="rId14"/>
          <w:footnotePr>
            <w:pos w:val="pageBottom"/>
            <w:numFmt w:val="decimal"/>
            <w:numRestart w:val="continuous"/>
          </w:footnotePr>
          <w:pgSz w:w="11909" w:h="16838"/>
          <w:pgMar w:top="1069" w:left="1396" w:right="1383" w:bottom="1355" w:header="0" w:footer="3" w:gutter="0"/>
          <w:cols w:space="720"/>
          <w:noEndnote/>
          <w:rtlGutter w:val="0"/>
          <w:docGrid w:linePitch="360"/>
        </w:sectPr>
      </w:pPr>
      <w:bookmarkStart w:id="130" w:name="bookmark130"/>
      <w:bookmarkEnd w:id="13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w:t>
      </w:r>
    </w:p>
    <w:p>
      <w:pPr>
        <w:pStyle w:val="Style10"/>
        <w:keepNext w:val="0"/>
        <w:keepLines w:val="0"/>
        <w:widowControl w:val="0"/>
        <w:shd w:val="clear" w:color="auto" w:fill="auto"/>
        <w:bidi w:val="0"/>
        <w:spacing w:before="0" w:after="0" w:line="322" w:lineRule="auto"/>
        <w:ind w:left="380" w:right="0" w:firstLine="7260"/>
        <w:jc w:val="both"/>
      </w:pPr>
      <w:r>
        <w:rPr>
          <w:color w:val="000000"/>
          <w:spacing w:val="0"/>
          <w:w w:val="100"/>
          <w:position w:val="0"/>
          <w:shd w:val="clear" w:color="auto" w:fill="auto"/>
          <w:lang w:val="cs-CZ" w:eastAsia="cs-CZ" w:bidi="cs-CZ"/>
        </w:rPr>
        <w:t>Smlouva o dílo případné zákonné oznamovací povinnosti; obdobné platí ve vztahu k jednání, které je v rozporu se zásadami vyjádřenými v tomto článku.</w:t>
      </w:r>
    </w:p>
    <w:p>
      <w:pPr>
        <w:pStyle w:val="Style10"/>
        <w:keepNext w:val="0"/>
        <w:keepLines w:val="0"/>
        <w:widowControl w:val="0"/>
        <w:numPr>
          <w:ilvl w:val="0"/>
          <w:numId w:val="21"/>
        </w:numPr>
        <w:shd w:val="clear" w:color="auto" w:fill="auto"/>
        <w:tabs>
          <w:tab w:pos="471" w:val="left"/>
        </w:tabs>
        <w:bidi w:val="0"/>
        <w:spacing w:before="0" w:after="18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 xml:space="preserve">Smluvní strany nepovažují žádné ustanovení smlouvy za obchodní tajemství. </w:t>
      </w: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21"/>
        </w:numPr>
        <w:shd w:val="clear" w:color="auto" w:fill="auto"/>
        <w:tabs>
          <w:tab w:pos="471" w:val="left"/>
        </w:tabs>
        <w:bidi w:val="0"/>
        <w:spacing w:before="0" w:after="7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21"/>
        </w:numPr>
        <w:shd w:val="clear" w:color="auto" w:fill="auto"/>
        <w:tabs>
          <w:tab w:pos="471" w:val="left"/>
        </w:tabs>
        <w:bidi w:val="0"/>
        <w:spacing w:before="0" w:after="0" w:line="230" w:lineRule="auto"/>
        <w:ind w:left="380" w:right="0" w:hanging="380"/>
        <w:jc w:val="both"/>
      </w:pPr>
      <w:bookmarkStart w:id="133" w:name="bookmark133"/>
      <w:bookmarkEnd w:id="133"/>
      <w:r>
        <w:rPr>
          <w:color w:val="000000"/>
          <w:spacing w:val="0"/>
          <w:w w:val="100"/>
          <w:position w:val="0"/>
          <w:shd w:val="clear" w:color="auto" w:fill="auto"/>
          <w:lang w:val="cs-CZ" w:eastAsia="cs-CZ" w:bidi="cs-CZ"/>
        </w:rPr>
        <w:t>Nedílnou součástí smlouvy je: Příloha č. 1: Oceněný soupis prací</w:t>
      </w:r>
    </w:p>
    <w:p>
      <w:pPr>
        <w:pStyle w:val="Style10"/>
        <w:keepNext w:val="0"/>
        <w:keepLines w:val="0"/>
        <w:widowControl w:val="0"/>
        <w:shd w:val="clear" w:color="auto" w:fill="auto"/>
        <w:bidi w:val="0"/>
        <w:spacing w:before="0" w:after="0" w:line="240" w:lineRule="auto"/>
        <w:ind w:left="0" w:right="0" w:firstLine="380"/>
        <w:jc w:val="both"/>
        <w:sectPr>
          <w:headerReference w:type="default" r:id="rId15"/>
          <w:footerReference w:type="default" r:id="rId16"/>
          <w:footnotePr>
            <w:pos w:val="pageBottom"/>
            <w:numFmt w:val="decimal"/>
            <w:numRestart w:val="continuous"/>
          </w:footnotePr>
          <w:pgSz w:w="11909" w:h="16838"/>
          <w:pgMar w:top="657" w:left="1396" w:right="1382" w:bottom="6419" w:header="229"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86"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správní rady</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657" w:left="1396" w:right="3028" w:bottom="1286" w:header="0" w:footer="3" w:gutter="0"/>
          <w:cols w:num="2" w:space="2314"/>
          <w:noEndnote/>
          <w:rtlGutter w:val="0"/>
          <w:docGrid w:linePitch="360"/>
        </w:sectPr>
      </w:pPr>
      <w:r>
        <w:rPr>
          <w:color w:val="000000"/>
          <w:spacing w:val="0"/>
          <w:w w:val="100"/>
          <w:position w:val="0"/>
          <w:shd w:val="clear" w:color="auto" w:fill="auto"/>
          <w:lang w:val="cs-CZ" w:eastAsia="cs-CZ" w:bidi="cs-CZ"/>
        </w:rPr>
        <w:t>Potápěčská stanice, a.s. elektronicky podepsal</w:t>
      </w:r>
    </w:p>
    <w:sectPr>
      <w:footnotePr>
        <w:pos w:val="pageBottom"/>
        <w:numFmt w:val="decimal"/>
        <w:numRestart w:val="continuous"/>
      </w:footnotePr>
      <w:type w:val="continuous"/>
      <w:pgSz w:w="11909" w:h="16838"/>
      <w:pgMar w:top="657" w:left="1396" w:right="3028" w:bottom="1286" w:header="0" w:footer="3" w:gutter="0"/>
      <w:cols w:num="2" w:space="2314"/>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5769610</wp:posOffset>
              </wp:positionH>
              <wp:positionV relativeFrom="page">
                <wp:posOffset>9885045</wp:posOffset>
              </wp:positionV>
              <wp:extent cx="895985" cy="204470"/>
              <wp:wrapNone/>
              <wp:docPr id="3" name="Shape 3"/>
              <a:graphic xmlns:a="http://schemas.openxmlformats.org/drawingml/2006/main">
                <a:graphicData uri="http://schemas.microsoft.com/office/word/2010/wordprocessingShape">
                  <wps:wsp>
                    <wps:cNvSpPr txBox="1"/>
                    <wps:spPr>
                      <a:xfrm>
                        <a:ext cx="8959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54.30000000000001pt;margin-top:778.35000000000002pt;width:70.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5769610</wp:posOffset>
              </wp:positionH>
              <wp:positionV relativeFrom="page">
                <wp:posOffset>9885045</wp:posOffset>
              </wp:positionV>
              <wp:extent cx="895985" cy="204470"/>
              <wp:wrapNone/>
              <wp:docPr id="7" name="Shape 7"/>
              <a:graphic xmlns:a="http://schemas.openxmlformats.org/drawingml/2006/main">
                <a:graphicData uri="http://schemas.microsoft.com/office/word/2010/wordprocessingShape">
                  <wps:wsp>
                    <wps:cNvSpPr txBox="1"/>
                    <wps:spPr>
                      <a:xfrm>
                        <a:ext cx="8959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54.30000000000001pt;margin-top:778.35000000000002pt;width:70.549999999999997pt;height:16.1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5693410</wp:posOffset>
              </wp:positionH>
              <wp:positionV relativeFrom="page">
                <wp:posOffset>9875520</wp:posOffset>
              </wp:positionV>
              <wp:extent cx="972185" cy="204470"/>
              <wp:wrapNone/>
              <wp:docPr id="9" name="Shape 9"/>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8.30000000000001pt;margin-top:777.60000000000002pt;width:76.549999999999997pt;height:16.1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5769610</wp:posOffset>
              </wp:positionH>
              <wp:positionV relativeFrom="page">
                <wp:posOffset>9885045</wp:posOffset>
              </wp:positionV>
              <wp:extent cx="895985" cy="204470"/>
              <wp:wrapNone/>
              <wp:docPr id="13" name="Shape 13"/>
              <a:graphic xmlns:a="http://schemas.openxmlformats.org/drawingml/2006/main">
                <a:graphicData uri="http://schemas.microsoft.com/office/word/2010/wordprocessingShape">
                  <wps:wsp>
                    <wps:cNvSpPr txBox="1"/>
                    <wps:spPr>
                      <a:xfrm>
                        <a:ext cx="8959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54.30000000000001pt;margin-top:778.35000000000002pt;width:70.549999999999997pt;height:16.1000000000000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5693410</wp:posOffset>
              </wp:positionH>
              <wp:positionV relativeFrom="page">
                <wp:posOffset>9875520</wp:posOffset>
              </wp:positionV>
              <wp:extent cx="972185" cy="204470"/>
              <wp:wrapNone/>
              <wp:docPr id="15" name="Shape 15"/>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41" type="#_x0000_t202" style="position:absolute;margin-left:448.30000000000001pt;margin-top:777.60000000000002pt;width:76.549999999999997pt;height:16.1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5742305</wp:posOffset>
              </wp:positionH>
              <wp:positionV relativeFrom="page">
                <wp:posOffset>428625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5000000000003pt;margin-top:33.75pt;width:72.5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5742305</wp:posOffset>
              </wp:positionH>
              <wp:positionV relativeFrom="page">
                <wp:posOffset>428625</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15000000000003pt;margin-top:33.75pt;width:72.5pt;height:15.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5742305</wp:posOffset>
              </wp:positionH>
              <wp:positionV relativeFrom="page">
                <wp:posOffset>428625</wp:posOffset>
              </wp:positionV>
              <wp:extent cx="920750" cy="191770"/>
              <wp:wrapNone/>
              <wp:docPr id="11" name="Shape 1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15000000000003pt;margin-top:33.75pt;width:72.5pt;height:15.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