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CEBCDDF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AE1F78">
        <w:rPr>
          <w:rFonts w:cstheme="minorHAnsi"/>
          <w:b/>
          <w:sz w:val="28"/>
        </w:rPr>
        <w:t>6</w:t>
      </w:r>
      <w:r w:rsidR="00797934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28351D56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</w:t>
      </w:r>
      <w:r w:rsidR="00797934">
        <w:rPr>
          <w:rFonts w:cstheme="minorHAnsi"/>
          <w:sz w:val="22"/>
        </w:rPr>
        <w:t>Octavia</w:t>
      </w:r>
      <w:r w:rsidR="00B472BD">
        <w:rPr>
          <w:rFonts w:cstheme="minorHAnsi"/>
          <w:sz w:val="22"/>
        </w:rPr>
        <w:t>-</w:t>
      </w:r>
      <w:r w:rsidR="00797934">
        <w:rPr>
          <w:rFonts w:cstheme="minorHAnsi"/>
          <w:sz w:val="22"/>
        </w:rPr>
        <w:t>7AP7963</w:t>
      </w:r>
      <w:r w:rsidR="00115033">
        <w:rPr>
          <w:rFonts w:cstheme="minorHAnsi"/>
          <w:sz w:val="22"/>
        </w:rPr>
        <w:t>-</w:t>
      </w:r>
      <w:r w:rsidR="00797934">
        <w:rPr>
          <w:rFonts w:cstheme="minorHAnsi"/>
          <w:sz w:val="22"/>
        </w:rPr>
        <w:t>Pravidelný servis, výměna brzdových kotoučů a destiček</w:t>
      </w:r>
      <w:r w:rsidR="00A5632E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4BBD4272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797934">
        <w:rPr>
          <w:rFonts w:cstheme="minorHAnsi"/>
          <w:b/>
          <w:sz w:val="22"/>
        </w:rPr>
        <w:t>25.186</w:t>
      </w:r>
      <w:r w:rsidR="006E0920">
        <w:rPr>
          <w:rFonts w:cstheme="minorHAnsi"/>
          <w:b/>
          <w:sz w:val="22"/>
        </w:rPr>
        <w:t>,</w:t>
      </w:r>
      <w:r w:rsidR="001936A6">
        <w:rPr>
          <w:rFonts w:cstheme="minorHAnsi"/>
          <w:b/>
          <w:sz w:val="22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5F1AD0F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CA7282">
        <w:rPr>
          <w:rFonts w:cstheme="minorHAnsi"/>
          <w:sz w:val="22"/>
        </w:rPr>
        <w:t>1</w:t>
      </w:r>
      <w:r w:rsidR="00EB1988">
        <w:rPr>
          <w:rFonts w:cstheme="minorHAnsi"/>
          <w:sz w:val="22"/>
        </w:rPr>
        <w:t>2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060B4D00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B2128F2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781C81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848DE5B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00C51">
        <w:rPr>
          <w:rFonts w:cstheme="minorHAnsi"/>
          <w:sz w:val="22"/>
        </w:rPr>
        <w:t>21</w:t>
      </w:r>
      <w:r w:rsidR="00540AA7">
        <w:rPr>
          <w:rFonts w:cstheme="minorHAnsi"/>
          <w:sz w:val="22"/>
        </w:rPr>
        <w:t>.</w:t>
      </w:r>
      <w:r w:rsidR="00EB1988">
        <w:rPr>
          <w:rFonts w:cstheme="minorHAnsi"/>
          <w:sz w:val="22"/>
        </w:rPr>
        <w:t>1</w:t>
      </w:r>
      <w:r w:rsidR="004103F4">
        <w:rPr>
          <w:rFonts w:cstheme="minorHAnsi"/>
          <w:sz w:val="22"/>
        </w:rPr>
        <w:t>1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36B83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96FA5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752"/>
    <w:rsid w:val="007649EC"/>
    <w:rsid w:val="0076709C"/>
    <w:rsid w:val="00767E4A"/>
    <w:rsid w:val="00770812"/>
    <w:rsid w:val="0077373E"/>
    <w:rsid w:val="00777F37"/>
    <w:rsid w:val="00780420"/>
    <w:rsid w:val="00780A63"/>
    <w:rsid w:val="00781C81"/>
    <w:rsid w:val="00793AD1"/>
    <w:rsid w:val="0079499B"/>
    <w:rsid w:val="007949B5"/>
    <w:rsid w:val="00796619"/>
    <w:rsid w:val="00797233"/>
    <w:rsid w:val="00797934"/>
    <w:rsid w:val="007A0780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2AB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16C2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34A76"/>
    <w:rsid w:val="00B359D6"/>
    <w:rsid w:val="00B41053"/>
    <w:rsid w:val="00B4297F"/>
    <w:rsid w:val="00B43DCC"/>
    <w:rsid w:val="00B45F23"/>
    <w:rsid w:val="00B463CD"/>
    <w:rsid w:val="00B472BD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2168"/>
    <w:rsid w:val="00BA430A"/>
    <w:rsid w:val="00BA4FC6"/>
    <w:rsid w:val="00BA5328"/>
    <w:rsid w:val="00BB121B"/>
    <w:rsid w:val="00BB1CDC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172</cp:revision>
  <cp:lastPrinted>2025-11-20T13:42:00Z</cp:lastPrinted>
  <dcterms:created xsi:type="dcterms:W3CDTF">2023-08-22T09:27:00Z</dcterms:created>
  <dcterms:modified xsi:type="dcterms:W3CDTF">2025-11-25T14:54:00Z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