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vertAnchor="page" w:horzAnchor="margin" w:tblpXSpec="right" w:tblpY="2156"/>
        <w:tblOverlap w:val="never"/>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tblGrid>
      <w:tr w:rsidR="00F75814" w14:paraId="2E69C916" w14:textId="77777777" w:rsidTr="00BF3972">
        <w:tc>
          <w:tcPr>
            <w:tcW w:w="5103" w:type="dxa"/>
          </w:tcPr>
          <w:p w14:paraId="137FF1BE" w14:textId="7F957F2B" w:rsidR="003069B9" w:rsidRDefault="003069B9" w:rsidP="00C17375">
            <w:pPr>
              <w:pStyle w:val="Bezmezer"/>
              <w:jc w:val="right"/>
            </w:pPr>
          </w:p>
        </w:tc>
      </w:tr>
    </w:tbl>
    <w:p w14:paraId="14FB4040" w14:textId="77777777" w:rsidR="00BF3972" w:rsidRPr="00701E44" w:rsidRDefault="00BF3972" w:rsidP="00BF3972">
      <w:pPr>
        <w:spacing w:line="360" w:lineRule="auto"/>
        <w:contextualSpacing/>
        <w:jc w:val="center"/>
        <w:rPr>
          <w:rFonts w:ascii="Arial" w:hAnsi="Arial" w:cs="Arial"/>
          <w:b/>
          <w:caps/>
          <w:sz w:val="28"/>
          <w:szCs w:val="28"/>
        </w:rPr>
      </w:pPr>
      <w:r w:rsidRPr="00701E44">
        <w:rPr>
          <w:rFonts w:ascii="Arial" w:hAnsi="Arial" w:cs="Arial"/>
          <w:b/>
          <w:caps/>
          <w:sz w:val="28"/>
          <w:szCs w:val="28"/>
        </w:rPr>
        <w:t>Dohoda o narovnání</w:t>
      </w:r>
    </w:p>
    <w:p w14:paraId="05DC9B83" w14:textId="77777777" w:rsidR="00BF3972" w:rsidRPr="00701E44" w:rsidRDefault="00BF3972" w:rsidP="00BF3972">
      <w:pPr>
        <w:spacing w:line="360" w:lineRule="auto"/>
        <w:contextualSpacing/>
        <w:rPr>
          <w:rFonts w:ascii="Arial" w:hAnsi="Arial" w:cs="Arial"/>
          <w:b/>
          <w:sz w:val="22"/>
        </w:rPr>
      </w:pPr>
    </w:p>
    <w:p w14:paraId="7B46B645" w14:textId="013D90AE" w:rsidR="00BF3972" w:rsidRPr="00BF3972" w:rsidRDefault="00BF3972" w:rsidP="00BF3972">
      <w:pPr>
        <w:spacing w:line="360" w:lineRule="auto"/>
        <w:contextualSpacing/>
        <w:jc w:val="center"/>
        <w:rPr>
          <w:rFonts w:ascii="Arial" w:hAnsi="Arial" w:cs="Arial"/>
          <w:sz w:val="24"/>
          <w:szCs w:val="24"/>
        </w:rPr>
      </w:pPr>
      <w:r w:rsidRPr="00BF3972">
        <w:rPr>
          <w:rFonts w:ascii="Arial" w:hAnsi="Arial" w:cs="Arial"/>
          <w:b/>
          <w:sz w:val="24"/>
          <w:szCs w:val="24"/>
        </w:rPr>
        <w:t>MUZ/335/2025</w:t>
      </w:r>
    </w:p>
    <w:p w14:paraId="62CB726B" w14:textId="77777777" w:rsidR="00BF3972" w:rsidRPr="00BF3972" w:rsidRDefault="00BF3972" w:rsidP="00BF3972">
      <w:pPr>
        <w:spacing w:line="360" w:lineRule="auto"/>
        <w:contextualSpacing/>
        <w:rPr>
          <w:rFonts w:ascii="Arial" w:hAnsi="Arial" w:cs="Arial"/>
          <w:b/>
          <w:sz w:val="24"/>
          <w:szCs w:val="24"/>
        </w:rPr>
      </w:pPr>
    </w:p>
    <w:p w14:paraId="31F16EBB" w14:textId="77777777" w:rsidR="00BF3972" w:rsidRPr="00BF3972" w:rsidRDefault="00BF3972" w:rsidP="00BF3972">
      <w:pPr>
        <w:spacing w:line="360" w:lineRule="auto"/>
        <w:contextualSpacing/>
        <w:outlineLvl w:val="0"/>
        <w:rPr>
          <w:rFonts w:ascii="Arial" w:hAnsi="Arial" w:cs="Arial"/>
          <w:b/>
          <w:sz w:val="24"/>
          <w:szCs w:val="24"/>
        </w:rPr>
      </w:pPr>
      <w:r w:rsidRPr="00BF3972">
        <w:rPr>
          <w:rFonts w:ascii="Arial" w:hAnsi="Arial" w:cs="Arial"/>
          <w:sz w:val="24"/>
          <w:szCs w:val="24"/>
        </w:rPr>
        <w:t xml:space="preserve">Objednatel: </w:t>
      </w:r>
      <w:r w:rsidRPr="00BF3972">
        <w:rPr>
          <w:rFonts w:ascii="Arial" w:hAnsi="Arial" w:cs="Arial"/>
          <w:sz w:val="24"/>
          <w:szCs w:val="24"/>
        </w:rPr>
        <w:tab/>
      </w:r>
      <w:r w:rsidRPr="00BF3972">
        <w:rPr>
          <w:rFonts w:ascii="Arial" w:hAnsi="Arial" w:cs="Arial"/>
          <w:b/>
          <w:sz w:val="24"/>
          <w:szCs w:val="24"/>
        </w:rPr>
        <w:tab/>
        <w:t>Muzeum hlavního města Prahy, příspěvková organizace</w:t>
      </w:r>
    </w:p>
    <w:p w14:paraId="1631B914" w14:textId="77777777" w:rsidR="00BF3972" w:rsidRPr="00BF3972" w:rsidRDefault="00BF3972" w:rsidP="00BF3972">
      <w:pPr>
        <w:spacing w:line="360" w:lineRule="auto"/>
        <w:contextualSpacing/>
        <w:outlineLvl w:val="0"/>
        <w:rPr>
          <w:rFonts w:ascii="Arial" w:hAnsi="Arial" w:cs="Arial"/>
          <w:sz w:val="24"/>
          <w:szCs w:val="24"/>
        </w:rPr>
      </w:pPr>
      <w:r w:rsidRPr="00BF3972">
        <w:rPr>
          <w:rFonts w:ascii="Arial" w:hAnsi="Arial" w:cs="Arial"/>
          <w:sz w:val="24"/>
          <w:szCs w:val="24"/>
        </w:rPr>
        <w:t xml:space="preserve">IČO: </w:t>
      </w:r>
      <w:r w:rsidRPr="00BF3972">
        <w:rPr>
          <w:rFonts w:ascii="Arial" w:hAnsi="Arial" w:cs="Arial"/>
          <w:sz w:val="24"/>
          <w:szCs w:val="24"/>
        </w:rPr>
        <w:tab/>
      </w:r>
      <w:r w:rsidRPr="00BF3972">
        <w:rPr>
          <w:rFonts w:ascii="Arial" w:hAnsi="Arial" w:cs="Arial"/>
          <w:sz w:val="24"/>
          <w:szCs w:val="24"/>
        </w:rPr>
        <w:tab/>
      </w:r>
      <w:r w:rsidRPr="00BF3972">
        <w:rPr>
          <w:rFonts w:ascii="Arial" w:hAnsi="Arial" w:cs="Arial"/>
          <w:sz w:val="24"/>
          <w:szCs w:val="24"/>
        </w:rPr>
        <w:tab/>
        <w:t>00064432</w:t>
      </w:r>
    </w:p>
    <w:p w14:paraId="0C95F023" w14:textId="77777777" w:rsidR="00BF3972" w:rsidRPr="00BF3972" w:rsidRDefault="00BF3972" w:rsidP="00BF3972">
      <w:pPr>
        <w:spacing w:line="360" w:lineRule="auto"/>
        <w:contextualSpacing/>
        <w:outlineLvl w:val="0"/>
        <w:rPr>
          <w:rFonts w:ascii="Arial" w:hAnsi="Arial" w:cs="Arial"/>
          <w:sz w:val="24"/>
          <w:szCs w:val="24"/>
        </w:rPr>
      </w:pPr>
      <w:r w:rsidRPr="00BF3972">
        <w:rPr>
          <w:rFonts w:ascii="Arial" w:hAnsi="Arial" w:cs="Arial"/>
          <w:sz w:val="24"/>
          <w:szCs w:val="24"/>
        </w:rPr>
        <w:t>DIČ:</w:t>
      </w:r>
      <w:r w:rsidRPr="00BF3972">
        <w:rPr>
          <w:rFonts w:ascii="Arial" w:hAnsi="Arial" w:cs="Arial"/>
          <w:sz w:val="24"/>
          <w:szCs w:val="24"/>
        </w:rPr>
        <w:tab/>
      </w:r>
      <w:r w:rsidRPr="00BF3972">
        <w:rPr>
          <w:rFonts w:ascii="Arial" w:hAnsi="Arial" w:cs="Arial"/>
          <w:sz w:val="24"/>
          <w:szCs w:val="24"/>
        </w:rPr>
        <w:tab/>
      </w:r>
      <w:r w:rsidRPr="00BF3972">
        <w:rPr>
          <w:rFonts w:ascii="Arial" w:hAnsi="Arial" w:cs="Arial"/>
          <w:sz w:val="24"/>
          <w:szCs w:val="24"/>
        </w:rPr>
        <w:tab/>
        <w:t>CZ00064432</w:t>
      </w:r>
    </w:p>
    <w:p w14:paraId="6F2A2735" w14:textId="77777777" w:rsidR="00BF3972" w:rsidRPr="00BF3972" w:rsidRDefault="00BF3972" w:rsidP="00BF3972">
      <w:pPr>
        <w:spacing w:line="360" w:lineRule="auto"/>
        <w:contextualSpacing/>
        <w:outlineLvl w:val="0"/>
        <w:rPr>
          <w:rFonts w:ascii="Arial" w:hAnsi="Arial" w:cs="Arial"/>
          <w:sz w:val="24"/>
          <w:szCs w:val="24"/>
        </w:rPr>
      </w:pPr>
      <w:r w:rsidRPr="00BF3972">
        <w:rPr>
          <w:rFonts w:ascii="Arial" w:hAnsi="Arial" w:cs="Arial"/>
          <w:sz w:val="24"/>
          <w:szCs w:val="24"/>
        </w:rPr>
        <w:t xml:space="preserve">se sídlem </w:t>
      </w:r>
      <w:r w:rsidRPr="00BF3972">
        <w:rPr>
          <w:rFonts w:ascii="Arial" w:hAnsi="Arial" w:cs="Arial"/>
          <w:sz w:val="24"/>
          <w:szCs w:val="24"/>
        </w:rPr>
        <w:tab/>
      </w:r>
      <w:r w:rsidRPr="00BF3972">
        <w:rPr>
          <w:rFonts w:ascii="Arial" w:hAnsi="Arial" w:cs="Arial"/>
          <w:sz w:val="24"/>
          <w:szCs w:val="24"/>
        </w:rPr>
        <w:tab/>
        <w:t xml:space="preserve">Kožná 475/1, 110 01 Praha </w:t>
      </w:r>
    </w:p>
    <w:p w14:paraId="3F2F1ACF" w14:textId="77777777" w:rsidR="00BF3972" w:rsidRPr="00BF3972" w:rsidRDefault="00BF3972" w:rsidP="00BF3972">
      <w:pPr>
        <w:spacing w:line="360" w:lineRule="auto"/>
        <w:contextualSpacing/>
        <w:outlineLvl w:val="0"/>
        <w:rPr>
          <w:rFonts w:ascii="Arial" w:hAnsi="Arial" w:cs="Arial"/>
          <w:sz w:val="24"/>
          <w:szCs w:val="24"/>
        </w:rPr>
      </w:pPr>
      <w:r w:rsidRPr="00BF3972">
        <w:rPr>
          <w:rFonts w:ascii="Arial" w:hAnsi="Arial" w:cs="Arial"/>
          <w:sz w:val="24"/>
          <w:szCs w:val="24"/>
        </w:rPr>
        <w:t xml:space="preserve">zastoupená </w:t>
      </w:r>
      <w:r w:rsidRPr="00BF3972">
        <w:rPr>
          <w:rFonts w:ascii="Arial" w:hAnsi="Arial" w:cs="Arial"/>
          <w:sz w:val="24"/>
          <w:szCs w:val="24"/>
        </w:rPr>
        <w:tab/>
      </w:r>
      <w:r w:rsidRPr="00BF3972">
        <w:rPr>
          <w:rFonts w:ascii="Arial" w:hAnsi="Arial" w:cs="Arial"/>
          <w:sz w:val="24"/>
          <w:szCs w:val="24"/>
        </w:rPr>
        <w:tab/>
        <w:t>RNDr. Ing. Ivo Macek, ředitel</w:t>
      </w:r>
    </w:p>
    <w:p w14:paraId="44150C03" w14:textId="7FACD4AC" w:rsidR="00BF3972" w:rsidRPr="00BF3972" w:rsidRDefault="00BF3972" w:rsidP="00BF3972">
      <w:pPr>
        <w:spacing w:line="360" w:lineRule="auto"/>
        <w:contextualSpacing/>
        <w:outlineLvl w:val="0"/>
        <w:rPr>
          <w:rFonts w:ascii="Arial" w:hAnsi="Arial" w:cs="Arial"/>
          <w:sz w:val="24"/>
          <w:szCs w:val="24"/>
        </w:rPr>
      </w:pPr>
      <w:r w:rsidRPr="00BF3972">
        <w:rPr>
          <w:rFonts w:ascii="Arial" w:hAnsi="Arial" w:cs="Arial"/>
          <w:sz w:val="24"/>
          <w:szCs w:val="24"/>
        </w:rPr>
        <w:t>(dále jen „</w:t>
      </w:r>
      <w:r w:rsidRPr="00BF3972">
        <w:rPr>
          <w:rFonts w:ascii="Arial" w:hAnsi="Arial" w:cs="Arial"/>
          <w:b/>
          <w:sz w:val="24"/>
          <w:szCs w:val="24"/>
        </w:rPr>
        <w:t>Objednatel</w:t>
      </w:r>
      <w:r w:rsidRPr="00BF3972">
        <w:rPr>
          <w:rFonts w:ascii="Arial" w:hAnsi="Arial" w:cs="Arial"/>
          <w:sz w:val="24"/>
          <w:szCs w:val="24"/>
        </w:rPr>
        <w:t>“)</w:t>
      </w:r>
    </w:p>
    <w:p w14:paraId="767AB750" w14:textId="77777777" w:rsidR="00BF3972" w:rsidRPr="00BF3972" w:rsidRDefault="00BF3972" w:rsidP="00BF3972">
      <w:pPr>
        <w:spacing w:line="360" w:lineRule="auto"/>
        <w:contextualSpacing/>
        <w:rPr>
          <w:rFonts w:ascii="Arial" w:hAnsi="Arial" w:cs="Arial"/>
          <w:sz w:val="24"/>
          <w:szCs w:val="24"/>
        </w:rPr>
      </w:pPr>
      <w:r w:rsidRPr="00BF3972">
        <w:rPr>
          <w:rFonts w:ascii="Arial" w:hAnsi="Arial" w:cs="Arial"/>
          <w:sz w:val="24"/>
          <w:szCs w:val="24"/>
        </w:rPr>
        <w:tab/>
      </w:r>
    </w:p>
    <w:p w14:paraId="5CD76B4D" w14:textId="77777777" w:rsidR="00BF3972" w:rsidRPr="00BF3972" w:rsidRDefault="00BF3972" w:rsidP="00BF3972">
      <w:pPr>
        <w:spacing w:line="360" w:lineRule="auto"/>
        <w:contextualSpacing/>
        <w:rPr>
          <w:rFonts w:ascii="Arial" w:hAnsi="Arial" w:cs="Arial"/>
          <w:sz w:val="24"/>
          <w:szCs w:val="24"/>
        </w:rPr>
      </w:pPr>
      <w:r w:rsidRPr="00BF3972">
        <w:rPr>
          <w:rFonts w:ascii="Arial" w:hAnsi="Arial" w:cs="Arial"/>
          <w:sz w:val="24"/>
          <w:szCs w:val="24"/>
        </w:rPr>
        <w:t>a</w:t>
      </w:r>
    </w:p>
    <w:p w14:paraId="4F3C50E6" w14:textId="77777777" w:rsidR="00BF3972" w:rsidRPr="00BF3972" w:rsidRDefault="00BF3972" w:rsidP="00BF3972">
      <w:pPr>
        <w:spacing w:line="360" w:lineRule="auto"/>
        <w:contextualSpacing/>
        <w:rPr>
          <w:rFonts w:ascii="Arial" w:hAnsi="Arial" w:cs="Arial"/>
          <w:sz w:val="24"/>
          <w:szCs w:val="24"/>
        </w:rPr>
      </w:pPr>
    </w:p>
    <w:p w14:paraId="57F85EEC" w14:textId="77777777" w:rsidR="00BF3972" w:rsidRPr="00BF3972" w:rsidRDefault="00BF3972" w:rsidP="00BF3972">
      <w:pPr>
        <w:spacing w:line="360" w:lineRule="auto"/>
        <w:contextualSpacing/>
        <w:rPr>
          <w:rFonts w:ascii="Arial" w:hAnsi="Arial" w:cs="Arial"/>
          <w:b/>
          <w:sz w:val="24"/>
          <w:szCs w:val="24"/>
        </w:rPr>
      </w:pPr>
      <w:r w:rsidRPr="00BF3972">
        <w:rPr>
          <w:rFonts w:ascii="Arial" w:hAnsi="Arial" w:cs="Arial"/>
          <w:sz w:val="24"/>
          <w:szCs w:val="24"/>
        </w:rPr>
        <w:t>Dodavatel:</w:t>
      </w:r>
      <w:r w:rsidRPr="00BF3972">
        <w:rPr>
          <w:rFonts w:ascii="Arial" w:hAnsi="Arial" w:cs="Arial"/>
          <w:b/>
          <w:sz w:val="24"/>
          <w:szCs w:val="24"/>
        </w:rPr>
        <w:tab/>
      </w:r>
      <w:r w:rsidRPr="00BF3972">
        <w:rPr>
          <w:rFonts w:ascii="Arial" w:hAnsi="Arial" w:cs="Arial"/>
          <w:b/>
          <w:sz w:val="24"/>
          <w:szCs w:val="24"/>
        </w:rPr>
        <w:tab/>
      </w:r>
      <w:r w:rsidRPr="00BF3972">
        <w:rPr>
          <w:rFonts w:ascii="Arial" w:hAnsi="Arial" w:cs="Arial"/>
          <w:b/>
          <w:bCs/>
          <w:sz w:val="24"/>
          <w:szCs w:val="24"/>
        </w:rPr>
        <w:t>AVT Group a.s.</w:t>
      </w:r>
    </w:p>
    <w:p w14:paraId="6E5E55A1" w14:textId="77777777" w:rsidR="00BF3972" w:rsidRPr="00BF3972" w:rsidRDefault="00BF3972" w:rsidP="00BF3972">
      <w:pPr>
        <w:spacing w:line="360" w:lineRule="auto"/>
        <w:contextualSpacing/>
        <w:rPr>
          <w:rFonts w:ascii="Arial" w:hAnsi="Arial" w:cs="Arial"/>
          <w:sz w:val="24"/>
          <w:szCs w:val="24"/>
        </w:rPr>
      </w:pPr>
      <w:r w:rsidRPr="00BF3972">
        <w:rPr>
          <w:rFonts w:ascii="Arial" w:hAnsi="Arial" w:cs="Arial"/>
          <w:sz w:val="24"/>
          <w:szCs w:val="24"/>
        </w:rPr>
        <w:t>se sídlem:</w:t>
      </w:r>
      <w:r w:rsidRPr="00BF3972">
        <w:rPr>
          <w:rFonts w:ascii="Arial" w:hAnsi="Arial" w:cs="Arial"/>
          <w:sz w:val="24"/>
          <w:szCs w:val="24"/>
        </w:rPr>
        <w:tab/>
      </w:r>
      <w:r w:rsidRPr="00BF3972">
        <w:rPr>
          <w:rFonts w:ascii="Arial" w:hAnsi="Arial" w:cs="Arial"/>
          <w:sz w:val="24"/>
          <w:szCs w:val="24"/>
        </w:rPr>
        <w:tab/>
        <w:t>V Lomech 2376/</w:t>
      </w:r>
      <w:proofErr w:type="gramStart"/>
      <w:r w:rsidRPr="00BF3972">
        <w:rPr>
          <w:rFonts w:ascii="Arial" w:hAnsi="Arial" w:cs="Arial"/>
          <w:sz w:val="24"/>
          <w:szCs w:val="24"/>
        </w:rPr>
        <w:t>10a</w:t>
      </w:r>
      <w:proofErr w:type="gramEnd"/>
      <w:r w:rsidRPr="00BF3972">
        <w:rPr>
          <w:rFonts w:ascii="Arial" w:hAnsi="Arial" w:cs="Arial"/>
          <w:sz w:val="24"/>
          <w:szCs w:val="24"/>
        </w:rPr>
        <w:t>, 149 00 Praha 4</w:t>
      </w:r>
    </w:p>
    <w:p w14:paraId="3407EFC9" w14:textId="77777777" w:rsidR="00BF3972" w:rsidRPr="00BF3972" w:rsidRDefault="00BF3972" w:rsidP="00BF3972">
      <w:pPr>
        <w:spacing w:line="360" w:lineRule="auto"/>
        <w:contextualSpacing/>
        <w:outlineLvl w:val="0"/>
        <w:rPr>
          <w:rFonts w:ascii="Arial" w:hAnsi="Arial" w:cs="Arial"/>
          <w:sz w:val="24"/>
          <w:szCs w:val="24"/>
        </w:rPr>
      </w:pPr>
      <w:r w:rsidRPr="00BF3972">
        <w:rPr>
          <w:rFonts w:ascii="Arial" w:hAnsi="Arial" w:cs="Arial"/>
          <w:sz w:val="24"/>
          <w:szCs w:val="24"/>
        </w:rPr>
        <w:t>IČO:</w:t>
      </w:r>
      <w:r w:rsidRPr="00BF3972">
        <w:rPr>
          <w:rFonts w:ascii="Arial" w:hAnsi="Arial" w:cs="Arial"/>
          <w:sz w:val="24"/>
          <w:szCs w:val="24"/>
        </w:rPr>
        <w:tab/>
      </w:r>
      <w:r w:rsidRPr="00BF3972">
        <w:rPr>
          <w:rFonts w:ascii="Arial" w:hAnsi="Arial" w:cs="Arial"/>
          <w:sz w:val="24"/>
          <w:szCs w:val="24"/>
        </w:rPr>
        <w:tab/>
      </w:r>
      <w:r w:rsidRPr="00BF3972">
        <w:rPr>
          <w:rFonts w:ascii="Arial" w:hAnsi="Arial" w:cs="Arial"/>
          <w:sz w:val="24"/>
          <w:szCs w:val="24"/>
        </w:rPr>
        <w:tab/>
        <w:t>01691988</w:t>
      </w:r>
    </w:p>
    <w:p w14:paraId="2F86B3E2" w14:textId="77777777" w:rsidR="00BF3972" w:rsidRPr="00BF3972" w:rsidRDefault="00BF3972" w:rsidP="00BF3972">
      <w:pPr>
        <w:spacing w:line="360" w:lineRule="auto"/>
        <w:contextualSpacing/>
        <w:outlineLvl w:val="0"/>
        <w:rPr>
          <w:rFonts w:ascii="Arial" w:hAnsi="Arial" w:cs="Arial"/>
          <w:sz w:val="24"/>
          <w:szCs w:val="24"/>
        </w:rPr>
      </w:pPr>
      <w:r w:rsidRPr="00BF3972">
        <w:rPr>
          <w:rFonts w:ascii="Arial" w:hAnsi="Arial" w:cs="Arial"/>
          <w:sz w:val="24"/>
          <w:szCs w:val="24"/>
        </w:rPr>
        <w:t>DIČ:</w:t>
      </w:r>
      <w:r w:rsidRPr="00BF3972">
        <w:rPr>
          <w:rFonts w:ascii="Arial" w:hAnsi="Arial" w:cs="Arial"/>
          <w:sz w:val="24"/>
          <w:szCs w:val="24"/>
        </w:rPr>
        <w:tab/>
      </w:r>
      <w:r w:rsidRPr="00BF3972">
        <w:rPr>
          <w:rFonts w:ascii="Arial" w:hAnsi="Arial" w:cs="Arial"/>
          <w:sz w:val="24"/>
          <w:szCs w:val="24"/>
        </w:rPr>
        <w:tab/>
      </w:r>
      <w:r w:rsidRPr="00BF3972">
        <w:rPr>
          <w:rFonts w:ascii="Arial" w:hAnsi="Arial" w:cs="Arial"/>
          <w:sz w:val="24"/>
          <w:szCs w:val="24"/>
        </w:rPr>
        <w:tab/>
        <w:t>CZ01691988</w:t>
      </w:r>
    </w:p>
    <w:p w14:paraId="5DAFB1FA" w14:textId="77777777" w:rsidR="00BF3972" w:rsidRPr="00BF3972" w:rsidRDefault="00BF3972" w:rsidP="00BF3972">
      <w:pPr>
        <w:spacing w:line="360" w:lineRule="auto"/>
        <w:contextualSpacing/>
        <w:rPr>
          <w:rFonts w:ascii="Arial" w:hAnsi="Arial" w:cs="Arial"/>
          <w:sz w:val="24"/>
          <w:szCs w:val="24"/>
        </w:rPr>
      </w:pPr>
      <w:r w:rsidRPr="00BF3972">
        <w:rPr>
          <w:rFonts w:ascii="Arial" w:hAnsi="Arial" w:cs="Arial"/>
          <w:sz w:val="24"/>
          <w:szCs w:val="24"/>
        </w:rPr>
        <w:t>zastoupený:</w:t>
      </w:r>
      <w:r w:rsidRPr="00BF3972">
        <w:rPr>
          <w:rFonts w:ascii="Arial" w:hAnsi="Arial" w:cs="Arial"/>
          <w:sz w:val="24"/>
          <w:szCs w:val="24"/>
        </w:rPr>
        <w:tab/>
      </w:r>
      <w:r w:rsidRPr="00BF3972">
        <w:rPr>
          <w:rFonts w:ascii="Arial" w:hAnsi="Arial" w:cs="Arial"/>
          <w:sz w:val="24"/>
          <w:szCs w:val="24"/>
        </w:rPr>
        <w:tab/>
        <w:t xml:space="preserve">Ing. Petr Vlček, jediný člen představenstva </w:t>
      </w:r>
    </w:p>
    <w:p w14:paraId="384BAB99" w14:textId="77777777" w:rsidR="00BF3972" w:rsidRPr="00BF3972" w:rsidRDefault="00BF3972" w:rsidP="00BF3972">
      <w:pPr>
        <w:spacing w:line="360" w:lineRule="auto"/>
        <w:contextualSpacing/>
        <w:rPr>
          <w:rFonts w:ascii="Arial" w:hAnsi="Arial" w:cs="Arial"/>
          <w:sz w:val="24"/>
          <w:szCs w:val="24"/>
        </w:rPr>
      </w:pPr>
      <w:r w:rsidRPr="00BF3972">
        <w:rPr>
          <w:rFonts w:ascii="Arial" w:hAnsi="Arial" w:cs="Arial"/>
          <w:sz w:val="24"/>
          <w:szCs w:val="24"/>
        </w:rPr>
        <w:t>zapsaný v OR:</w:t>
      </w:r>
      <w:r w:rsidRPr="00BF3972">
        <w:rPr>
          <w:rFonts w:ascii="Arial" w:hAnsi="Arial" w:cs="Arial"/>
          <w:sz w:val="24"/>
          <w:szCs w:val="24"/>
        </w:rPr>
        <w:tab/>
        <w:t>vedeném Městským soudem v Praze, spis. zn. B19128</w:t>
      </w:r>
    </w:p>
    <w:p w14:paraId="69D90B3A" w14:textId="2467CAB0" w:rsidR="00BF3972" w:rsidRPr="00BF3972" w:rsidRDefault="00BF3972" w:rsidP="00BF3972">
      <w:pPr>
        <w:spacing w:line="360" w:lineRule="auto"/>
        <w:contextualSpacing/>
        <w:rPr>
          <w:rFonts w:ascii="Arial" w:hAnsi="Arial" w:cs="Arial"/>
          <w:b/>
          <w:sz w:val="24"/>
          <w:szCs w:val="24"/>
        </w:rPr>
      </w:pPr>
      <w:r w:rsidRPr="00BF3972">
        <w:rPr>
          <w:rFonts w:ascii="Arial" w:hAnsi="Arial" w:cs="Arial"/>
          <w:sz w:val="24"/>
          <w:szCs w:val="24"/>
        </w:rPr>
        <w:t>(dále jen „</w:t>
      </w:r>
      <w:r w:rsidRPr="00BF3972">
        <w:rPr>
          <w:rFonts w:ascii="Arial" w:hAnsi="Arial" w:cs="Arial"/>
          <w:b/>
          <w:sz w:val="24"/>
          <w:szCs w:val="24"/>
        </w:rPr>
        <w:t>Dodavatel</w:t>
      </w:r>
      <w:r w:rsidRPr="00BF3972">
        <w:rPr>
          <w:rFonts w:ascii="Arial" w:hAnsi="Arial" w:cs="Arial"/>
          <w:bCs/>
          <w:sz w:val="24"/>
          <w:szCs w:val="24"/>
        </w:rPr>
        <w:t>“)</w:t>
      </w:r>
    </w:p>
    <w:p w14:paraId="46909D9E" w14:textId="77777777" w:rsidR="00BF3972" w:rsidRPr="00BF3972" w:rsidRDefault="00BF3972" w:rsidP="00BF3972">
      <w:pPr>
        <w:spacing w:line="360" w:lineRule="auto"/>
        <w:contextualSpacing/>
        <w:jc w:val="both"/>
        <w:rPr>
          <w:rFonts w:ascii="Arial" w:hAnsi="Arial" w:cs="Arial"/>
          <w:sz w:val="24"/>
          <w:szCs w:val="24"/>
        </w:rPr>
      </w:pPr>
    </w:p>
    <w:p w14:paraId="34FB7F4E" w14:textId="77777777" w:rsidR="00BF3972" w:rsidRPr="00BF3972" w:rsidRDefault="00BF3972" w:rsidP="00BF3972">
      <w:pPr>
        <w:spacing w:line="360" w:lineRule="auto"/>
        <w:contextualSpacing/>
        <w:jc w:val="both"/>
        <w:rPr>
          <w:rFonts w:ascii="Arial" w:hAnsi="Arial" w:cs="Arial"/>
          <w:sz w:val="24"/>
          <w:szCs w:val="24"/>
        </w:rPr>
      </w:pPr>
      <w:r w:rsidRPr="00BF3972">
        <w:rPr>
          <w:rFonts w:ascii="Arial" w:hAnsi="Arial" w:cs="Arial"/>
          <w:sz w:val="24"/>
          <w:szCs w:val="24"/>
        </w:rPr>
        <w:t>(Objednatel a Dodavatel dále jednotlivě také jen jako „</w:t>
      </w:r>
      <w:r w:rsidRPr="00BF3972">
        <w:rPr>
          <w:rFonts w:ascii="Arial" w:hAnsi="Arial" w:cs="Arial"/>
          <w:b/>
          <w:bCs/>
          <w:sz w:val="24"/>
          <w:szCs w:val="24"/>
        </w:rPr>
        <w:t>Smluvní strana</w:t>
      </w:r>
      <w:r w:rsidRPr="00BF3972">
        <w:rPr>
          <w:rFonts w:ascii="Arial" w:hAnsi="Arial" w:cs="Arial"/>
          <w:sz w:val="24"/>
          <w:szCs w:val="24"/>
        </w:rPr>
        <w:t>“ a společně také jen jako „</w:t>
      </w:r>
      <w:r w:rsidRPr="00BF3972">
        <w:rPr>
          <w:rFonts w:ascii="Arial" w:hAnsi="Arial" w:cs="Arial"/>
          <w:b/>
          <w:bCs/>
          <w:sz w:val="24"/>
          <w:szCs w:val="24"/>
        </w:rPr>
        <w:t>Smluvní strany</w:t>
      </w:r>
      <w:r w:rsidRPr="00BF3972">
        <w:rPr>
          <w:rFonts w:ascii="Arial" w:hAnsi="Arial" w:cs="Arial"/>
          <w:sz w:val="24"/>
          <w:szCs w:val="24"/>
        </w:rPr>
        <w:t>“)</w:t>
      </w:r>
    </w:p>
    <w:p w14:paraId="2F4FA310" w14:textId="77777777" w:rsidR="00BF3972" w:rsidRPr="00BF3972" w:rsidRDefault="00BF3972" w:rsidP="00BF3972">
      <w:pPr>
        <w:spacing w:line="360" w:lineRule="auto"/>
        <w:ind w:right="-285"/>
        <w:contextualSpacing/>
        <w:jc w:val="both"/>
        <w:rPr>
          <w:rFonts w:ascii="Arial" w:hAnsi="Arial" w:cs="Arial"/>
          <w:sz w:val="24"/>
          <w:szCs w:val="24"/>
        </w:rPr>
      </w:pPr>
    </w:p>
    <w:p w14:paraId="1D2F5A7B" w14:textId="77777777" w:rsidR="00BF3972" w:rsidRPr="00BF3972" w:rsidRDefault="00BF3972" w:rsidP="00BF3972">
      <w:pPr>
        <w:spacing w:line="360" w:lineRule="auto"/>
        <w:ind w:right="334"/>
        <w:contextualSpacing/>
        <w:jc w:val="both"/>
        <w:rPr>
          <w:rFonts w:ascii="Arial" w:hAnsi="Arial" w:cs="Arial"/>
          <w:sz w:val="24"/>
          <w:szCs w:val="24"/>
        </w:rPr>
      </w:pPr>
      <w:r w:rsidRPr="00BF3972">
        <w:rPr>
          <w:rFonts w:ascii="Arial" w:hAnsi="Arial" w:cs="Arial"/>
          <w:sz w:val="24"/>
          <w:szCs w:val="24"/>
        </w:rPr>
        <w:t>uzavírají níže uvedeného dne, měsíce a roku ve smyslu ustanovení § 1903 a násl. zákona č. 89/2012 Sb., občanský zákoník, ve znění pozdějších předpisů (dále jen „</w:t>
      </w:r>
      <w:r w:rsidRPr="00BF3972">
        <w:rPr>
          <w:rFonts w:ascii="Arial" w:hAnsi="Arial" w:cs="Arial"/>
          <w:b/>
          <w:bCs/>
          <w:sz w:val="24"/>
          <w:szCs w:val="24"/>
        </w:rPr>
        <w:t>Občanský zákoník</w:t>
      </w:r>
      <w:r w:rsidRPr="00BF3972">
        <w:rPr>
          <w:rFonts w:ascii="Arial" w:hAnsi="Arial" w:cs="Arial"/>
          <w:sz w:val="24"/>
          <w:szCs w:val="24"/>
        </w:rPr>
        <w:t>“) tuto dohodu o narovnání (dále jen „</w:t>
      </w:r>
      <w:r w:rsidRPr="00BF3972">
        <w:rPr>
          <w:rFonts w:ascii="Arial" w:hAnsi="Arial" w:cs="Arial"/>
          <w:b/>
          <w:bCs/>
          <w:sz w:val="24"/>
          <w:szCs w:val="24"/>
        </w:rPr>
        <w:t>Dohoda</w:t>
      </w:r>
      <w:r w:rsidRPr="00BF3972">
        <w:rPr>
          <w:rFonts w:ascii="Arial" w:hAnsi="Arial" w:cs="Arial"/>
          <w:sz w:val="24"/>
          <w:szCs w:val="24"/>
        </w:rPr>
        <w:t>“)</w:t>
      </w:r>
    </w:p>
    <w:p w14:paraId="3CAEE6F8" w14:textId="77777777" w:rsidR="00BF3972" w:rsidRPr="00BF3972" w:rsidRDefault="00BF3972" w:rsidP="00BF3972">
      <w:pPr>
        <w:spacing w:line="360" w:lineRule="auto"/>
        <w:ind w:right="-108"/>
        <w:contextualSpacing/>
        <w:jc w:val="center"/>
        <w:rPr>
          <w:rFonts w:ascii="Arial" w:hAnsi="Arial" w:cs="Arial"/>
          <w:b/>
          <w:sz w:val="24"/>
          <w:szCs w:val="24"/>
        </w:rPr>
      </w:pPr>
    </w:p>
    <w:p w14:paraId="1CDF7A1C" w14:textId="77777777" w:rsidR="00BF3972" w:rsidRPr="00BF3972" w:rsidRDefault="00BF3972" w:rsidP="00BF3972">
      <w:pPr>
        <w:spacing w:line="360" w:lineRule="auto"/>
        <w:ind w:right="-108"/>
        <w:contextualSpacing/>
        <w:jc w:val="center"/>
        <w:rPr>
          <w:rFonts w:ascii="Arial" w:hAnsi="Arial" w:cs="Arial"/>
          <w:b/>
          <w:sz w:val="24"/>
          <w:szCs w:val="24"/>
        </w:rPr>
      </w:pPr>
      <w:r w:rsidRPr="00BF3972">
        <w:rPr>
          <w:rFonts w:ascii="Arial" w:hAnsi="Arial" w:cs="Arial"/>
          <w:b/>
          <w:sz w:val="24"/>
          <w:szCs w:val="24"/>
        </w:rPr>
        <w:lastRenderedPageBreak/>
        <w:t>Preambule</w:t>
      </w:r>
    </w:p>
    <w:p w14:paraId="445C389F" w14:textId="77777777" w:rsidR="00BF3972" w:rsidRPr="00BF3972" w:rsidRDefault="00BF3972" w:rsidP="00BF3972">
      <w:pPr>
        <w:spacing w:line="360" w:lineRule="auto"/>
        <w:contextualSpacing/>
        <w:jc w:val="both"/>
        <w:rPr>
          <w:rFonts w:ascii="Arial" w:hAnsi="Arial" w:cs="Arial"/>
          <w:sz w:val="24"/>
          <w:szCs w:val="24"/>
        </w:rPr>
      </w:pPr>
    </w:p>
    <w:p w14:paraId="20F50B4C" w14:textId="77777777" w:rsidR="00BF3972" w:rsidRPr="00BF3972" w:rsidRDefault="00BF3972" w:rsidP="00BF3972">
      <w:pPr>
        <w:spacing w:line="360" w:lineRule="auto"/>
        <w:contextualSpacing/>
        <w:jc w:val="both"/>
        <w:rPr>
          <w:rFonts w:ascii="Arial" w:hAnsi="Arial" w:cs="Arial"/>
          <w:sz w:val="24"/>
          <w:szCs w:val="24"/>
        </w:rPr>
      </w:pPr>
      <w:r w:rsidRPr="00BF3972">
        <w:rPr>
          <w:rFonts w:ascii="Arial" w:hAnsi="Arial" w:cs="Arial"/>
          <w:sz w:val="24"/>
          <w:szCs w:val="24"/>
        </w:rPr>
        <w:t>VZHLEDEM K TOMU, ŽE</w:t>
      </w:r>
    </w:p>
    <w:p w14:paraId="73BF2CC9" w14:textId="77777777" w:rsidR="00BF3972" w:rsidRPr="00BF3972" w:rsidRDefault="00BF3972" w:rsidP="00BF3972">
      <w:pPr>
        <w:spacing w:line="360" w:lineRule="auto"/>
        <w:contextualSpacing/>
        <w:jc w:val="both"/>
        <w:rPr>
          <w:rFonts w:ascii="Arial" w:hAnsi="Arial" w:cs="Arial"/>
          <w:sz w:val="24"/>
          <w:szCs w:val="24"/>
        </w:rPr>
      </w:pPr>
    </w:p>
    <w:p w14:paraId="0826147B" w14:textId="77777777" w:rsidR="00BF3972" w:rsidRPr="00BF3972" w:rsidRDefault="00BF3972" w:rsidP="00BF3972">
      <w:pPr>
        <w:numPr>
          <w:ilvl w:val="0"/>
          <w:numId w:val="15"/>
        </w:numPr>
        <w:spacing w:after="0" w:line="360" w:lineRule="auto"/>
        <w:ind w:left="567" w:hanging="567"/>
        <w:contextualSpacing/>
        <w:jc w:val="both"/>
        <w:rPr>
          <w:rFonts w:ascii="Arial" w:hAnsi="Arial" w:cs="Arial"/>
          <w:bCs/>
          <w:sz w:val="24"/>
          <w:szCs w:val="24"/>
        </w:rPr>
      </w:pPr>
      <w:r w:rsidRPr="00BF3972">
        <w:rPr>
          <w:rFonts w:ascii="Arial" w:hAnsi="Arial" w:cs="Arial"/>
          <w:bCs/>
          <w:sz w:val="24"/>
          <w:szCs w:val="24"/>
        </w:rPr>
        <w:t xml:space="preserve">Smluvní strany uzavřely </w:t>
      </w:r>
      <w:r w:rsidRPr="00BF3972">
        <w:rPr>
          <w:rFonts w:ascii="Arial" w:hAnsi="Arial" w:cs="Arial"/>
          <w:sz w:val="24"/>
          <w:szCs w:val="24"/>
        </w:rPr>
        <w:t>dne 6. 6. 2025 smlouvu na dodávku a realizaci expozice a poskytování souvisejících služeb č. MUZ/167/2025 (dále jen „</w:t>
      </w:r>
      <w:r w:rsidRPr="00BF3972">
        <w:rPr>
          <w:rFonts w:ascii="Arial" w:hAnsi="Arial" w:cs="Arial"/>
          <w:b/>
          <w:bCs/>
          <w:sz w:val="24"/>
          <w:szCs w:val="24"/>
        </w:rPr>
        <w:t>Smlouva</w:t>
      </w:r>
      <w:r w:rsidRPr="00BF3972">
        <w:rPr>
          <w:rFonts w:ascii="Arial" w:hAnsi="Arial" w:cs="Arial"/>
          <w:sz w:val="24"/>
          <w:szCs w:val="24"/>
        </w:rPr>
        <w:t>“)</w:t>
      </w:r>
      <w:r w:rsidRPr="00BF3972">
        <w:rPr>
          <w:rFonts w:ascii="Arial" w:hAnsi="Arial" w:cs="Arial"/>
          <w:bCs/>
          <w:sz w:val="24"/>
          <w:szCs w:val="24"/>
        </w:rPr>
        <w:t>, jejímž předmětem je především výroba mobiliáře, dodání AV techniky, stavba a veškeré instalační práce pro expozici v Hlavní budově Muzea hlavního města Prahy na adrese Na Poříčí 1554/52, 180 00 Praha 8 – Nové Město;</w:t>
      </w:r>
    </w:p>
    <w:p w14:paraId="37EC7718" w14:textId="77777777" w:rsidR="00BF3972" w:rsidRPr="00BF3972" w:rsidRDefault="00BF3972" w:rsidP="00BF3972">
      <w:pPr>
        <w:spacing w:line="360" w:lineRule="auto"/>
        <w:ind w:left="567"/>
        <w:contextualSpacing/>
        <w:jc w:val="both"/>
        <w:rPr>
          <w:rFonts w:ascii="Arial" w:hAnsi="Arial" w:cs="Arial"/>
          <w:bCs/>
          <w:sz w:val="24"/>
          <w:szCs w:val="24"/>
        </w:rPr>
      </w:pPr>
    </w:p>
    <w:p w14:paraId="05A1A758" w14:textId="354980EF" w:rsidR="00BF3972" w:rsidRPr="00BF3972" w:rsidRDefault="00BF3972" w:rsidP="00BF3972">
      <w:pPr>
        <w:numPr>
          <w:ilvl w:val="0"/>
          <w:numId w:val="15"/>
        </w:numPr>
        <w:spacing w:after="0" w:line="360" w:lineRule="auto"/>
        <w:ind w:left="567" w:hanging="567"/>
        <w:contextualSpacing/>
        <w:jc w:val="both"/>
        <w:rPr>
          <w:rFonts w:ascii="Arial" w:hAnsi="Arial" w:cs="Arial"/>
          <w:bCs/>
          <w:sz w:val="24"/>
          <w:szCs w:val="24"/>
        </w:rPr>
      </w:pPr>
      <w:r w:rsidRPr="00BF3972">
        <w:rPr>
          <w:rFonts w:ascii="Arial" w:hAnsi="Arial" w:cs="Arial"/>
          <w:bCs/>
          <w:sz w:val="24"/>
          <w:szCs w:val="24"/>
        </w:rPr>
        <w:t xml:space="preserve">Ke Smlouvě byl následně Smluvními stranami dne 6.10.2025 uzavřen dodatek </w:t>
      </w:r>
      <w:r w:rsidRPr="00BF3972">
        <w:rPr>
          <w:rFonts w:ascii="Arial" w:hAnsi="Arial" w:cs="Arial"/>
          <w:bCs/>
          <w:sz w:val="24"/>
          <w:szCs w:val="24"/>
        </w:rPr>
        <w:br/>
        <w:t>č. 1 (dále jen „</w:t>
      </w:r>
      <w:r w:rsidRPr="00BF3972">
        <w:rPr>
          <w:rFonts w:ascii="Arial" w:hAnsi="Arial" w:cs="Arial"/>
          <w:b/>
          <w:sz w:val="24"/>
          <w:szCs w:val="24"/>
        </w:rPr>
        <w:t>Dodatek č. 1</w:t>
      </w:r>
      <w:r w:rsidRPr="00BF3972">
        <w:rPr>
          <w:rFonts w:ascii="Arial" w:hAnsi="Arial" w:cs="Arial"/>
          <w:bCs/>
          <w:sz w:val="24"/>
          <w:szCs w:val="24"/>
        </w:rPr>
        <w:t xml:space="preserve">“), kterým byly Smluvními stranami sjednány vícepráce, méněpráce, došlo k prodloužení termínu plnění dle Smlouvy </w:t>
      </w:r>
      <w:r>
        <w:rPr>
          <w:rFonts w:ascii="Arial" w:hAnsi="Arial" w:cs="Arial"/>
          <w:bCs/>
          <w:sz w:val="24"/>
          <w:szCs w:val="24"/>
        </w:rPr>
        <w:br/>
      </w:r>
      <w:r w:rsidRPr="00BF3972">
        <w:rPr>
          <w:rFonts w:ascii="Arial" w:hAnsi="Arial" w:cs="Arial"/>
          <w:bCs/>
          <w:sz w:val="24"/>
          <w:szCs w:val="24"/>
        </w:rPr>
        <w:t>a došlo k navýšení ceny díla dle Smlouvy;</w:t>
      </w:r>
    </w:p>
    <w:p w14:paraId="259D835B" w14:textId="77777777" w:rsidR="00BF3972" w:rsidRPr="00BF3972" w:rsidRDefault="00BF3972" w:rsidP="00BF3972">
      <w:pPr>
        <w:pStyle w:val="Odstavecseseznamem"/>
        <w:spacing w:line="360" w:lineRule="auto"/>
        <w:rPr>
          <w:rFonts w:ascii="Arial" w:hAnsi="Arial" w:cs="Arial"/>
          <w:bCs/>
        </w:rPr>
      </w:pPr>
    </w:p>
    <w:p w14:paraId="26C5103A" w14:textId="019AA396" w:rsidR="00BF3972" w:rsidRPr="00BF3972" w:rsidRDefault="00BF3972" w:rsidP="00BF3972">
      <w:pPr>
        <w:numPr>
          <w:ilvl w:val="0"/>
          <w:numId w:val="15"/>
        </w:numPr>
        <w:spacing w:after="0" w:line="360" w:lineRule="auto"/>
        <w:ind w:left="567" w:hanging="567"/>
        <w:contextualSpacing/>
        <w:jc w:val="both"/>
        <w:rPr>
          <w:rFonts w:ascii="Arial" w:hAnsi="Arial" w:cs="Arial"/>
          <w:bCs/>
          <w:sz w:val="24"/>
          <w:szCs w:val="24"/>
        </w:rPr>
      </w:pPr>
      <w:r w:rsidRPr="00BF3972">
        <w:rPr>
          <w:rFonts w:ascii="Arial" w:hAnsi="Arial" w:cs="Arial"/>
          <w:bCs/>
          <w:sz w:val="24"/>
          <w:szCs w:val="24"/>
        </w:rPr>
        <w:t xml:space="preserve">Dodatek č. 1 nabyl účinnosti dne </w:t>
      </w:r>
      <w:r w:rsidR="00E35CDF">
        <w:rPr>
          <w:rFonts w:ascii="Arial" w:hAnsi="Arial" w:cs="Arial"/>
          <w:bCs/>
          <w:sz w:val="24"/>
          <w:szCs w:val="24"/>
        </w:rPr>
        <w:t>20.11.2025</w:t>
      </w:r>
      <w:r w:rsidRPr="00BF3972">
        <w:rPr>
          <w:rFonts w:ascii="Arial" w:hAnsi="Arial" w:cs="Arial"/>
          <w:bCs/>
          <w:sz w:val="24"/>
          <w:szCs w:val="24"/>
        </w:rPr>
        <w:t xml:space="preserve">, kdy byl ve smyslu zákona </w:t>
      </w:r>
      <w:r>
        <w:rPr>
          <w:rFonts w:ascii="Arial" w:hAnsi="Arial" w:cs="Arial"/>
          <w:bCs/>
          <w:sz w:val="24"/>
          <w:szCs w:val="24"/>
        </w:rPr>
        <w:br/>
      </w:r>
      <w:r w:rsidRPr="00BF3972">
        <w:rPr>
          <w:rFonts w:ascii="Arial" w:hAnsi="Arial" w:cs="Arial"/>
          <w:bCs/>
          <w:sz w:val="24"/>
          <w:szCs w:val="24"/>
        </w:rPr>
        <w:t>č. 340/2015 Sb., o zvláštních podmínkách účinnosti některých smluv, uveřejňování těchto smluv a o registru smluv (zákon o registru smluv), ve znění pozdějších předpisů (dále jen „</w:t>
      </w:r>
      <w:r w:rsidRPr="00BF3972">
        <w:rPr>
          <w:rFonts w:ascii="Arial" w:hAnsi="Arial" w:cs="Arial"/>
          <w:b/>
          <w:sz w:val="24"/>
          <w:szCs w:val="24"/>
        </w:rPr>
        <w:t>Zákon o registru smluv</w:t>
      </w:r>
      <w:r w:rsidRPr="00BF3972">
        <w:rPr>
          <w:rFonts w:ascii="Arial" w:hAnsi="Arial" w:cs="Arial"/>
          <w:bCs/>
          <w:sz w:val="24"/>
          <w:szCs w:val="24"/>
        </w:rPr>
        <w:t>“) uveřejněn v registru smluv;</w:t>
      </w:r>
    </w:p>
    <w:p w14:paraId="710C5690" w14:textId="77777777" w:rsidR="00BF3972" w:rsidRPr="00BF3972" w:rsidRDefault="00BF3972" w:rsidP="00BF3972">
      <w:pPr>
        <w:pStyle w:val="Odstavecseseznamem"/>
        <w:spacing w:line="360" w:lineRule="auto"/>
        <w:rPr>
          <w:rFonts w:ascii="Arial" w:hAnsi="Arial" w:cs="Arial"/>
          <w:bCs/>
        </w:rPr>
      </w:pPr>
    </w:p>
    <w:p w14:paraId="0161B5D2" w14:textId="4CE9E896" w:rsidR="00BF3972" w:rsidRPr="00BF3972" w:rsidRDefault="00BF3972" w:rsidP="00BF3972">
      <w:pPr>
        <w:numPr>
          <w:ilvl w:val="0"/>
          <w:numId w:val="15"/>
        </w:numPr>
        <w:spacing w:after="0" w:line="360" w:lineRule="auto"/>
        <w:ind w:left="567" w:hanging="567"/>
        <w:contextualSpacing/>
        <w:jc w:val="both"/>
        <w:rPr>
          <w:rFonts w:ascii="Arial" w:hAnsi="Arial" w:cs="Arial"/>
          <w:bCs/>
          <w:sz w:val="24"/>
          <w:szCs w:val="24"/>
        </w:rPr>
      </w:pPr>
      <w:r w:rsidRPr="00BF3972">
        <w:rPr>
          <w:rFonts w:ascii="Arial" w:hAnsi="Arial" w:cs="Arial"/>
          <w:bCs/>
          <w:sz w:val="24"/>
          <w:szCs w:val="24"/>
        </w:rPr>
        <w:t xml:space="preserve">Vzhledem k tomu, že Smluvní strany již před uzavřením Dodatku č. 1 postupovaly tak jakoby tento Dodatek č. 1 byl uzavřen a nabyl účinnosti, část plnění závazků Dodavatele a Objednatele vyplývajících z Dodatku č. 1 by mohla být považována za plněné bez právního důvodu, a proto Smluvní </w:t>
      </w:r>
      <w:r w:rsidRPr="00BF3972">
        <w:rPr>
          <w:rFonts w:ascii="Arial" w:hAnsi="Arial" w:cs="Arial"/>
          <w:bCs/>
          <w:sz w:val="24"/>
          <w:szCs w:val="24"/>
        </w:rPr>
        <w:lastRenderedPageBreak/>
        <w:t xml:space="preserve">strany hodlají touto Dohodou v zájmu právní jistoty svá vzájemná práva </w:t>
      </w:r>
      <w:r>
        <w:rPr>
          <w:rFonts w:ascii="Arial" w:hAnsi="Arial" w:cs="Arial"/>
          <w:bCs/>
          <w:sz w:val="24"/>
          <w:szCs w:val="24"/>
        </w:rPr>
        <w:br/>
      </w:r>
      <w:r w:rsidRPr="00BF3972">
        <w:rPr>
          <w:rFonts w:ascii="Arial" w:hAnsi="Arial" w:cs="Arial"/>
          <w:bCs/>
          <w:sz w:val="24"/>
          <w:szCs w:val="24"/>
        </w:rPr>
        <w:t>a povinnosti vypořádat; a</w:t>
      </w:r>
    </w:p>
    <w:p w14:paraId="1C88F529" w14:textId="77777777" w:rsidR="00BF3972" w:rsidRPr="00BF3972" w:rsidRDefault="00BF3972" w:rsidP="00BF3972">
      <w:pPr>
        <w:pStyle w:val="Odstavecseseznamem"/>
        <w:spacing w:line="360" w:lineRule="auto"/>
        <w:rPr>
          <w:rFonts w:ascii="Arial" w:hAnsi="Arial" w:cs="Arial"/>
          <w:bCs/>
        </w:rPr>
      </w:pPr>
    </w:p>
    <w:p w14:paraId="4D31DE64" w14:textId="448CB150" w:rsidR="00BF3972" w:rsidRPr="00BF3972" w:rsidRDefault="00BF3972" w:rsidP="00BF3972">
      <w:pPr>
        <w:numPr>
          <w:ilvl w:val="0"/>
          <w:numId w:val="15"/>
        </w:numPr>
        <w:spacing w:after="0" w:line="360" w:lineRule="auto"/>
        <w:ind w:left="567" w:hanging="567"/>
        <w:contextualSpacing/>
        <w:jc w:val="both"/>
        <w:rPr>
          <w:rFonts w:ascii="Arial" w:hAnsi="Arial" w:cs="Arial"/>
          <w:bCs/>
          <w:sz w:val="24"/>
          <w:szCs w:val="24"/>
        </w:rPr>
      </w:pPr>
      <w:r w:rsidRPr="00BF3972">
        <w:rPr>
          <w:rFonts w:ascii="Arial" w:hAnsi="Arial" w:cs="Arial"/>
          <w:bCs/>
          <w:sz w:val="24"/>
          <w:szCs w:val="24"/>
        </w:rPr>
        <w:t xml:space="preserve">Smluvní strany mají zájem postupovat v souladu s Metodickým návodem Ministerstva vnitra k aplikaci zákona o registru smluv a pro vyloučení jakýchkoliv pochybností ohledně oprávněnosti plnění dle Smlouvy a jejího Dodatku č. 1 touto Dohodou vypořádat veškerá vzájemná práva </w:t>
      </w:r>
      <w:r>
        <w:rPr>
          <w:rFonts w:ascii="Arial" w:hAnsi="Arial" w:cs="Arial"/>
          <w:bCs/>
          <w:sz w:val="24"/>
          <w:szCs w:val="24"/>
        </w:rPr>
        <w:br/>
      </w:r>
      <w:r w:rsidRPr="00BF3972">
        <w:rPr>
          <w:rFonts w:ascii="Arial" w:hAnsi="Arial" w:cs="Arial"/>
          <w:bCs/>
          <w:sz w:val="24"/>
          <w:szCs w:val="24"/>
        </w:rPr>
        <w:t xml:space="preserve">a povinnosti spojené s dosavadním plněním závazků ze Smlouvy a z jejího Dodatku č. 1,  </w:t>
      </w:r>
    </w:p>
    <w:p w14:paraId="0D2D8606" w14:textId="77777777" w:rsidR="00BF3972" w:rsidRPr="00BF3972" w:rsidRDefault="00BF3972" w:rsidP="00BF3972">
      <w:pPr>
        <w:spacing w:line="360" w:lineRule="auto"/>
        <w:contextualSpacing/>
        <w:jc w:val="both"/>
        <w:rPr>
          <w:rFonts w:ascii="Arial" w:hAnsi="Arial" w:cs="Arial"/>
          <w:sz w:val="24"/>
          <w:szCs w:val="24"/>
        </w:rPr>
      </w:pPr>
    </w:p>
    <w:p w14:paraId="267B4E53" w14:textId="77777777" w:rsidR="00BF3972" w:rsidRPr="00BF3972" w:rsidRDefault="00BF3972" w:rsidP="00BF3972">
      <w:pPr>
        <w:spacing w:line="360" w:lineRule="auto"/>
        <w:contextualSpacing/>
        <w:jc w:val="both"/>
        <w:rPr>
          <w:rFonts w:ascii="Arial" w:hAnsi="Arial" w:cs="Arial"/>
          <w:sz w:val="24"/>
          <w:szCs w:val="24"/>
        </w:rPr>
      </w:pPr>
      <w:r w:rsidRPr="00BF3972">
        <w:rPr>
          <w:rFonts w:ascii="Arial" w:hAnsi="Arial" w:cs="Arial"/>
          <w:sz w:val="24"/>
          <w:szCs w:val="24"/>
        </w:rPr>
        <w:t>SE SMLUVNÍ STRANY DOHODLY TAKTO:</w:t>
      </w:r>
    </w:p>
    <w:p w14:paraId="63789E31" w14:textId="77777777" w:rsidR="00BF3972" w:rsidRPr="00BF3972" w:rsidRDefault="00BF3972" w:rsidP="00BF3972">
      <w:pPr>
        <w:spacing w:line="360" w:lineRule="auto"/>
        <w:contextualSpacing/>
        <w:rPr>
          <w:rFonts w:ascii="Arial" w:hAnsi="Arial" w:cs="Arial"/>
          <w:b/>
          <w:sz w:val="24"/>
          <w:szCs w:val="24"/>
        </w:rPr>
      </w:pPr>
    </w:p>
    <w:p w14:paraId="2559A80D" w14:textId="77777777" w:rsidR="00BF3972" w:rsidRPr="00BF3972" w:rsidRDefault="00BF3972" w:rsidP="00BF3972">
      <w:pPr>
        <w:spacing w:line="360" w:lineRule="auto"/>
        <w:contextualSpacing/>
        <w:jc w:val="center"/>
        <w:rPr>
          <w:rFonts w:ascii="Arial" w:hAnsi="Arial" w:cs="Arial"/>
          <w:b/>
          <w:sz w:val="24"/>
          <w:szCs w:val="24"/>
        </w:rPr>
      </w:pPr>
      <w:r w:rsidRPr="00BF3972">
        <w:rPr>
          <w:rFonts w:ascii="Arial" w:hAnsi="Arial" w:cs="Arial"/>
          <w:b/>
          <w:sz w:val="24"/>
          <w:szCs w:val="24"/>
        </w:rPr>
        <w:t>Čl. I.</w:t>
      </w:r>
    </w:p>
    <w:p w14:paraId="7BB946B1" w14:textId="329FE120" w:rsidR="00BF3972" w:rsidRPr="00BF3972" w:rsidRDefault="00BF3972" w:rsidP="00BF3972">
      <w:pPr>
        <w:spacing w:line="360" w:lineRule="auto"/>
        <w:contextualSpacing/>
        <w:jc w:val="center"/>
        <w:rPr>
          <w:rFonts w:ascii="Arial" w:hAnsi="Arial" w:cs="Arial"/>
          <w:b/>
          <w:sz w:val="24"/>
          <w:szCs w:val="24"/>
        </w:rPr>
      </w:pPr>
      <w:r w:rsidRPr="00BF3972">
        <w:rPr>
          <w:rFonts w:ascii="Arial" w:hAnsi="Arial" w:cs="Arial"/>
          <w:b/>
          <w:sz w:val="24"/>
          <w:szCs w:val="24"/>
        </w:rPr>
        <w:t>Předmět Dohody</w:t>
      </w:r>
    </w:p>
    <w:p w14:paraId="0DD9EE36" w14:textId="6114DDFF" w:rsidR="00BF3972" w:rsidRPr="00BF3972" w:rsidRDefault="00BF3972" w:rsidP="00BF3972">
      <w:pPr>
        <w:pStyle w:val="Odstavecseseznamem"/>
        <w:numPr>
          <w:ilvl w:val="0"/>
          <w:numId w:val="14"/>
        </w:numPr>
        <w:spacing w:line="360" w:lineRule="auto"/>
        <w:ind w:left="567" w:hanging="567"/>
        <w:jc w:val="both"/>
        <w:rPr>
          <w:rFonts w:ascii="Arial" w:hAnsi="Arial" w:cs="Arial"/>
        </w:rPr>
      </w:pPr>
      <w:r w:rsidRPr="00BF3972">
        <w:rPr>
          <w:rFonts w:ascii="Arial" w:hAnsi="Arial" w:cs="Arial"/>
        </w:rPr>
        <w:t xml:space="preserve">Smluvní strany se dohodly, že veškerá vzájemná stávající práva </w:t>
      </w:r>
      <w:r>
        <w:rPr>
          <w:rFonts w:ascii="Arial" w:hAnsi="Arial" w:cs="Arial"/>
        </w:rPr>
        <w:br/>
      </w:r>
      <w:r w:rsidRPr="00BF3972">
        <w:rPr>
          <w:rFonts w:ascii="Arial" w:hAnsi="Arial" w:cs="Arial"/>
        </w:rPr>
        <w:t xml:space="preserve">a povinnosti </w:t>
      </w:r>
      <w:r w:rsidRPr="00BF3972">
        <w:rPr>
          <w:rFonts w:ascii="Arial" w:hAnsi="Arial" w:cs="Arial"/>
          <w:bCs/>
        </w:rPr>
        <w:t>spojené s dosavadním plněním závazků ze Smlouvy a z jejího Dodatku č. 1</w:t>
      </w:r>
      <w:r w:rsidRPr="00BF3972">
        <w:rPr>
          <w:rFonts w:ascii="Arial" w:hAnsi="Arial" w:cs="Arial"/>
        </w:rPr>
        <w:t xml:space="preserve"> se považují účinností této Dohody za zcela vypořádané </w:t>
      </w:r>
      <w:r>
        <w:rPr>
          <w:rFonts w:ascii="Arial" w:hAnsi="Arial" w:cs="Arial"/>
        </w:rPr>
        <w:br/>
      </w:r>
      <w:r w:rsidRPr="00BF3972">
        <w:rPr>
          <w:rFonts w:ascii="Arial" w:hAnsi="Arial" w:cs="Arial"/>
        </w:rPr>
        <w:t xml:space="preserve">a Smluvní strany nebudou v souvislosti s nimi vůči sobě uplatňovat jakékoliv další nároky (např. z titulu bezdůvodného obohacení apod.). </w:t>
      </w:r>
    </w:p>
    <w:p w14:paraId="7C945578" w14:textId="77777777" w:rsidR="00BF3972" w:rsidRPr="00BF3972" w:rsidRDefault="00BF3972" w:rsidP="00BF3972">
      <w:pPr>
        <w:pStyle w:val="Odstavecseseznamem"/>
        <w:spacing w:line="360" w:lineRule="auto"/>
        <w:ind w:left="567"/>
        <w:jc w:val="both"/>
        <w:rPr>
          <w:rFonts w:ascii="Arial" w:hAnsi="Arial" w:cs="Arial"/>
        </w:rPr>
      </w:pPr>
    </w:p>
    <w:p w14:paraId="619FE436" w14:textId="77777777" w:rsidR="00BF3972" w:rsidRPr="00BF3972" w:rsidRDefault="00BF3972" w:rsidP="00BF3972">
      <w:pPr>
        <w:pStyle w:val="Odstavecseseznamem"/>
        <w:numPr>
          <w:ilvl w:val="0"/>
          <w:numId w:val="14"/>
        </w:numPr>
        <w:spacing w:line="360" w:lineRule="auto"/>
        <w:ind w:left="567" w:hanging="567"/>
        <w:jc w:val="both"/>
        <w:rPr>
          <w:rFonts w:ascii="Arial" w:hAnsi="Arial" w:cs="Arial"/>
        </w:rPr>
      </w:pPr>
      <w:r w:rsidRPr="00BF3972">
        <w:rPr>
          <w:rFonts w:ascii="Arial" w:hAnsi="Arial" w:cs="Arial"/>
        </w:rPr>
        <w:t>Smluvní strany potvrzují a činí nesporným, že touto Dohodou vypořádané plnění, které bylo na základě Smlouvy a/nebo jejího Dodatku č. 1 poskytnuto přede dnem nabytí účinnosti této Dohody, se považuje za poskytnuté a v plné výši zkonzumované v dobré víře a žádná ze Smluvních stran není oprávněna domáhat se vrácení takového plnění, přičemž hodnota takových vzájemných plnění obou Smluvních stran je stejná.</w:t>
      </w:r>
    </w:p>
    <w:p w14:paraId="4E02E321" w14:textId="77777777" w:rsidR="00BF3972" w:rsidRPr="00BF3972" w:rsidRDefault="00BF3972" w:rsidP="00BF3972">
      <w:pPr>
        <w:tabs>
          <w:tab w:val="left" w:pos="360"/>
        </w:tabs>
        <w:spacing w:line="360" w:lineRule="auto"/>
        <w:ind w:right="-108"/>
        <w:contextualSpacing/>
        <w:jc w:val="center"/>
        <w:rPr>
          <w:rFonts w:ascii="Arial" w:hAnsi="Arial" w:cs="Arial"/>
          <w:b/>
          <w:sz w:val="24"/>
          <w:szCs w:val="24"/>
        </w:rPr>
      </w:pPr>
    </w:p>
    <w:p w14:paraId="5FD037F6" w14:textId="77777777" w:rsidR="00BF3972" w:rsidRPr="00BF3972" w:rsidRDefault="00BF3972" w:rsidP="00BF3972">
      <w:pPr>
        <w:spacing w:line="360" w:lineRule="auto"/>
        <w:contextualSpacing/>
        <w:jc w:val="center"/>
        <w:rPr>
          <w:rFonts w:ascii="Arial" w:hAnsi="Arial" w:cs="Arial"/>
          <w:b/>
          <w:sz w:val="24"/>
          <w:szCs w:val="24"/>
        </w:rPr>
      </w:pPr>
      <w:r w:rsidRPr="00BF3972">
        <w:rPr>
          <w:rFonts w:ascii="Arial" w:hAnsi="Arial" w:cs="Arial"/>
          <w:b/>
          <w:sz w:val="24"/>
          <w:szCs w:val="24"/>
        </w:rPr>
        <w:lastRenderedPageBreak/>
        <w:t>Čl. II.</w:t>
      </w:r>
    </w:p>
    <w:p w14:paraId="5BF98F2E" w14:textId="3315EFE4" w:rsidR="00BF3972" w:rsidRPr="00BF3972" w:rsidRDefault="00BF3972" w:rsidP="00BF3972">
      <w:pPr>
        <w:spacing w:line="360" w:lineRule="auto"/>
        <w:contextualSpacing/>
        <w:jc w:val="center"/>
        <w:rPr>
          <w:rFonts w:ascii="Arial" w:hAnsi="Arial" w:cs="Arial"/>
          <w:b/>
          <w:sz w:val="24"/>
          <w:szCs w:val="24"/>
        </w:rPr>
      </w:pPr>
      <w:r w:rsidRPr="00BF3972">
        <w:rPr>
          <w:rFonts w:ascii="Arial" w:hAnsi="Arial" w:cs="Arial"/>
          <w:b/>
          <w:sz w:val="24"/>
          <w:szCs w:val="24"/>
        </w:rPr>
        <w:t>Závěrečná ustanovení</w:t>
      </w:r>
    </w:p>
    <w:p w14:paraId="0FF6BC58" w14:textId="77777777" w:rsidR="00BF3972" w:rsidRPr="00BF3972" w:rsidRDefault="00BF3972" w:rsidP="00BF3972">
      <w:pPr>
        <w:pStyle w:val="Odstavecseseznamem"/>
        <w:numPr>
          <w:ilvl w:val="0"/>
          <w:numId w:val="16"/>
        </w:numPr>
        <w:spacing w:line="360" w:lineRule="auto"/>
        <w:ind w:left="567" w:hanging="567"/>
        <w:jc w:val="both"/>
        <w:rPr>
          <w:rFonts w:ascii="Arial" w:hAnsi="Arial" w:cs="Arial"/>
        </w:rPr>
      </w:pPr>
      <w:r w:rsidRPr="00BF3972">
        <w:rPr>
          <w:rFonts w:ascii="Arial" w:hAnsi="Arial" w:cs="Arial"/>
        </w:rPr>
        <w:t>Tato Dohoda nabývá platnosti dnem jejího podpisu oběma Smluvními stranami a účinnosti dnem jejího uveřejnění v registru smluv. Uveřejnění v registru smluv zajistí Nájemce.</w:t>
      </w:r>
    </w:p>
    <w:p w14:paraId="07A42D46" w14:textId="77777777" w:rsidR="00BF3972" w:rsidRPr="00BF3972" w:rsidRDefault="00BF3972" w:rsidP="00BF3972">
      <w:pPr>
        <w:pStyle w:val="Odstavecseseznamem"/>
        <w:spacing w:line="360" w:lineRule="auto"/>
        <w:ind w:left="567" w:hanging="567"/>
        <w:jc w:val="both"/>
        <w:rPr>
          <w:rFonts w:ascii="Arial" w:hAnsi="Arial" w:cs="Arial"/>
        </w:rPr>
      </w:pPr>
    </w:p>
    <w:p w14:paraId="40699DD6" w14:textId="77777777" w:rsidR="00BF3972" w:rsidRPr="00BF3972" w:rsidRDefault="00BF3972" w:rsidP="00BF3972">
      <w:pPr>
        <w:pStyle w:val="Odstavecseseznamem"/>
        <w:numPr>
          <w:ilvl w:val="0"/>
          <w:numId w:val="16"/>
        </w:numPr>
        <w:spacing w:line="360" w:lineRule="auto"/>
        <w:ind w:left="567" w:hanging="567"/>
        <w:jc w:val="both"/>
        <w:rPr>
          <w:rFonts w:ascii="Arial" w:hAnsi="Arial" w:cs="Arial"/>
        </w:rPr>
      </w:pPr>
      <w:r w:rsidRPr="00BF3972">
        <w:rPr>
          <w:rFonts w:ascii="Arial" w:hAnsi="Arial" w:cs="Arial"/>
        </w:rPr>
        <w:t>Tato Dohoda je vyhotovena ve dvou (2) stejnopisech, přičemž každá smluvní strana obdrží po podpisu Smlouvy po jednom (1) z nich.</w:t>
      </w:r>
    </w:p>
    <w:p w14:paraId="2ED8F88E" w14:textId="77777777" w:rsidR="00BF3972" w:rsidRPr="00BF3972" w:rsidRDefault="00BF3972" w:rsidP="00BF3972">
      <w:pPr>
        <w:pStyle w:val="Odstavecseseznamem"/>
        <w:spacing w:line="360" w:lineRule="auto"/>
        <w:ind w:left="567" w:hanging="567"/>
        <w:jc w:val="both"/>
        <w:rPr>
          <w:rFonts w:ascii="Arial" w:hAnsi="Arial" w:cs="Arial"/>
        </w:rPr>
      </w:pPr>
    </w:p>
    <w:p w14:paraId="54C422F2" w14:textId="78956A08" w:rsidR="00BF3972" w:rsidRPr="00BF3972" w:rsidRDefault="00BF3972" w:rsidP="00BF3972">
      <w:pPr>
        <w:pStyle w:val="Odstavecseseznamem"/>
        <w:numPr>
          <w:ilvl w:val="0"/>
          <w:numId w:val="16"/>
        </w:numPr>
        <w:spacing w:line="360" w:lineRule="auto"/>
        <w:ind w:left="567" w:hanging="567"/>
        <w:jc w:val="both"/>
        <w:rPr>
          <w:rFonts w:ascii="Arial" w:hAnsi="Arial" w:cs="Arial"/>
        </w:rPr>
      </w:pPr>
      <w:r w:rsidRPr="00BF3972">
        <w:rPr>
          <w:rFonts w:ascii="Arial" w:hAnsi="Arial" w:cs="Arial"/>
        </w:rPr>
        <w:t xml:space="preserve">Pokud není touto Dohodou výslovně ujednáno jinak, řídí se práva </w:t>
      </w:r>
      <w:r>
        <w:rPr>
          <w:rFonts w:ascii="Arial" w:hAnsi="Arial" w:cs="Arial"/>
        </w:rPr>
        <w:br/>
      </w:r>
      <w:r w:rsidRPr="00BF3972">
        <w:rPr>
          <w:rFonts w:ascii="Arial" w:hAnsi="Arial" w:cs="Arial"/>
        </w:rPr>
        <w:t>a povinnosti z ní Občanským zákoníkem, ve znění pozdějších předpisů.</w:t>
      </w:r>
    </w:p>
    <w:p w14:paraId="037D8312" w14:textId="77777777" w:rsidR="00BF3972" w:rsidRPr="00BF3972" w:rsidRDefault="00BF3972" w:rsidP="00BF3972">
      <w:pPr>
        <w:pStyle w:val="Odstavecseseznamem"/>
        <w:spacing w:line="360" w:lineRule="auto"/>
        <w:ind w:left="567" w:hanging="567"/>
        <w:jc w:val="both"/>
        <w:rPr>
          <w:rFonts w:ascii="Arial" w:hAnsi="Arial" w:cs="Arial"/>
        </w:rPr>
      </w:pPr>
    </w:p>
    <w:p w14:paraId="011A0543" w14:textId="77777777" w:rsidR="00BF3972" w:rsidRPr="00BF3972" w:rsidRDefault="00BF3972" w:rsidP="00BF3972">
      <w:pPr>
        <w:pStyle w:val="Odstavecseseznamem"/>
        <w:numPr>
          <w:ilvl w:val="0"/>
          <w:numId w:val="16"/>
        </w:numPr>
        <w:spacing w:line="360" w:lineRule="auto"/>
        <w:ind w:left="567" w:hanging="567"/>
        <w:jc w:val="both"/>
        <w:rPr>
          <w:rFonts w:ascii="Arial" w:hAnsi="Arial" w:cs="Arial"/>
        </w:rPr>
      </w:pPr>
      <w:r w:rsidRPr="00BF3972">
        <w:rPr>
          <w:rFonts w:ascii="Arial" w:hAnsi="Arial" w:cs="Arial"/>
        </w:rPr>
        <w:t>Případné změny této Dohody je možné činit pouze v písemné formě číslovanými dodatky podepsanými oběma Smluvními stranami.</w:t>
      </w:r>
    </w:p>
    <w:p w14:paraId="5E4885E6" w14:textId="77777777" w:rsidR="00BF3972" w:rsidRPr="00BF3972" w:rsidRDefault="00BF3972" w:rsidP="00BF3972">
      <w:pPr>
        <w:pStyle w:val="Odstavecseseznamem"/>
        <w:spacing w:line="360" w:lineRule="auto"/>
        <w:ind w:left="567" w:hanging="567"/>
        <w:jc w:val="both"/>
        <w:rPr>
          <w:rFonts w:ascii="Arial" w:hAnsi="Arial" w:cs="Arial"/>
        </w:rPr>
      </w:pPr>
    </w:p>
    <w:p w14:paraId="1F45A8FE" w14:textId="77777777" w:rsidR="00BF3972" w:rsidRPr="00BF3972" w:rsidRDefault="00BF3972" w:rsidP="00BF3972">
      <w:pPr>
        <w:pStyle w:val="Odstavecseseznamem"/>
        <w:numPr>
          <w:ilvl w:val="0"/>
          <w:numId w:val="16"/>
        </w:numPr>
        <w:spacing w:line="360" w:lineRule="auto"/>
        <w:ind w:left="567" w:hanging="567"/>
        <w:jc w:val="both"/>
        <w:rPr>
          <w:rFonts w:ascii="Arial" w:hAnsi="Arial" w:cs="Arial"/>
        </w:rPr>
      </w:pPr>
      <w:r w:rsidRPr="00BF3972">
        <w:rPr>
          <w:rFonts w:ascii="Arial" w:hAnsi="Arial" w:cs="Arial"/>
        </w:rPr>
        <w:t>Je-li některé ustanovení Dohody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Dohody oddělit. Smluvní strany se pro tento případ zavazují vadné ustanovení bezodkladně nahradit bezvadným, které bude v nejvyšší možné míře odpovídat obsahu a účelu ustanovení vadného.</w:t>
      </w:r>
    </w:p>
    <w:p w14:paraId="4E70CE72" w14:textId="77777777" w:rsidR="00BF3972" w:rsidRPr="00BF3972" w:rsidRDefault="00BF3972" w:rsidP="00BF3972">
      <w:pPr>
        <w:pStyle w:val="Odstavecseseznamem"/>
        <w:spacing w:line="360" w:lineRule="auto"/>
        <w:ind w:left="567" w:hanging="567"/>
        <w:rPr>
          <w:rFonts w:ascii="Arial" w:hAnsi="Arial" w:cs="Arial"/>
        </w:rPr>
      </w:pPr>
    </w:p>
    <w:p w14:paraId="58ACD1C4" w14:textId="77777777" w:rsidR="00BF3972" w:rsidRPr="00BF3972" w:rsidRDefault="00BF3972" w:rsidP="00BF3972">
      <w:pPr>
        <w:pStyle w:val="Odstavecseseznamem"/>
        <w:numPr>
          <w:ilvl w:val="0"/>
          <w:numId w:val="16"/>
        </w:numPr>
        <w:spacing w:line="360" w:lineRule="auto"/>
        <w:ind w:left="567" w:hanging="567"/>
        <w:jc w:val="both"/>
        <w:rPr>
          <w:rFonts w:ascii="Arial" w:hAnsi="Arial" w:cs="Arial"/>
        </w:rPr>
      </w:pPr>
      <w:r w:rsidRPr="00BF3972">
        <w:rPr>
          <w:rFonts w:ascii="Arial" w:hAnsi="Arial" w:cs="Arial"/>
        </w:rPr>
        <w:t xml:space="preserve">Veškeré údaje a informace, které si Smluvní strany sdělily při uzavírání této Dohody, jsou považovány za důvěrné, přičemž žádná ze Smluvních stran je nesmí zpřístupnit či sdělit třetí osobě ani je použít v rozporu s jejich </w:t>
      </w:r>
      <w:r w:rsidRPr="00BF3972">
        <w:rPr>
          <w:rFonts w:ascii="Arial" w:hAnsi="Arial" w:cs="Arial"/>
        </w:rPr>
        <w:lastRenderedPageBreak/>
        <w:t>účelem pro vlastní potřeby, s výjimkou jejího povinného zveřejnění dle příslušných právních předpisů. Poruší-li některá Smluvní strana tuto povinnost, bude povinna nahradit druhé Smluvní straně veškerou tím vzniklou újmu a obohatí-li se tím, vydá druhé Smluvní straně to, oč se obohatila.</w:t>
      </w:r>
    </w:p>
    <w:p w14:paraId="78F82AAF" w14:textId="77777777" w:rsidR="00BF3972" w:rsidRPr="00BF3972" w:rsidRDefault="00BF3972" w:rsidP="00BF3972">
      <w:pPr>
        <w:pStyle w:val="Odstavecseseznamem"/>
        <w:spacing w:line="360" w:lineRule="auto"/>
        <w:ind w:left="360"/>
        <w:jc w:val="both"/>
        <w:rPr>
          <w:rFonts w:ascii="Arial" w:hAnsi="Arial" w:cs="Arial"/>
        </w:rPr>
      </w:pPr>
    </w:p>
    <w:p w14:paraId="53032FBB" w14:textId="364D3498" w:rsidR="00BF3972" w:rsidRPr="00BF3972" w:rsidRDefault="00BF3972" w:rsidP="00BF3972">
      <w:pPr>
        <w:pStyle w:val="Odstavecseseznamem"/>
        <w:numPr>
          <w:ilvl w:val="0"/>
          <w:numId w:val="16"/>
        </w:numPr>
        <w:spacing w:line="360" w:lineRule="auto"/>
        <w:ind w:left="567" w:hanging="567"/>
        <w:jc w:val="both"/>
        <w:rPr>
          <w:rFonts w:ascii="Arial" w:hAnsi="Arial" w:cs="Arial"/>
        </w:rPr>
      </w:pPr>
      <w:r w:rsidRPr="00BF3972">
        <w:rPr>
          <w:rFonts w:ascii="Arial" w:hAnsi="Arial" w:cs="Arial"/>
        </w:rPr>
        <w:t>Smluvní strany prohlašují, že se řádně seznámily s textem a obsahem této Dohody, který je projevem jejich pravé a svobodné vůle a na důkaz toho Dohodu podepisují.</w:t>
      </w:r>
    </w:p>
    <w:p w14:paraId="3C4AFE63" w14:textId="77777777" w:rsidR="00BF3972" w:rsidRPr="00BF3972" w:rsidRDefault="00BF3972" w:rsidP="00BF3972">
      <w:pPr>
        <w:pStyle w:val="Odstavecseseznamem"/>
        <w:spacing w:line="360" w:lineRule="auto"/>
        <w:ind w:left="357"/>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BF3972" w:rsidRPr="00BF3972" w14:paraId="342890B7" w14:textId="77777777" w:rsidTr="00551760">
        <w:tc>
          <w:tcPr>
            <w:tcW w:w="4531" w:type="dxa"/>
          </w:tcPr>
          <w:p w14:paraId="240DF38F" w14:textId="675E1B0B" w:rsidR="00BF3972" w:rsidRPr="00BF3972" w:rsidRDefault="00BF3972" w:rsidP="00551760">
            <w:pPr>
              <w:tabs>
                <w:tab w:val="center" w:pos="1985"/>
                <w:tab w:val="center" w:pos="6946"/>
              </w:tabs>
              <w:spacing w:line="360" w:lineRule="auto"/>
              <w:contextualSpacing/>
              <w:jc w:val="center"/>
              <w:rPr>
                <w:rFonts w:ascii="Arial" w:hAnsi="Arial" w:cs="Arial"/>
                <w:sz w:val="24"/>
                <w:szCs w:val="24"/>
              </w:rPr>
            </w:pPr>
            <w:r w:rsidRPr="00BF3972">
              <w:rPr>
                <w:rFonts w:ascii="Arial" w:hAnsi="Arial" w:cs="Arial"/>
                <w:sz w:val="24"/>
                <w:szCs w:val="24"/>
              </w:rPr>
              <w:t xml:space="preserve">V Praze dne </w:t>
            </w:r>
            <w:r w:rsidR="006A5DD1">
              <w:rPr>
                <w:rFonts w:ascii="Arial" w:hAnsi="Arial" w:cs="Arial"/>
                <w:i/>
                <w:iCs/>
                <w:sz w:val="24"/>
                <w:szCs w:val="24"/>
              </w:rPr>
              <w:t>21.11.2025</w:t>
            </w:r>
          </w:p>
          <w:p w14:paraId="46457563" w14:textId="77777777" w:rsidR="00BF3972" w:rsidRPr="00BF3972" w:rsidRDefault="00BF3972" w:rsidP="00551760">
            <w:pPr>
              <w:tabs>
                <w:tab w:val="center" w:pos="1985"/>
                <w:tab w:val="center" w:pos="6946"/>
              </w:tabs>
              <w:spacing w:line="360" w:lineRule="auto"/>
              <w:contextualSpacing/>
              <w:jc w:val="center"/>
              <w:rPr>
                <w:rFonts w:ascii="Arial" w:hAnsi="Arial" w:cs="Arial"/>
                <w:sz w:val="24"/>
                <w:szCs w:val="24"/>
              </w:rPr>
            </w:pPr>
          </w:p>
          <w:p w14:paraId="71B538E5" w14:textId="77777777" w:rsidR="00BF3972" w:rsidRDefault="00BF3972" w:rsidP="00551760">
            <w:pPr>
              <w:tabs>
                <w:tab w:val="center" w:pos="1985"/>
                <w:tab w:val="center" w:pos="6946"/>
              </w:tabs>
              <w:spacing w:line="360" w:lineRule="auto"/>
              <w:contextualSpacing/>
              <w:jc w:val="center"/>
              <w:rPr>
                <w:rFonts w:ascii="Arial" w:hAnsi="Arial" w:cs="Arial"/>
                <w:sz w:val="24"/>
                <w:szCs w:val="24"/>
              </w:rPr>
            </w:pPr>
          </w:p>
          <w:p w14:paraId="1CF64994" w14:textId="77777777" w:rsidR="00BF3972" w:rsidRDefault="00BF3972" w:rsidP="00551760">
            <w:pPr>
              <w:tabs>
                <w:tab w:val="center" w:pos="1985"/>
                <w:tab w:val="center" w:pos="6946"/>
              </w:tabs>
              <w:spacing w:line="360" w:lineRule="auto"/>
              <w:contextualSpacing/>
              <w:jc w:val="center"/>
              <w:rPr>
                <w:rFonts w:ascii="Arial" w:hAnsi="Arial" w:cs="Arial"/>
                <w:sz w:val="24"/>
                <w:szCs w:val="24"/>
              </w:rPr>
            </w:pPr>
          </w:p>
          <w:p w14:paraId="2CA2C7BD" w14:textId="77777777" w:rsidR="00BF3972" w:rsidRDefault="00BF3972" w:rsidP="00551760">
            <w:pPr>
              <w:tabs>
                <w:tab w:val="center" w:pos="1985"/>
                <w:tab w:val="center" w:pos="6946"/>
              </w:tabs>
              <w:spacing w:line="360" w:lineRule="auto"/>
              <w:contextualSpacing/>
              <w:jc w:val="center"/>
              <w:rPr>
                <w:rFonts w:ascii="Arial" w:hAnsi="Arial" w:cs="Arial"/>
                <w:sz w:val="24"/>
                <w:szCs w:val="24"/>
              </w:rPr>
            </w:pPr>
          </w:p>
          <w:p w14:paraId="47089EAA" w14:textId="77777777" w:rsidR="00BF3972" w:rsidRDefault="00BF3972" w:rsidP="00551760">
            <w:pPr>
              <w:tabs>
                <w:tab w:val="center" w:pos="1985"/>
                <w:tab w:val="center" w:pos="6946"/>
              </w:tabs>
              <w:spacing w:line="360" w:lineRule="auto"/>
              <w:contextualSpacing/>
              <w:jc w:val="center"/>
              <w:rPr>
                <w:rFonts w:ascii="Arial" w:hAnsi="Arial" w:cs="Arial"/>
                <w:sz w:val="24"/>
                <w:szCs w:val="24"/>
              </w:rPr>
            </w:pPr>
          </w:p>
          <w:p w14:paraId="2C2AFB7F" w14:textId="77777777" w:rsidR="00BF3972" w:rsidRDefault="00BF3972" w:rsidP="00551760">
            <w:pPr>
              <w:tabs>
                <w:tab w:val="center" w:pos="1985"/>
                <w:tab w:val="center" w:pos="6946"/>
              </w:tabs>
              <w:spacing w:line="360" w:lineRule="auto"/>
              <w:contextualSpacing/>
              <w:jc w:val="center"/>
              <w:rPr>
                <w:rFonts w:ascii="Arial" w:hAnsi="Arial" w:cs="Arial"/>
                <w:sz w:val="24"/>
                <w:szCs w:val="24"/>
              </w:rPr>
            </w:pPr>
          </w:p>
          <w:p w14:paraId="5F40D83B" w14:textId="77777777" w:rsidR="00BF3972" w:rsidRPr="00BF3972" w:rsidRDefault="00BF3972" w:rsidP="00551760">
            <w:pPr>
              <w:tabs>
                <w:tab w:val="center" w:pos="1985"/>
                <w:tab w:val="center" w:pos="6946"/>
              </w:tabs>
              <w:spacing w:line="360" w:lineRule="auto"/>
              <w:contextualSpacing/>
              <w:jc w:val="center"/>
              <w:rPr>
                <w:rFonts w:ascii="Arial" w:hAnsi="Arial" w:cs="Arial"/>
                <w:sz w:val="24"/>
                <w:szCs w:val="24"/>
              </w:rPr>
            </w:pPr>
          </w:p>
          <w:p w14:paraId="5054928A" w14:textId="77777777" w:rsidR="00BF3972" w:rsidRPr="00BF3972" w:rsidRDefault="00BF3972" w:rsidP="00551760">
            <w:pPr>
              <w:tabs>
                <w:tab w:val="center" w:pos="1985"/>
                <w:tab w:val="center" w:pos="6946"/>
              </w:tabs>
              <w:spacing w:line="360" w:lineRule="auto"/>
              <w:contextualSpacing/>
              <w:jc w:val="center"/>
              <w:rPr>
                <w:rFonts w:ascii="Arial" w:hAnsi="Arial" w:cs="Arial"/>
                <w:sz w:val="24"/>
                <w:szCs w:val="24"/>
              </w:rPr>
            </w:pPr>
          </w:p>
          <w:p w14:paraId="5786A0F5" w14:textId="77777777" w:rsidR="00BF3972" w:rsidRPr="00BF3972" w:rsidRDefault="00BF3972" w:rsidP="00551760">
            <w:pPr>
              <w:tabs>
                <w:tab w:val="center" w:pos="1985"/>
                <w:tab w:val="center" w:pos="6946"/>
              </w:tabs>
              <w:spacing w:line="360" w:lineRule="auto"/>
              <w:contextualSpacing/>
              <w:jc w:val="center"/>
              <w:rPr>
                <w:rFonts w:ascii="Arial" w:hAnsi="Arial" w:cs="Arial"/>
                <w:sz w:val="24"/>
                <w:szCs w:val="24"/>
              </w:rPr>
            </w:pPr>
            <w:r w:rsidRPr="00BF3972">
              <w:rPr>
                <w:rFonts w:ascii="Arial" w:hAnsi="Arial" w:cs="Arial"/>
                <w:sz w:val="24"/>
                <w:szCs w:val="24"/>
              </w:rPr>
              <w:t>______________________________</w:t>
            </w:r>
          </w:p>
          <w:p w14:paraId="62D9B543" w14:textId="77777777" w:rsidR="00BF3972" w:rsidRPr="00BF3972" w:rsidRDefault="00BF3972" w:rsidP="00551760">
            <w:pPr>
              <w:tabs>
                <w:tab w:val="center" w:pos="1985"/>
                <w:tab w:val="center" w:pos="6946"/>
              </w:tabs>
              <w:spacing w:line="360" w:lineRule="auto"/>
              <w:contextualSpacing/>
              <w:jc w:val="center"/>
              <w:rPr>
                <w:rFonts w:ascii="Arial" w:hAnsi="Arial" w:cs="Arial"/>
                <w:b/>
                <w:sz w:val="24"/>
                <w:szCs w:val="24"/>
              </w:rPr>
            </w:pPr>
            <w:r w:rsidRPr="00BF3972">
              <w:rPr>
                <w:rFonts w:ascii="Arial" w:hAnsi="Arial" w:cs="Arial"/>
                <w:bCs/>
                <w:sz w:val="24"/>
                <w:szCs w:val="24"/>
              </w:rPr>
              <w:t xml:space="preserve">za </w:t>
            </w:r>
            <w:r w:rsidRPr="00BF3972">
              <w:rPr>
                <w:rFonts w:ascii="Arial" w:hAnsi="Arial" w:cs="Arial"/>
                <w:b/>
                <w:sz w:val="24"/>
                <w:szCs w:val="24"/>
              </w:rPr>
              <w:t>Muzeum hl. m. Prahy</w:t>
            </w:r>
          </w:p>
          <w:p w14:paraId="550BB882" w14:textId="77777777" w:rsidR="00BF3972" w:rsidRPr="00BF3972" w:rsidRDefault="00BF3972" w:rsidP="00551760">
            <w:pPr>
              <w:tabs>
                <w:tab w:val="center" w:pos="1985"/>
                <w:tab w:val="center" w:pos="6946"/>
              </w:tabs>
              <w:spacing w:line="360" w:lineRule="auto"/>
              <w:contextualSpacing/>
              <w:jc w:val="center"/>
              <w:rPr>
                <w:rFonts w:ascii="Arial" w:hAnsi="Arial" w:cs="Arial"/>
                <w:sz w:val="24"/>
                <w:szCs w:val="24"/>
              </w:rPr>
            </w:pPr>
            <w:r w:rsidRPr="00BF3972">
              <w:rPr>
                <w:rFonts w:ascii="Arial" w:hAnsi="Arial" w:cs="Arial"/>
                <w:sz w:val="24"/>
                <w:szCs w:val="24"/>
              </w:rPr>
              <w:t>RNDr. Ing. Ivo Macek, ředitel</w:t>
            </w:r>
          </w:p>
        </w:tc>
        <w:tc>
          <w:tcPr>
            <w:tcW w:w="4531" w:type="dxa"/>
          </w:tcPr>
          <w:p w14:paraId="3DB24604" w14:textId="2890182F" w:rsidR="00BF3972" w:rsidRPr="00BF3972" w:rsidRDefault="00BF3972" w:rsidP="00551760">
            <w:pPr>
              <w:tabs>
                <w:tab w:val="center" w:pos="1985"/>
                <w:tab w:val="center" w:pos="6946"/>
              </w:tabs>
              <w:spacing w:line="360" w:lineRule="auto"/>
              <w:contextualSpacing/>
              <w:jc w:val="center"/>
              <w:rPr>
                <w:rFonts w:ascii="Arial" w:hAnsi="Arial" w:cs="Arial"/>
                <w:sz w:val="24"/>
                <w:szCs w:val="24"/>
              </w:rPr>
            </w:pPr>
            <w:r w:rsidRPr="00BF3972">
              <w:rPr>
                <w:rFonts w:ascii="Arial" w:hAnsi="Arial" w:cs="Arial"/>
                <w:sz w:val="24"/>
                <w:szCs w:val="24"/>
              </w:rPr>
              <w:t xml:space="preserve">V Praze dne </w:t>
            </w:r>
            <w:r w:rsidR="006A5DD1">
              <w:rPr>
                <w:rFonts w:ascii="Arial" w:hAnsi="Arial" w:cs="Arial"/>
                <w:i/>
                <w:iCs/>
                <w:sz w:val="24"/>
                <w:szCs w:val="24"/>
              </w:rPr>
              <w:t>21.11.2025</w:t>
            </w:r>
          </w:p>
          <w:p w14:paraId="7B34EBC7" w14:textId="77777777" w:rsidR="00BF3972" w:rsidRPr="00BF3972" w:rsidRDefault="00BF3972" w:rsidP="00551760">
            <w:pPr>
              <w:tabs>
                <w:tab w:val="center" w:pos="1985"/>
                <w:tab w:val="center" w:pos="6946"/>
              </w:tabs>
              <w:spacing w:line="360" w:lineRule="auto"/>
              <w:contextualSpacing/>
              <w:jc w:val="center"/>
              <w:rPr>
                <w:rFonts w:ascii="Arial" w:hAnsi="Arial" w:cs="Arial"/>
                <w:sz w:val="24"/>
                <w:szCs w:val="24"/>
              </w:rPr>
            </w:pPr>
          </w:p>
          <w:p w14:paraId="384639D0" w14:textId="77777777" w:rsidR="00BF3972" w:rsidRDefault="00BF3972" w:rsidP="00551760">
            <w:pPr>
              <w:tabs>
                <w:tab w:val="center" w:pos="1985"/>
                <w:tab w:val="center" w:pos="6946"/>
              </w:tabs>
              <w:spacing w:line="360" w:lineRule="auto"/>
              <w:contextualSpacing/>
              <w:jc w:val="center"/>
              <w:rPr>
                <w:rFonts w:ascii="Arial" w:hAnsi="Arial" w:cs="Arial"/>
                <w:sz w:val="24"/>
                <w:szCs w:val="24"/>
              </w:rPr>
            </w:pPr>
          </w:p>
          <w:p w14:paraId="001280E5" w14:textId="77777777" w:rsidR="00BF3972" w:rsidRDefault="00BF3972" w:rsidP="00551760">
            <w:pPr>
              <w:tabs>
                <w:tab w:val="center" w:pos="1985"/>
                <w:tab w:val="center" w:pos="6946"/>
              </w:tabs>
              <w:spacing w:line="360" w:lineRule="auto"/>
              <w:contextualSpacing/>
              <w:jc w:val="center"/>
              <w:rPr>
                <w:rFonts w:ascii="Arial" w:hAnsi="Arial" w:cs="Arial"/>
                <w:sz w:val="24"/>
                <w:szCs w:val="24"/>
              </w:rPr>
            </w:pPr>
          </w:p>
          <w:p w14:paraId="29AECA44" w14:textId="77777777" w:rsidR="00BF3972" w:rsidRDefault="00BF3972" w:rsidP="00551760">
            <w:pPr>
              <w:tabs>
                <w:tab w:val="center" w:pos="1985"/>
                <w:tab w:val="center" w:pos="6946"/>
              </w:tabs>
              <w:spacing w:line="360" w:lineRule="auto"/>
              <w:contextualSpacing/>
              <w:jc w:val="center"/>
              <w:rPr>
                <w:rFonts w:ascii="Arial" w:hAnsi="Arial" w:cs="Arial"/>
                <w:sz w:val="24"/>
                <w:szCs w:val="24"/>
              </w:rPr>
            </w:pPr>
          </w:p>
          <w:p w14:paraId="57443A39" w14:textId="77777777" w:rsidR="00BF3972" w:rsidRDefault="00BF3972" w:rsidP="00551760">
            <w:pPr>
              <w:tabs>
                <w:tab w:val="center" w:pos="1985"/>
                <w:tab w:val="center" w:pos="6946"/>
              </w:tabs>
              <w:spacing w:line="360" w:lineRule="auto"/>
              <w:contextualSpacing/>
              <w:jc w:val="center"/>
              <w:rPr>
                <w:rFonts w:ascii="Arial" w:hAnsi="Arial" w:cs="Arial"/>
                <w:sz w:val="24"/>
                <w:szCs w:val="24"/>
              </w:rPr>
            </w:pPr>
          </w:p>
          <w:p w14:paraId="47F4AC9A" w14:textId="77777777" w:rsidR="00BF3972" w:rsidRDefault="00BF3972" w:rsidP="00551760">
            <w:pPr>
              <w:tabs>
                <w:tab w:val="center" w:pos="1985"/>
                <w:tab w:val="center" w:pos="6946"/>
              </w:tabs>
              <w:spacing w:line="360" w:lineRule="auto"/>
              <w:contextualSpacing/>
              <w:jc w:val="center"/>
              <w:rPr>
                <w:rFonts w:ascii="Arial" w:hAnsi="Arial" w:cs="Arial"/>
                <w:sz w:val="24"/>
                <w:szCs w:val="24"/>
              </w:rPr>
            </w:pPr>
          </w:p>
          <w:p w14:paraId="40D3A8D5" w14:textId="77777777" w:rsidR="00BF3972" w:rsidRPr="00BF3972" w:rsidRDefault="00BF3972" w:rsidP="00551760">
            <w:pPr>
              <w:tabs>
                <w:tab w:val="center" w:pos="1985"/>
                <w:tab w:val="center" w:pos="6946"/>
              </w:tabs>
              <w:spacing w:line="360" w:lineRule="auto"/>
              <w:contextualSpacing/>
              <w:jc w:val="center"/>
              <w:rPr>
                <w:rFonts w:ascii="Arial" w:hAnsi="Arial" w:cs="Arial"/>
                <w:sz w:val="24"/>
                <w:szCs w:val="24"/>
              </w:rPr>
            </w:pPr>
          </w:p>
          <w:p w14:paraId="7924B89A" w14:textId="77777777" w:rsidR="00BF3972" w:rsidRPr="00BF3972" w:rsidRDefault="00BF3972" w:rsidP="00551760">
            <w:pPr>
              <w:tabs>
                <w:tab w:val="center" w:pos="1985"/>
                <w:tab w:val="center" w:pos="6946"/>
              </w:tabs>
              <w:spacing w:line="360" w:lineRule="auto"/>
              <w:contextualSpacing/>
              <w:jc w:val="center"/>
              <w:rPr>
                <w:rFonts w:ascii="Arial" w:hAnsi="Arial" w:cs="Arial"/>
                <w:sz w:val="24"/>
                <w:szCs w:val="24"/>
              </w:rPr>
            </w:pPr>
          </w:p>
          <w:p w14:paraId="10CAD632" w14:textId="77777777" w:rsidR="00BF3972" w:rsidRPr="00BF3972" w:rsidRDefault="00BF3972" w:rsidP="00551760">
            <w:pPr>
              <w:tabs>
                <w:tab w:val="center" w:pos="1985"/>
                <w:tab w:val="center" w:pos="6946"/>
              </w:tabs>
              <w:spacing w:line="360" w:lineRule="auto"/>
              <w:contextualSpacing/>
              <w:jc w:val="center"/>
              <w:rPr>
                <w:rFonts w:ascii="Arial" w:hAnsi="Arial" w:cs="Arial"/>
                <w:sz w:val="24"/>
                <w:szCs w:val="24"/>
              </w:rPr>
            </w:pPr>
            <w:r w:rsidRPr="00BF3972">
              <w:rPr>
                <w:rFonts w:ascii="Arial" w:hAnsi="Arial" w:cs="Arial"/>
                <w:sz w:val="24"/>
                <w:szCs w:val="24"/>
              </w:rPr>
              <w:t>______________________________</w:t>
            </w:r>
          </w:p>
          <w:p w14:paraId="50880585" w14:textId="77777777" w:rsidR="00BF3972" w:rsidRPr="00BF3972" w:rsidRDefault="00BF3972" w:rsidP="00551760">
            <w:pPr>
              <w:tabs>
                <w:tab w:val="center" w:pos="1985"/>
                <w:tab w:val="center" w:pos="6946"/>
              </w:tabs>
              <w:spacing w:line="360" w:lineRule="auto"/>
              <w:contextualSpacing/>
              <w:jc w:val="center"/>
              <w:rPr>
                <w:rFonts w:ascii="Arial" w:hAnsi="Arial" w:cs="Arial"/>
                <w:b/>
                <w:sz w:val="24"/>
                <w:szCs w:val="24"/>
              </w:rPr>
            </w:pPr>
            <w:r w:rsidRPr="00BF3972">
              <w:rPr>
                <w:rFonts w:ascii="Arial" w:hAnsi="Arial" w:cs="Arial"/>
                <w:bCs/>
                <w:sz w:val="24"/>
                <w:szCs w:val="24"/>
              </w:rPr>
              <w:t>za</w:t>
            </w:r>
            <w:r w:rsidRPr="00BF3972">
              <w:rPr>
                <w:rFonts w:ascii="Arial" w:hAnsi="Arial" w:cs="Arial"/>
                <w:b/>
                <w:sz w:val="24"/>
                <w:szCs w:val="24"/>
              </w:rPr>
              <w:t xml:space="preserve"> AVT Group a.s.</w:t>
            </w:r>
          </w:p>
          <w:p w14:paraId="0D48927D" w14:textId="77777777" w:rsidR="00BF3972" w:rsidRPr="00BF3972" w:rsidRDefault="00BF3972" w:rsidP="00551760">
            <w:pPr>
              <w:spacing w:line="360" w:lineRule="auto"/>
              <w:contextualSpacing/>
              <w:jc w:val="center"/>
              <w:rPr>
                <w:rFonts w:ascii="Arial" w:hAnsi="Arial" w:cs="Arial"/>
                <w:sz w:val="24"/>
                <w:szCs w:val="24"/>
              </w:rPr>
            </w:pPr>
            <w:r w:rsidRPr="00BF3972">
              <w:rPr>
                <w:rFonts w:ascii="Arial" w:hAnsi="Arial" w:cs="Arial"/>
                <w:sz w:val="24"/>
                <w:szCs w:val="24"/>
              </w:rPr>
              <w:t>Ing. Petr Vlček, jediný člen představenstva</w:t>
            </w:r>
          </w:p>
        </w:tc>
      </w:tr>
    </w:tbl>
    <w:p w14:paraId="13448504" w14:textId="77777777" w:rsidR="00BF3972" w:rsidRPr="00BF3972" w:rsidRDefault="00BF3972" w:rsidP="00BF3972">
      <w:pPr>
        <w:spacing w:line="360" w:lineRule="auto"/>
        <w:ind w:right="334"/>
        <w:contextualSpacing/>
        <w:rPr>
          <w:rFonts w:ascii="Arial" w:hAnsi="Arial" w:cs="Arial"/>
          <w:sz w:val="24"/>
          <w:szCs w:val="24"/>
        </w:rPr>
      </w:pPr>
    </w:p>
    <w:p w14:paraId="46AF9756" w14:textId="77777777" w:rsidR="00BF3972" w:rsidRPr="00BF3972" w:rsidRDefault="00BF3972" w:rsidP="00BF3972">
      <w:pPr>
        <w:spacing w:line="360" w:lineRule="auto"/>
        <w:ind w:right="334"/>
        <w:contextualSpacing/>
        <w:rPr>
          <w:rFonts w:ascii="Arial" w:hAnsi="Arial" w:cs="Arial"/>
          <w:sz w:val="24"/>
          <w:szCs w:val="24"/>
        </w:rPr>
      </w:pPr>
    </w:p>
    <w:p w14:paraId="594D9083" w14:textId="77777777" w:rsidR="00BF3972" w:rsidRPr="00BF3972" w:rsidRDefault="00BF3972" w:rsidP="00BF3972">
      <w:pPr>
        <w:spacing w:line="360" w:lineRule="auto"/>
        <w:ind w:right="334"/>
        <w:contextualSpacing/>
        <w:rPr>
          <w:rFonts w:ascii="Arial" w:hAnsi="Arial" w:cs="Arial"/>
          <w:sz w:val="24"/>
          <w:szCs w:val="24"/>
        </w:rPr>
      </w:pPr>
    </w:p>
    <w:p w14:paraId="7B3A45DF" w14:textId="77777777" w:rsidR="004125FD" w:rsidRPr="00BF3972" w:rsidRDefault="004125FD" w:rsidP="00382298">
      <w:pPr>
        <w:rPr>
          <w:sz w:val="24"/>
          <w:szCs w:val="24"/>
        </w:rPr>
      </w:pPr>
    </w:p>
    <w:sectPr w:rsidR="004125FD" w:rsidRPr="00BF3972" w:rsidSect="00F75814">
      <w:headerReference w:type="default" r:id="rId10"/>
      <w:footerReference w:type="default" r:id="rId11"/>
      <w:pgSz w:w="11906" w:h="16838" w:code="9"/>
      <w:pgMar w:top="3289" w:right="1701" w:bottom="2041"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C8A9" w14:textId="77777777" w:rsidR="004B085F" w:rsidRDefault="004B085F" w:rsidP="000809E0">
      <w:pPr>
        <w:spacing w:after="0" w:line="240" w:lineRule="auto"/>
      </w:pPr>
      <w:r>
        <w:separator/>
      </w:r>
    </w:p>
  </w:endnote>
  <w:endnote w:type="continuationSeparator" w:id="0">
    <w:p w14:paraId="1945F995" w14:textId="77777777" w:rsidR="004B085F" w:rsidRDefault="004B085F"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F9A0" w14:textId="77777777" w:rsidR="00B23C27" w:rsidRDefault="005C47EA" w:rsidP="00B23C27">
    <w:pPr>
      <w:pStyle w:val="Zpat"/>
    </w:pPr>
    <w:r>
      <w:rPr>
        <w:noProof/>
      </w:rPr>
      <w:drawing>
        <wp:anchor distT="0" distB="0" distL="114300" distR="114300" simplePos="0" relativeHeight="251668223" behindDoc="1" locked="0" layoutInCell="1" allowOverlap="1" wp14:anchorId="5E00B0F9" wp14:editId="5B923618">
          <wp:simplePos x="0" y="0"/>
          <wp:positionH relativeFrom="page">
            <wp:posOffset>504190</wp:posOffset>
          </wp:positionH>
          <wp:positionV relativeFrom="page">
            <wp:posOffset>10027285</wp:posOffset>
          </wp:positionV>
          <wp:extent cx="4683600" cy="252000"/>
          <wp:effectExtent l="0" t="0" r="0" b="0"/>
          <wp:wrapNone/>
          <wp:docPr id="1876772568" name="Kontakty zápatí CZ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568" name="Kontakty zápatí CZ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4683600" cy="25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867D" w14:textId="77777777" w:rsidR="004B085F" w:rsidRDefault="004B085F" w:rsidP="000809E0">
      <w:pPr>
        <w:spacing w:after="0" w:line="240" w:lineRule="auto"/>
      </w:pPr>
      <w:r>
        <w:separator/>
      </w:r>
    </w:p>
  </w:footnote>
  <w:footnote w:type="continuationSeparator" w:id="0">
    <w:p w14:paraId="654D0357" w14:textId="77777777" w:rsidR="004B085F" w:rsidRDefault="004B085F"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E32D" w14:textId="77777777" w:rsidR="00BF3972" w:rsidRDefault="002B0A0E" w:rsidP="00B23C27">
    <w:pPr>
      <w:pStyle w:val="Zhlav"/>
    </w:pPr>
    <w:r>
      <w:rPr>
        <w:noProof/>
      </w:rPr>
      <w:drawing>
        <wp:anchor distT="0" distB="0" distL="114300" distR="114300" simplePos="0" relativeHeight="251671552" behindDoc="0" locked="0" layoutInCell="1" allowOverlap="1" wp14:anchorId="6795F167" wp14:editId="3B9FA88A">
          <wp:simplePos x="0" y="0"/>
          <wp:positionH relativeFrom="column">
            <wp:posOffset>4263266</wp:posOffset>
          </wp:positionH>
          <wp:positionV relativeFrom="paragraph">
            <wp:posOffset>-266074</wp:posOffset>
          </wp:positionV>
          <wp:extent cx="1791970" cy="213360"/>
          <wp:effectExtent l="0" t="0" r="0" b="0"/>
          <wp:wrapSquare wrapText="bothSides"/>
          <wp:docPr id="1" name="Obrázek 0" descr="espis_barcode.png"/>
          <wp:cNvGraphicFramePr/>
          <a:graphic xmlns:a="http://schemas.openxmlformats.org/drawingml/2006/main">
            <a:graphicData uri="http://schemas.openxmlformats.org/drawingml/2006/picture">
              <pic:pic xmlns:pic="http://schemas.openxmlformats.org/drawingml/2006/picture">
                <pic:nvPicPr>
                  <pic:cNvPr id="1" name="Obrázek 0" descr="espis_barcode.png"/>
                  <pic:cNvPicPr/>
                </pic:nvPicPr>
                <pic:blipFill>
                  <a:blip r:embed="rId1"/>
                  <a:stretch>
                    <a:fillRect/>
                  </a:stretch>
                </pic:blipFill>
                <pic:spPr>
                  <a:xfrm>
                    <a:off x="0" y="0"/>
                    <a:ext cx="1791970" cy="213360"/>
                  </a:xfrm>
                  <a:prstGeom prst="rect">
                    <a:avLst/>
                  </a:prstGeom>
                </pic:spPr>
              </pic:pic>
            </a:graphicData>
          </a:graphic>
          <wp14:sizeRelH relativeFrom="margin">
            <wp14:pctWidth>0</wp14:pctWidth>
          </wp14:sizeRelH>
          <wp14:sizeRelV relativeFrom="margin">
            <wp14:pctHeight>0</wp14:pctHeight>
          </wp14:sizeRelV>
        </wp:anchor>
      </w:drawing>
    </w:r>
    <w:r w:rsidR="003A2C32">
      <w:rPr>
        <w:noProof/>
      </w:rPr>
      <w:drawing>
        <wp:anchor distT="0" distB="0" distL="114300" distR="114300" simplePos="0" relativeHeight="251669504" behindDoc="1" locked="0" layoutInCell="1" allowOverlap="1" wp14:anchorId="7DE6E2E2" wp14:editId="1E023D7A">
          <wp:simplePos x="0" y="0"/>
          <wp:positionH relativeFrom="page">
            <wp:posOffset>504190</wp:posOffset>
          </wp:positionH>
          <wp:positionV relativeFrom="page">
            <wp:posOffset>431800</wp:posOffset>
          </wp:positionV>
          <wp:extent cx="2070000" cy="864000"/>
          <wp:effectExtent l="0" t="0" r="6985" b="0"/>
          <wp:wrapNone/>
          <wp:docPr id="786130626"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2">
                    <a:extLst>
                      <a:ext uri="{96DAC541-7B7A-43D3-8B79-37D633B846F1}">
                        <asvg:svgBlip xmlns:asvg="http://schemas.microsoft.com/office/drawing/2016/SVG/main" r:embed="rId3"/>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r w:rsidR="00BF3972">
      <w:t xml:space="preserve">                                                                                                                                                         </w:t>
    </w:r>
  </w:p>
  <w:p w14:paraId="49351B07" w14:textId="77777777" w:rsidR="00BF3972" w:rsidRDefault="00BF3972" w:rsidP="00B23C27">
    <w:pPr>
      <w:pStyle w:val="Zhlav"/>
    </w:pPr>
  </w:p>
  <w:p w14:paraId="51B41BE1" w14:textId="77777777" w:rsidR="00BF3972" w:rsidRDefault="00BF3972" w:rsidP="00B23C27">
    <w:pPr>
      <w:pStyle w:val="Zhlav"/>
    </w:pPr>
  </w:p>
  <w:p w14:paraId="096E3BAF" w14:textId="36BD9D94" w:rsidR="00B23C27" w:rsidRPr="00BF3972" w:rsidRDefault="00BF3972" w:rsidP="00B23C27">
    <w:pPr>
      <w:pStyle w:val="Zhlav"/>
      <w:rPr>
        <w:sz w:val="22"/>
      </w:rPr>
    </w:pPr>
    <w:r>
      <w:t xml:space="preserve">                                                                                                                                                              </w:t>
    </w:r>
    <w:r w:rsidRPr="00BF3972">
      <w:rPr>
        <w:sz w:val="22"/>
      </w:rPr>
      <w:t>MP/2502/2025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B902D3"/>
    <w:multiLevelType w:val="hybridMultilevel"/>
    <w:tmpl w:val="7D606482"/>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D6E65"/>
    <w:multiLevelType w:val="hybridMultilevel"/>
    <w:tmpl w:val="7D606482"/>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A46656"/>
    <w:multiLevelType w:val="hybridMultilevel"/>
    <w:tmpl w:val="1D220A4A"/>
    <w:lvl w:ilvl="0" w:tplc="8F7E5E10">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13"/>
  </w:num>
  <w:num w:numId="12" w16cid:durableId="1622835119">
    <w:abstractNumId w:val="7"/>
    <w:lvlOverride w:ilvl="0">
      <w:startOverride w:val="1"/>
    </w:lvlOverride>
  </w:num>
  <w:num w:numId="13" w16cid:durableId="1930969400">
    <w:abstractNumId w:val="6"/>
    <w:lvlOverride w:ilvl="0">
      <w:startOverride w:val="1"/>
    </w:lvlOverride>
  </w:num>
  <w:num w:numId="14" w16cid:durableId="2096659333">
    <w:abstractNumId w:val="11"/>
  </w:num>
  <w:num w:numId="15" w16cid:durableId="1355426235">
    <w:abstractNumId w:val="12"/>
  </w:num>
  <w:num w:numId="16" w16cid:durableId="16818571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BF"/>
    <w:rsid w:val="00007771"/>
    <w:rsid w:val="00016203"/>
    <w:rsid w:val="0002268A"/>
    <w:rsid w:val="000809E0"/>
    <w:rsid w:val="000A1D98"/>
    <w:rsid w:val="000C7F71"/>
    <w:rsid w:val="000D1427"/>
    <w:rsid w:val="000D4CE4"/>
    <w:rsid w:val="00110B75"/>
    <w:rsid w:val="00116EA8"/>
    <w:rsid w:val="00125A00"/>
    <w:rsid w:val="001321E1"/>
    <w:rsid w:val="001F6F0D"/>
    <w:rsid w:val="00266C84"/>
    <w:rsid w:val="002B0A0E"/>
    <w:rsid w:val="002E7A3B"/>
    <w:rsid w:val="003069B9"/>
    <w:rsid w:val="00313BE2"/>
    <w:rsid w:val="00330387"/>
    <w:rsid w:val="00382298"/>
    <w:rsid w:val="00397F0F"/>
    <w:rsid w:val="003A2C32"/>
    <w:rsid w:val="003A4EC3"/>
    <w:rsid w:val="004125FD"/>
    <w:rsid w:val="00476C58"/>
    <w:rsid w:val="00497DDC"/>
    <w:rsid w:val="004B085F"/>
    <w:rsid w:val="004E01BF"/>
    <w:rsid w:val="004E5E7F"/>
    <w:rsid w:val="00532187"/>
    <w:rsid w:val="005C47EA"/>
    <w:rsid w:val="005E29CC"/>
    <w:rsid w:val="006002F9"/>
    <w:rsid w:val="00630AAA"/>
    <w:rsid w:val="006453F7"/>
    <w:rsid w:val="0068202A"/>
    <w:rsid w:val="00691E6A"/>
    <w:rsid w:val="006A5DD1"/>
    <w:rsid w:val="006B6A15"/>
    <w:rsid w:val="006C06C2"/>
    <w:rsid w:val="006C19DB"/>
    <w:rsid w:val="006F4E1F"/>
    <w:rsid w:val="006F5649"/>
    <w:rsid w:val="007239CB"/>
    <w:rsid w:val="0073575D"/>
    <w:rsid w:val="007603D0"/>
    <w:rsid w:val="00793683"/>
    <w:rsid w:val="007A0A5B"/>
    <w:rsid w:val="007A7219"/>
    <w:rsid w:val="007C3D61"/>
    <w:rsid w:val="007C4A9C"/>
    <w:rsid w:val="008139D3"/>
    <w:rsid w:val="00842B2B"/>
    <w:rsid w:val="00867871"/>
    <w:rsid w:val="00870490"/>
    <w:rsid w:val="00883F8A"/>
    <w:rsid w:val="008B44C1"/>
    <w:rsid w:val="008D6DC2"/>
    <w:rsid w:val="008F0E4E"/>
    <w:rsid w:val="008F52AB"/>
    <w:rsid w:val="00986B23"/>
    <w:rsid w:val="009D48A9"/>
    <w:rsid w:val="009E6966"/>
    <w:rsid w:val="00A45067"/>
    <w:rsid w:val="00A93DDD"/>
    <w:rsid w:val="00AA64C3"/>
    <w:rsid w:val="00AB0D96"/>
    <w:rsid w:val="00AB1549"/>
    <w:rsid w:val="00B01F80"/>
    <w:rsid w:val="00B20D65"/>
    <w:rsid w:val="00B23C27"/>
    <w:rsid w:val="00B36A81"/>
    <w:rsid w:val="00B5399E"/>
    <w:rsid w:val="00B92181"/>
    <w:rsid w:val="00BF3972"/>
    <w:rsid w:val="00C17375"/>
    <w:rsid w:val="00C34BC4"/>
    <w:rsid w:val="00C519FC"/>
    <w:rsid w:val="00C76019"/>
    <w:rsid w:val="00C904F3"/>
    <w:rsid w:val="00CB13DE"/>
    <w:rsid w:val="00CB26F8"/>
    <w:rsid w:val="00D22413"/>
    <w:rsid w:val="00D55937"/>
    <w:rsid w:val="00D9299C"/>
    <w:rsid w:val="00DB7848"/>
    <w:rsid w:val="00DE344C"/>
    <w:rsid w:val="00DF6A7A"/>
    <w:rsid w:val="00E01C42"/>
    <w:rsid w:val="00E23C86"/>
    <w:rsid w:val="00E34DE4"/>
    <w:rsid w:val="00E35CDF"/>
    <w:rsid w:val="00E42EDA"/>
    <w:rsid w:val="00EC3786"/>
    <w:rsid w:val="00ED3DF7"/>
    <w:rsid w:val="00EE244D"/>
    <w:rsid w:val="00F24384"/>
    <w:rsid w:val="00F35E3B"/>
    <w:rsid w:val="00F75814"/>
    <w:rsid w:val="00F75EA4"/>
    <w:rsid w:val="00FA0F9B"/>
    <w:rsid w:val="00FA192A"/>
    <w:rsid w:val="00FA326B"/>
    <w:rsid w:val="00FA5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4C3FC"/>
  <w15:chartTrackingRefBased/>
  <w15:docId w15:val="{C34118F1-6483-42B7-99A9-B63A74B8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375"/>
    <w:pPr>
      <w:spacing w:after="280" w:line="280" w:lineRule="atLeast"/>
    </w:pPr>
    <w:rPr>
      <w:sz w:val="20"/>
    </w:rPr>
  </w:style>
  <w:style w:type="paragraph" w:styleId="Nadpis1">
    <w:name w:val="heading 1"/>
    <w:basedOn w:val="Normln"/>
    <w:next w:val="Normln"/>
    <w:link w:val="Nadpis1Char"/>
    <w:uiPriority w:val="9"/>
    <w:qFormat/>
    <w:rsid w:val="004125FD"/>
    <w:pPr>
      <w:keepNext/>
      <w:keepLines/>
      <w:spacing w:before="42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4125FD"/>
    <w:pPr>
      <w:keepNext/>
      <w:keepLines/>
      <w:spacing w:before="280" w:after="1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4125FD"/>
    <w:pPr>
      <w:spacing w:before="280"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4125FD"/>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contextualSpacing/>
    </w:pPr>
    <w:rPr>
      <w:rFonts w:eastAsiaTheme="minorEastAsia"/>
      <w:b/>
      <w:color w:val="6400C8" w:themeColor="accent1"/>
      <w:sz w:val="3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34"/>
    <w:unhideWhenUsed/>
    <w:rsid w:val="008B44C1"/>
    <w:pPr>
      <w:spacing w:after="0" w:line="240" w:lineRule="auto"/>
      <w:ind w:left="-907"/>
    </w:pPr>
    <w:rPr>
      <w:sz w:val="16"/>
    </w:rPr>
  </w:style>
  <w:style w:type="character" w:customStyle="1" w:styleId="ZpatChar">
    <w:name w:val="Zápatí Char"/>
    <w:basedOn w:val="Standardnpsmoodstavce"/>
    <w:link w:val="Zpat"/>
    <w:uiPriority w:val="34"/>
    <w:rsid w:val="008B44C1"/>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qFormat/>
    <w:rsid w:val="003069B9"/>
    <w:pPr>
      <w:spacing w:after="140"/>
      <w:jc w:val="right"/>
    </w:pPr>
  </w:style>
  <w:style w:type="character" w:customStyle="1" w:styleId="DatumChar">
    <w:name w:val="Datum Char"/>
    <w:basedOn w:val="Standardnpsmoodstavce"/>
    <w:link w:val="Datum"/>
    <w:uiPriority w:val="35"/>
    <w:rsid w:val="003069B9"/>
    <w:rPr>
      <w:sz w:val="20"/>
    </w:rPr>
  </w:style>
  <w:style w:type="paragraph" w:styleId="Seznamsodrkami">
    <w:name w:val="List Bullet"/>
    <w:basedOn w:val="Normln"/>
    <w:uiPriority w:val="10"/>
    <w:qFormat/>
    <w:rsid w:val="007A7219"/>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semiHidden/>
    <w:qFormat/>
    <w:rsid w:val="005E29CC"/>
  </w:style>
  <w:style w:type="paragraph" w:styleId="Pokraovnseznamu2">
    <w:name w:val="List Continue 2"/>
    <w:basedOn w:val="Normln"/>
    <w:uiPriority w:val="15"/>
    <w:semiHidden/>
    <w:qFormat/>
    <w:rsid w:val="005E29CC"/>
    <w:pPr>
      <w:ind w:left="284"/>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qFormat/>
    <w:rsid w:val="000D1427"/>
    <w:pPr>
      <w:spacing w:before="1120"/>
      <w:contextualSpacing/>
    </w:pPr>
  </w:style>
  <w:style w:type="character" w:customStyle="1" w:styleId="PodpisChar">
    <w:name w:val="Podpis Char"/>
    <w:basedOn w:val="Standardnpsmoodstavce"/>
    <w:link w:val="Podpis"/>
    <w:uiPriority w:val="37"/>
    <w:rsid w:val="000D1427"/>
    <w:rPr>
      <w:sz w:val="20"/>
    </w:rPr>
  </w:style>
  <w:style w:type="paragraph" w:styleId="Zvr">
    <w:name w:val="Closing"/>
    <w:basedOn w:val="Normln"/>
    <w:next w:val="Podpis"/>
    <w:link w:val="ZvrChar"/>
    <w:uiPriority w:val="36"/>
    <w:qFormat/>
    <w:rsid w:val="000D1427"/>
    <w:pPr>
      <w:spacing w:before="280" w:after="1120"/>
      <w:contextualSpacing/>
    </w:pPr>
  </w:style>
  <w:style w:type="character" w:customStyle="1" w:styleId="ZvrChar">
    <w:name w:val="Závěr Char"/>
    <w:basedOn w:val="Standardnpsmoodstavce"/>
    <w:link w:val="Zvr"/>
    <w:uiPriority w:val="36"/>
    <w:rsid w:val="000D142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qFormat/>
    <w:rsid w:val="000D1427"/>
  </w:style>
  <w:style w:type="character" w:customStyle="1" w:styleId="OslovenChar">
    <w:name w:val="Oslovení Char"/>
    <w:basedOn w:val="Standardnpsmoodstavce"/>
    <w:link w:val="Osloven"/>
    <w:uiPriority w:val="36"/>
    <w:rsid w:val="000D1427"/>
    <w:rPr>
      <w:sz w:val="20"/>
    </w:rPr>
  </w:style>
  <w:style w:type="paragraph" w:styleId="Odstavecseseznamem">
    <w:name w:val="List Paragraph"/>
    <w:basedOn w:val="Normln"/>
    <w:uiPriority w:val="34"/>
    <w:qFormat/>
    <w:rsid w:val="00BF3972"/>
    <w:pPr>
      <w:spacing w:after="0" w:line="240" w:lineRule="auto"/>
      <w:ind w:left="720"/>
      <w:contextualSpacing/>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lova\Downloads\&#268;J%201.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73236-39C1-4714-8C1B-0522B421BE77}">
  <ds:schemaRefs>
    <ds:schemaRef ds:uri="http://schemas.microsoft.com/sharepoint/v3/contenttype/forms"/>
  </ds:schemaRefs>
</ds:datastoreItem>
</file>

<file path=customXml/itemProps2.xml><?xml version="1.0" encoding="utf-8"?>
<ds:datastoreItem xmlns:ds="http://schemas.openxmlformats.org/officeDocument/2006/customXml" ds:itemID="{1EAA4F65-29E9-48E6-BCCD-414505D29075}">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customXml/itemProps3.xml><?xml version="1.0" encoding="utf-8"?>
<ds:datastoreItem xmlns:ds="http://schemas.openxmlformats.org/officeDocument/2006/customXml" ds:itemID="{2CD20872-B6C9-4283-983B-7D3ECC2B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ČJ 1</Template>
  <TotalTime>7</TotalTime>
  <Pages>5</Pages>
  <Words>780</Words>
  <Characters>4602</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Mátlová</dc:creator>
  <cp:keywords/>
  <dc:description/>
  <cp:lastModifiedBy>Kateřina Mátlová</cp:lastModifiedBy>
  <cp:revision>5</cp:revision>
  <dcterms:created xsi:type="dcterms:W3CDTF">2025-09-09T06:04:00Z</dcterms:created>
  <dcterms:modified xsi:type="dcterms:W3CDTF">2025-11-25T12:02:00Z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