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565BC" w14:textId="33CA754B" w:rsidR="0061414B" w:rsidRPr="00852126" w:rsidRDefault="00993E32" w:rsidP="0061414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240"/>
        <w:ind w:left="-142"/>
        <w:jc w:val="right"/>
        <w:rPr>
          <w:rFonts w:ascii="Theinhardt" w:eastAsia="AUdimat" w:hAnsi="Theinhardt" w:cs="Theinhardt"/>
          <w:b/>
          <w:sz w:val="32"/>
          <w:szCs w:val="32"/>
        </w:rPr>
      </w:pPr>
      <w:r w:rsidRPr="00852126">
        <w:rPr>
          <w:rFonts w:ascii="Theinhardt" w:eastAsia="AUdimat" w:hAnsi="Theinhardt" w:cs="Theinhardt"/>
          <w:sz w:val="22"/>
          <w:szCs w:val="22"/>
        </w:rPr>
        <w:t>00</w:t>
      </w:r>
      <w:r w:rsidR="00C44AA0">
        <w:rPr>
          <w:rFonts w:ascii="Theinhardt" w:eastAsia="AUdimat" w:hAnsi="Theinhardt" w:cs="Theinhardt"/>
          <w:sz w:val="22"/>
          <w:szCs w:val="22"/>
        </w:rPr>
        <w:t>6/SPS</w:t>
      </w:r>
      <w:r w:rsidRPr="00852126">
        <w:rPr>
          <w:rFonts w:ascii="Theinhardt" w:eastAsia="AUdimat" w:hAnsi="Theinhardt" w:cs="Theinhardt"/>
          <w:sz w:val="22"/>
          <w:szCs w:val="22"/>
        </w:rPr>
        <w:t>/202</w:t>
      </w:r>
      <w:r w:rsidR="00C44AA0">
        <w:rPr>
          <w:rFonts w:ascii="Theinhardt" w:eastAsia="AUdimat" w:hAnsi="Theinhardt" w:cs="Theinhardt"/>
          <w:sz w:val="22"/>
          <w:szCs w:val="22"/>
        </w:rPr>
        <w:t>5</w:t>
      </w:r>
    </w:p>
    <w:p w14:paraId="7BFC8E13" w14:textId="6FA1786A" w:rsidR="0088596D" w:rsidRPr="00852126" w:rsidRDefault="00993E32" w:rsidP="0061414B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240"/>
        <w:ind w:left="-142"/>
        <w:jc w:val="center"/>
        <w:rPr>
          <w:rFonts w:ascii="Theinhardt" w:eastAsia="AUdimat" w:hAnsi="Theinhardt" w:cs="Theinhardt"/>
          <w:b/>
          <w:sz w:val="32"/>
          <w:szCs w:val="32"/>
        </w:rPr>
      </w:pPr>
      <w:r w:rsidRPr="00852126">
        <w:rPr>
          <w:rFonts w:ascii="Theinhardt" w:eastAsia="AUdimat" w:hAnsi="Theinhardt" w:cs="Theinhardt"/>
          <w:b/>
          <w:color w:val="000000"/>
          <w:sz w:val="32"/>
          <w:szCs w:val="32"/>
        </w:rPr>
        <w:t>SMLOUVA O POSKYTOVÁNÍ SLUŽEB</w:t>
      </w:r>
    </w:p>
    <w:p w14:paraId="22E3600C" w14:textId="77777777" w:rsidR="0088596D" w:rsidRPr="00852126" w:rsidRDefault="0088596D">
      <w:pPr>
        <w:tabs>
          <w:tab w:val="left" w:pos="284"/>
          <w:tab w:val="left" w:pos="567"/>
        </w:tabs>
        <w:ind w:left="-142"/>
        <w:rPr>
          <w:rFonts w:ascii="Theinhardt" w:eastAsia="AUdimat" w:hAnsi="Theinhardt" w:cs="Theinhardt"/>
          <w:color w:val="000000"/>
        </w:rPr>
      </w:pPr>
    </w:p>
    <w:p w14:paraId="07E86AA1" w14:textId="77777777" w:rsidR="0088596D" w:rsidRPr="00852126" w:rsidRDefault="00993E32">
      <w:pPr>
        <w:tabs>
          <w:tab w:val="left" w:pos="284"/>
          <w:tab w:val="left" w:pos="567"/>
        </w:tabs>
        <w:ind w:left="-142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uzavřená dle ustanovení § 1746 odst. 2 zákona č. 89/2012 Sb. občanského zákoníku</w:t>
      </w:r>
    </w:p>
    <w:p w14:paraId="7A4F53CA" w14:textId="77777777" w:rsidR="0088596D" w:rsidRPr="00852126" w:rsidRDefault="0088596D">
      <w:pPr>
        <w:tabs>
          <w:tab w:val="left" w:pos="284"/>
          <w:tab w:val="left" w:pos="567"/>
        </w:tabs>
        <w:ind w:left="-142"/>
        <w:rPr>
          <w:rFonts w:ascii="Theinhardt" w:eastAsia="AUdimat" w:hAnsi="Theinhardt" w:cs="Theinhardt"/>
          <w:color w:val="000000"/>
          <w:sz w:val="22"/>
          <w:szCs w:val="22"/>
        </w:rPr>
      </w:pPr>
    </w:p>
    <w:p w14:paraId="504E5A27" w14:textId="77777777" w:rsidR="0088596D" w:rsidRPr="00852126" w:rsidRDefault="00993E32">
      <w:pPr>
        <w:tabs>
          <w:tab w:val="left" w:pos="284"/>
          <w:tab w:val="left" w:pos="567"/>
        </w:tabs>
        <w:ind w:left="-142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 xml:space="preserve">mezi </w:t>
      </w:r>
    </w:p>
    <w:p w14:paraId="68E5680D" w14:textId="77777777" w:rsidR="0088596D" w:rsidRPr="00852126" w:rsidRDefault="0088596D">
      <w:pPr>
        <w:tabs>
          <w:tab w:val="left" w:pos="284"/>
          <w:tab w:val="left" w:pos="567"/>
        </w:tabs>
        <w:ind w:left="-142"/>
        <w:rPr>
          <w:rFonts w:ascii="Theinhardt" w:eastAsia="AUdimat" w:hAnsi="Theinhardt" w:cs="Theinhardt"/>
          <w:color w:val="000000"/>
          <w:sz w:val="22"/>
          <w:szCs w:val="22"/>
        </w:rPr>
      </w:pPr>
    </w:p>
    <w:p w14:paraId="43D5AB6A" w14:textId="77777777" w:rsidR="0088596D" w:rsidRPr="00852126" w:rsidRDefault="00993E32">
      <w:pPr>
        <w:tabs>
          <w:tab w:val="left" w:pos="284"/>
          <w:tab w:val="left" w:pos="567"/>
        </w:tabs>
        <w:ind w:left="-142"/>
        <w:rPr>
          <w:rFonts w:ascii="Theinhardt" w:eastAsia="AUdimat" w:hAnsi="Theinhardt" w:cs="Theinhardt"/>
          <w:b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b/>
          <w:color w:val="000000"/>
          <w:sz w:val="22"/>
          <w:szCs w:val="22"/>
        </w:rPr>
        <w:t xml:space="preserve">Kreativní Praha, z. </w:t>
      </w:r>
      <w:proofErr w:type="spellStart"/>
      <w:r w:rsidRPr="00852126">
        <w:rPr>
          <w:rFonts w:ascii="Theinhardt" w:eastAsia="AUdimat" w:hAnsi="Theinhardt" w:cs="Theinhardt"/>
          <w:b/>
          <w:color w:val="000000"/>
          <w:sz w:val="22"/>
          <w:szCs w:val="22"/>
        </w:rPr>
        <w:t>ú.</w:t>
      </w:r>
      <w:proofErr w:type="spellEnd"/>
    </w:p>
    <w:p w14:paraId="771DE289" w14:textId="77777777" w:rsidR="0088596D" w:rsidRPr="00852126" w:rsidRDefault="00993E32">
      <w:pPr>
        <w:tabs>
          <w:tab w:val="left" w:pos="284"/>
          <w:tab w:val="left" w:pos="567"/>
        </w:tabs>
        <w:ind w:left="-142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se sídlem Staroměstské náměstí 4/1, Staré Město, 110 00, Praha 1</w:t>
      </w:r>
    </w:p>
    <w:p w14:paraId="5088AA97" w14:textId="77777777" w:rsidR="0088596D" w:rsidRPr="00852126" w:rsidRDefault="00993E32">
      <w:pPr>
        <w:tabs>
          <w:tab w:val="left" w:pos="284"/>
          <w:tab w:val="left" w:pos="567"/>
        </w:tabs>
        <w:ind w:left="-142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IČO: 094 83 489</w:t>
      </w:r>
    </w:p>
    <w:p w14:paraId="26053068" w14:textId="4511FABB" w:rsidR="0088596D" w:rsidRPr="00852126" w:rsidRDefault="00993E32">
      <w:pPr>
        <w:tabs>
          <w:tab w:val="left" w:pos="284"/>
          <w:tab w:val="left" w:pos="567"/>
        </w:tabs>
        <w:ind w:left="-142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zastoupen</w:t>
      </w:r>
      <w:r w:rsidR="00EA6A6A" w:rsidRPr="00852126">
        <w:rPr>
          <w:rFonts w:ascii="Theinhardt" w:eastAsia="AUdimat" w:hAnsi="Theinhardt" w:cs="Theinhardt"/>
          <w:color w:val="000000"/>
          <w:sz w:val="22"/>
          <w:szCs w:val="22"/>
        </w:rPr>
        <w:t>ý</w:t>
      </w: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 xml:space="preserve"> pan</w:t>
      </w:r>
      <w:r w:rsidR="00EA6A6A" w:rsidRPr="00852126">
        <w:rPr>
          <w:rFonts w:ascii="Theinhardt" w:eastAsia="AUdimat" w:hAnsi="Theinhardt" w:cs="Theinhardt"/>
          <w:color w:val="000000"/>
          <w:sz w:val="22"/>
          <w:szCs w:val="22"/>
        </w:rPr>
        <w:t>í MgA. Kristýnou Kočovou</w:t>
      </w: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, ředitel</w:t>
      </w:r>
      <w:r w:rsidR="00EA6A6A" w:rsidRPr="00852126">
        <w:rPr>
          <w:rFonts w:ascii="Theinhardt" w:eastAsia="AUdimat" w:hAnsi="Theinhardt" w:cs="Theinhardt"/>
          <w:color w:val="000000"/>
          <w:sz w:val="22"/>
          <w:szCs w:val="22"/>
        </w:rPr>
        <w:t>kou,</w:t>
      </w:r>
    </w:p>
    <w:p w14:paraId="301EDF8C" w14:textId="77777777" w:rsidR="0088596D" w:rsidRPr="00852126" w:rsidRDefault="00993E32">
      <w:pPr>
        <w:tabs>
          <w:tab w:val="left" w:pos="284"/>
          <w:tab w:val="left" w:pos="567"/>
        </w:tabs>
        <w:ind w:left="-142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zapsaný v rejstříku ústavů vedeném u Městského soudu v Praze, spisová značka U 901</w:t>
      </w:r>
    </w:p>
    <w:p w14:paraId="2B72C891" w14:textId="77777777" w:rsidR="0088596D" w:rsidRPr="00852126" w:rsidRDefault="00993E32">
      <w:pPr>
        <w:tabs>
          <w:tab w:val="left" w:pos="284"/>
          <w:tab w:val="left" w:pos="567"/>
        </w:tabs>
        <w:ind w:left="-142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bankovní spojení – číslo účtu: 123-2212420217/0100, Komerční banka, a.s.</w:t>
      </w:r>
    </w:p>
    <w:p w14:paraId="6D8519D2" w14:textId="6BAE22DA" w:rsidR="0088596D" w:rsidRPr="00852126" w:rsidRDefault="00993E32">
      <w:pPr>
        <w:tabs>
          <w:tab w:val="left" w:pos="284"/>
          <w:tab w:val="left" w:pos="567"/>
        </w:tabs>
        <w:ind w:left="-142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(dále jen „objednatel“ a „Kreativní Praha“)</w:t>
      </w:r>
    </w:p>
    <w:p w14:paraId="127BEBED" w14:textId="77777777" w:rsidR="00A9688A" w:rsidRPr="00852126" w:rsidRDefault="00A9688A">
      <w:pPr>
        <w:tabs>
          <w:tab w:val="left" w:pos="284"/>
          <w:tab w:val="left" w:pos="567"/>
        </w:tabs>
        <w:ind w:left="-142"/>
        <w:rPr>
          <w:rFonts w:ascii="Theinhardt" w:eastAsia="AUdimat" w:hAnsi="Theinhardt" w:cs="Theinhardt"/>
          <w:color w:val="000000"/>
          <w:sz w:val="22"/>
          <w:szCs w:val="22"/>
        </w:rPr>
      </w:pPr>
    </w:p>
    <w:p w14:paraId="263C8181" w14:textId="77777777" w:rsidR="0088596D" w:rsidRPr="00852126" w:rsidRDefault="00993E32">
      <w:pPr>
        <w:tabs>
          <w:tab w:val="left" w:pos="0"/>
          <w:tab w:val="left" w:pos="284"/>
          <w:tab w:val="left" w:pos="567"/>
        </w:tabs>
        <w:spacing w:before="120"/>
        <w:ind w:left="-142"/>
        <w:jc w:val="both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a</w:t>
      </w:r>
      <w:r w:rsidRPr="00852126">
        <w:rPr>
          <w:rFonts w:ascii="Theinhardt" w:eastAsia="AUdimat" w:hAnsi="Theinhardt" w:cs="Theinhardt"/>
          <w:color w:val="000000"/>
          <w:sz w:val="22"/>
          <w:szCs w:val="22"/>
        </w:rPr>
        <w:br/>
      </w:r>
    </w:p>
    <w:p w14:paraId="6190C803" w14:textId="4DD700B3" w:rsidR="00BC6F4B" w:rsidRPr="00852126" w:rsidRDefault="00BC6F4B" w:rsidP="00BC6F4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-142"/>
        <w:rPr>
          <w:rFonts w:ascii="Theinhardt" w:eastAsia="AUdimat" w:hAnsi="Theinhardt" w:cs="Theinhardt"/>
          <w:sz w:val="22"/>
          <w:szCs w:val="22"/>
        </w:rPr>
      </w:pPr>
      <w:r w:rsidRPr="00852126">
        <w:rPr>
          <w:rFonts w:ascii="Theinhardt" w:eastAsia="AUdimat" w:hAnsi="Theinhardt" w:cs="Theinhardt"/>
          <w:b/>
          <w:bCs/>
          <w:sz w:val="22"/>
          <w:szCs w:val="22"/>
        </w:rPr>
        <w:t>paní </w:t>
      </w:r>
      <w:r w:rsidR="00FA5365">
        <w:rPr>
          <w:rFonts w:ascii="Theinhardt" w:eastAsia="AUdimat" w:hAnsi="Theinhardt" w:cs="Theinhardt"/>
          <w:b/>
          <w:bCs/>
          <w:sz w:val="22"/>
          <w:szCs w:val="22"/>
        </w:rPr>
        <w:t xml:space="preserve">MgA. </w:t>
      </w:r>
      <w:r w:rsidRPr="00852126">
        <w:rPr>
          <w:rFonts w:ascii="Theinhardt" w:eastAsia="AUdimat" w:hAnsi="Theinhardt" w:cs="Theinhardt"/>
          <w:b/>
          <w:bCs/>
          <w:sz w:val="22"/>
          <w:szCs w:val="22"/>
        </w:rPr>
        <w:t xml:space="preserve">Elisa </w:t>
      </w:r>
      <w:proofErr w:type="spellStart"/>
      <w:r w:rsidRPr="00852126">
        <w:rPr>
          <w:rFonts w:ascii="Theinhardt" w:eastAsia="AUdimat" w:hAnsi="Theinhardt" w:cs="Theinhardt"/>
          <w:b/>
          <w:bCs/>
          <w:sz w:val="22"/>
          <w:szCs w:val="22"/>
        </w:rPr>
        <w:t>Speváková</w:t>
      </w:r>
      <w:proofErr w:type="spellEnd"/>
    </w:p>
    <w:p w14:paraId="0A55F3CF" w14:textId="483EC741" w:rsidR="00BC6F4B" w:rsidRPr="00852126" w:rsidRDefault="00BC6F4B" w:rsidP="00BC6F4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-142"/>
        <w:rPr>
          <w:rFonts w:ascii="Theinhardt" w:eastAsia="AUdimat" w:hAnsi="Theinhardt" w:cs="Theinhardt"/>
          <w:sz w:val="22"/>
          <w:szCs w:val="22"/>
        </w:rPr>
      </w:pPr>
      <w:r w:rsidRPr="00852126">
        <w:rPr>
          <w:rFonts w:ascii="Theinhardt" w:eastAsia="AUdimat" w:hAnsi="Theinhardt" w:cs="Theinhardt"/>
          <w:sz w:val="22"/>
          <w:szCs w:val="22"/>
        </w:rPr>
        <w:t xml:space="preserve">datum narození: </w:t>
      </w:r>
    </w:p>
    <w:p w14:paraId="1E770213" w14:textId="2B6EE24E" w:rsidR="00BC6F4B" w:rsidRPr="00852126" w:rsidRDefault="00BC6F4B" w:rsidP="00BC6F4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-142"/>
        <w:rPr>
          <w:rFonts w:ascii="Theinhardt" w:eastAsia="AUdimat" w:hAnsi="Theinhardt" w:cs="Theinhardt"/>
          <w:sz w:val="22"/>
          <w:szCs w:val="22"/>
        </w:rPr>
      </w:pPr>
      <w:r w:rsidRPr="00852126">
        <w:rPr>
          <w:rFonts w:ascii="Theinhardt" w:eastAsia="AUdimat" w:hAnsi="Theinhardt" w:cs="Theinhardt"/>
          <w:sz w:val="22"/>
          <w:szCs w:val="22"/>
        </w:rPr>
        <w:t xml:space="preserve">trvale bytem: </w:t>
      </w:r>
    </w:p>
    <w:p w14:paraId="56975D61" w14:textId="57EC8E12" w:rsidR="00BC6F4B" w:rsidRPr="00852126" w:rsidRDefault="00BC6F4B" w:rsidP="00BC6F4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-142"/>
        <w:rPr>
          <w:rFonts w:ascii="Theinhardt" w:eastAsia="AUdimat" w:hAnsi="Theinhardt" w:cs="Theinhardt"/>
          <w:sz w:val="22"/>
          <w:szCs w:val="22"/>
        </w:rPr>
      </w:pPr>
      <w:r w:rsidRPr="00852126">
        <w:rPr>
          <w:rFonts w:ascii="Theinhardt" w:eastAsia="AUdimat" w:hAnsi="Theinhardt" w:cs="Theinhardt"/>
          <w:sz w:val="22"/>
          <w:szCs w:val="22"/>
        </w:rPr>
        <w:t xml:space="preserve">bankovní spojení – číslo účtu: </w:t>
      </w:r>
    </w:p>
    <w:p w14:paraId="381C05F0" w14:textId="77777777" w:rsidR="0088596D" w:rsidRPr="00852126" w:rsidRDefault="00993E3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-142"/>
        <w:rPr>
          <w:rFonts w:ascii="Theinhardt" w:hAnsi="Theinhardt" w:cs="Theinhardt"/>
          <w:sz w:val="22"/>
          <w:szCs w:val="22"/>
        </w:rPr>
      </w:pPr>
      <w:r w:rsidRPr="00852126">
        <w:rPr>
          <w:rFonts w:ascii="Theinhardt" w:eastAsia="AUdimat" w:hAnsi="Theinhardt" w:cs="Theinhardt"/>
          <w:sz w:val="22"/>
          <w:szCs w:val="22"/>
        </w:rPr>
        <w:t>není plátce DPH</w:t>
      </w:r>
    </w:p>
    <w:p w14:paraId="261CA3C0" w14:textId="77777777" w:rsidR="0088596D" w:rsidRPr="00852126" w:rsidRDefault="00993E32">
      <w:pPr>
        <w:tabs>
          <w:tab w:val="left" w:pos="0"/>
          <w:tab w:val="left" w:pos="284"/>
          <w:tab w:val="left" w:pos="567"/>
        </w:tabs>
        <w:ind w:left="-142"/>
        <w:jc w:val="both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(dále jen „dodavatel“)</w:t>
      </w:r>
    </w:p>
    <w:p w14:paraId="547B72DB" w14:textId="77777777" w:rsidR="0088596D" w:rsidRPr="00852126" w:rsidRDefault="00993E32">
      <w:pPr>
        <w:tabs>
          <w:tab w:val="left" w:pos="0"/>
          <w:tab w:val="left" w:pos="284"/>
          <w:tab w:val="left" w:pos="567"/>
        </w:tabs>
        <w:ind w:left="-142"/>
        <w:jc w:val="both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(nebo též společně jako “smluvní strany”)</w:t>
      </w:r>
    </w:p>
    <w:p w14:paraId="1EF21267" w14:textId="77777777" w:rsidR="0088596D" w:rsidRPr="00852126" w:rsidRDefault="0088596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/>
        <w:ind w:left="-142"/>
        <w:rPr>
          <w:rFonts w:ascii="Theinhardt" w:eastAsia="AUdimat" w:hAnsi="Theinhardt" w:cs="Theinhardt"/>
          <w:color w:val="000000"/>
          <w:sz w:val="22"/>
          <w:szCs w:val="22"/>
        </w:rPr>
      </w:pPr>
    </w:p>
    <w:p w14:paraId="47B8C0E6" w14:textId="371697C6" w:rsidR="0088596D" w:rsidRPr="00852126" w:rsidRDefault="00993E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/>
        <w:ind w:left="-142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uzavírají tuto smlouvu o poskytování služeb (dále jen „smlouva“):</w:t>
      </w:r>
      <w:r w:rsidRPr="00852126">
        <w:rPr>
          <w:rFonts w:ascii="Theinhardt" w:eastAsia="AUdimat" w:hAnsi="Theinhardt" w:cs="Theinhardt"/>
          <w:color w:val="000000"/>
          <w:sz w:val="22"/>
          <w:szCs w:val="22"/>
        </w:rPr>
        <w:br/>
      </w:r>
    </w:p>
    <w:p w14:paraId="78C95500" w14:textId="77777777" w:rsidR="00A9688A" w:rsidRPr="00852126" w:rsidRDefault="00A968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/>
        <w:ind w:left="-142"/>
        <w:rPr>
          <w:rFonts w:ascii="Theinhardt" w:eastAsia="AUdimat" w:hAnsi="Theinhardt" w:cs="Theinhardt"/>
          <w:color w:val="000000"/>
          <w:sz w:val="22"/>
          <w:szCs w:val="22"/>
        </w:rPr>
      </w:pPr>
    </w:p>
    <w:p w14:paraId="15CD1C56" w14:textId="77777777" w:rsidR="0088596D" w:rsidRPr="00852126" w:rsidRDefault="00993E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/>
        <w:ind w:left="176" w:hanging="357"/>
        <w:jc w:val="center"/>
        <w:rPr>
          <w:rFonts w:ascii="Theinhardt" w:eastAsia="AUdimat" w:hAnsi="Theinhardt" w:cs="Theinhardt"/>
          <w:b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b/>
          <w:color w:val="000000"/>
          <w:sz w:val="22"/>
          <w:szCs w:val="22"/>
        </w:rPr>
        <w:t>Článek 1</w:t>
      </w:r>
      <w:r w:rsidRPr="00852126">
        <w:rPr>
          <w:rFonts w:ascii="Theinhardt" w:eastAsia="AUdimat" w:hAnsi="Theinhardt" w:cs="Theinhardt"/>
          <w:b/>
          <w:color w:val="000000"/>
          <w:sz w:val="22"/>
          <w:szCs w:val="22"/>
        </w:rPr>
        <w:br/>
        <w:t>Předmět smlouvy</w:t>
      </w:r>
    </w:p>
    <w:p w14:paraId="28AB6E16" w14:textId="769026A4" w:rsidR="00F53682" w:rsidRPr="00852126" w:rsidRDefault="00993E32" w:rsidP="00F536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76" w:hanging="357"/>
        <w:jc w:val="both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 xml:space="preserve">Dodavatel se zavazuje pro objednatele poskytovat služby v oblasti </w:t>
      </w:r>
      <w:r w:rsidR="00777B14" w:rsidRPr="00852126">
        <w:rPr>
          <w:rFonts w:ascii="Theinhardt" w:eastAsia="AUdimat" w:hAnsi="Theinhardt" w:cs="Theinhardt"/>
          <w:sz w:val="22"/>
          <w:szCs w:val="22"/>
        </w:rPr>
        <w:t>datově analytických činností a strategi</w:t>
      </w:r>
      <w:r w:rsidR="00057937" w:rsidRPr="00852126">
        <w:rPr>
          <w:rFonts w:ascii="Theinhardt" w:eastAsia="AUdimat" w:hAnsi="Theinhardt" w:cs="Theinhardt"/>
          <w:sz w:val="22"/>
          <w:szCs w:val="22"/>
        </w:rPr>
        <w:t>í</w:t>
      </w:r>
      <w:r w:rsidR="00777B14" w:rsidRPr="00852126">
        <w:rPr>
          <w:rFonts w:ascii="Theinhardt" w:eastAsia="AUdimat" w:hAnsi="Theinhardt" w:cs="Theinhardt"/>
          <w:sz w:val="22"/>
          <w:szCs w:val="22"/>
        </w:rPr>
        <w:t>, podpory datově-</w:t>
      </w:r>
      <w:r w:rsidR="00057937" w:rsidRPr="00852126">
        <w:rPr>
          <w:rFonts w:ascii="Theinhardt" w:eastAsia="AUdimat" w:hAnsi="Theinhardt" w:cs="Theinhardt"/>
          <w:sz w:val="22"/>
          <w:szCs w:val="22"/>
        </w:rPr>
        <w:t>analytického týmu Kreativní Prahy v jeho agendových i projektových činnostech</w:t>
      </w:r>
      <w:r w:rsidR="009041FB" w:rsidRPr="00852126">
        <w:rPr>
          <w:rFonts w:ascii="Theinhardt" w:eastAsia="AUdimat" w:hAnsi="Theinhardt" w:cs="Theinhardt"/>
          <w:sz w:val="22"/>
          <w:szCs w:val="22"/>
        </w:rPr>
        <w:t>,</w:t>
      </w:r>
      <w:r w:rsidR="0061414B" w:rsidRPr="00852126">
        <w:rPr>
          <w:rFonts w:ascii="Theinhardt" w:eastAsia="AUdimat" w:hAnsi="Theinhardt" w:cs="Theinhardt"/>
          <w:sz w:val="22"/>
          <w:szCs w:val="22"/>
        </w:rPr>
        <w:t xml:space="preserve"> </w:t>
      </w: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 xml:space="preserve">na základě </w:t>
      </w:r>
      <w:r w:rsidR="00F53682" w:rsidRPr="00852126">
        <w:rPr>
          <w:rFonts w:ascii="Theinhardt" w:eastAsia="AUdimat" w:hAnsi="Theinhardt" w:cs="Theinhardt"/>
          <w:color w:val="000000"/>
          <w:sz w:val="22"/>
          <w:szCs w:val="22"/>
        </w:rPr>
        <w:t xml:space="preserve">níže uvedené specifikace </w:t>
      </w:r>
      <w:r w:rsidR="001928CA" w:rsidRPr="00852126">
        <w:rPr>
          <w:rFonts w:ascii="Theinhardt" w:eastAsia="AUdimat" w:hAnsi="Theinhardt" w:cs="Theinhardt"/>
          <w:color w:val="000000"/>
          <w:sz w:val="22"/>
          <w:szCs w:val="22"/>
        </w:rPr>
        <w:t>činností</w:t>
      </w:r>
      <w:r w:rsidR="00F53682" w:rsidRPr="00852126">
        <w:rPr>
          <w:rFonts w:ascii="Theinhardt" w:eastAsia="AUdimat" w:hAnsi="Theinhardt" w:cs="Theinhardt"/>
          <w:color w:val="000000"/>
          <w:sz w:val="22"/>
          <w:szCs w:val="22"/>
        </w:rPr>
        <w:t xml:space="preserve"> </w:t>
      </w: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a dalších informací předaných objednatelem (dále jen služb</w:t>
      </w:r>
      <w:r w:rsidR="001928CA" w:rsidRPr="00852126">
        <w:rPr>
          <w:rFonts w:ascii="Theinhardt" w:eastAsia="AUdimat" w:hAnsi="Theinhardt" w:cs="Theinhardt"/>
          <w:color w:val="000000"/>
          <w:sz w:val="22"/>
          <w:szCs w:val="22"/>
        </w:rPr>
        <w:t>y</w:t>
      </w: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)</w:t>
      </w:r>
      <w:r w:rsidR="001928CA" w:rsidRPr="00852126">
        <w:rPr>
          <w:rFonts w:ascii="Theinhardt" w:eastAsia="AUdimat" w:hAnsi="Theinhardt" w:cs="Theinhardt"/>
          <w:color w:val="000000"/>
          <w:sz w:val="22"/>
          <w:szCs w:val="22"/>
        </w:rPr>
        <w:t>:</w:t>
      </w:r>
    </w:p>
    <w:p w14:paraId="0BFAF2E5" w14:textId="3EBE7CC5" w:rsidR="00C35205" w:rsidRPr="00852126" w:rsidRDefault="00AC3855" w:rsidP="00C35205">
      <w:pPr>
        <w:pStyle w:val="Normln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Theinhardt" w:hAnsi="Theinhardt" w:cs="Theinhardt"/>
          <w:color w:val="000000"/>
          <w:sz w:val="22"/>
          <w:szCs w:val="22"/>
        </w:rPr>
      </w:pPr>
      <w:r w:rsidRPr="00852126">
        <w:rPr>
          <w:rFonts w:ascii="Theinhardt" w:hAnsi="Theinhardt" w:cs="Theinhardt"/>
          <w:color w:val="000000"/>
          <w:sz w:val="22"/>
          <w:szCs w:val="22"/>
        </w:rPr>
        <w:t xml:space="preserve">Tvorba </w:t>
      </w:r>
      <w:r w:rsidR="003D1647" w:rsidRPr="00852126">
        <w:rPr>
          <w:rFonts w:ascii="Theinhardt" w:hAnsi="Theinhardt" w:cs="Theinhardt"/>
          <w:color w:val="000000"/>
          <w:sz w:val="22"/>
          <w:szCs w:val="22"/>
        </w:rPr>
        <w:t>datově-analytických podkladů a dokumentů spojených s projekty datově-analytického týmu (</w:t>
      </w:r>
      <w:r w:rsidR="00E84F2B" w:rsidRPr="00852126">
        <w:rPr>
          <w:rFonts w:ascii="Theinhardt" w:hAnsi="Theinhardt" w:cs="Theinhardt"/>
          <w:color w:val="000000"/>
          <w:sz w:val="22"/>
          <w:szCs w:val="22"/>
        </w:rPr>
        <w:t>Šetření kulturního</w:t>
      </w:r>
      <w:r w:rsidR="003D1647" w:rsidRPr="00852126">
        <w:rPr>
          <w:rFonts w:ascii="Theinhardt" w:hAnsi="Theinhardt" w:cs="Theinhardt"/>
          <w:color w:val="000000"/>
          <w:sz w:val="22"/>
          <w:szCs w:val="22"/>
        </w:rPr>
        <w:t xml:space="preserve"> chování Pražanů 2026, datová analytika, Pražská mapa kultury, </w:t>
      </w:r>
      <w:proofErr w:type="spellStart"/>
      <w:r w:rsidR="003D1647" w:rsidRPr="00852126">
        <w:rPr>
          <w:rFonts w:ascii="Theinhardt" w:hAnsi="Theinhardt" w:cs="Theinhardt"/>
          <w:color w:val="000000"/>
          <w:sz w:val="22"/>
          <w:szCs w:val="22"/>
        </w:rPr>
        <w:t>Evaluart</w:t>
      </w:r>
      <w:proofErr w:type="spellEnd"/>
      <w:r w:rsidR="003D1647" w:rsidRPr="00852126">
        <w:rPr>
          <w:rFonts w:ascii="Theinhardt" w:hAnsi="Theinhardt" w:cs="Theinhardt"/>
          <w:color w:val="000000"/>
          <w:sz w:val="22"/>
          <w:szCs w:val="22"/>
        </w:rPr>
        <w:t>, Pražské kulturní fórum</w:t>
      </w:r>
      <w:r w:rsidR="009066FA" w:rsidRPr="00852126">
        <w:rPr>
          <w:rFonts w:ascii="Theinhardt" w:hAnsi="Theinhardt" w:cs="Theinhardt"/>
          <w:color w:val="000000"/>
          <w:sz w:val="22"/>
          <w:szCs w:val="22"/>
        </w:rPr>
        <w:t>, Kulturní politika HMP 22+</w:t>
      </w:r>
      <w:r w:rsidR="00E84F2B" w:rsidRPr="00852126">
        <w:rPr>
          <w:rFonts w:ascii="Theinhardt" w:hAnsi="Theinhardt" w:cs="Theinhardt"/>
          <w:color w:val="000000"/>
          <w:sz w:val="22"/>
          <w:szCs w:val="22"/>
        </w:rPr>
        <w:t xml:space="preserve">, Výzkum </w:t>
      </w:r>
      <w:r w:rsidR="00852126" w:rsidRPr="00852126">
        <w:rPr>
          <w:rFonts w:ascii="Theinhardt" w:hAnsi="Theinhardt" w:cs="Theinhardt"/>
          <w:color w:val="000000"/>
          <w:sz w:val="22"/>
          <w:szCs w:val="22"/>
        </w:rPr>
        <w:t>K</w:t>
      </w:r>
      <w:r w:rsidR="00E84F2B" w:rsidRPr="00852126">
        <w:rPr>
          <w:rFonts w:ascii="Theinhardt" w:hAnsi="Theinhardt" w:cs="Theinhardt"/>
          <w:color w:val="000000"/>
          <w:sz w:val="22"/>
          <w:szCs w:val="22"/>
        </w:rPr>
        <w:t>ulturní</w:t>
      </w:r>
      <w:r w:rsidR="00852126" w:rsidRPr="00852126">
        <w:rPr>
          <w:rFonts w:ascii="Theinhardt" w:hAnsi="Theinhardt" w:cs="Theinhardt"/>
          <w:color w:val="000000"/>
          <w:sz w:val="22"/>
          <w:szCs w:val="22"/>
        </w:rPr>
        <w:t xml:space="preserve"> stanice Galaxie na Hájích)</w:t>
      </w:r>
      <w:r w:rsidR="00E84F2B" w:rsidRPr="00852126">
        <w:rPr>
          <w:rFonts w:ascii="Theinhardt" w:hAnsi="Theinhardt" w:cs="Theinhardt"/>
          <w:color w:val="000000"/>
          <w:sz w:val="22"/>
          <w:szCs w:val="22"/>
        </w:rPr>
        <w:t xml:space="preserve"> </w:t>
      </w:r>
    </w:p>
    <w:p w14:paraId="3545024D" w14:textId="08211604" w:rsidR="00C35205" w:rsidRPr="00852126" w:rsidRDefault="00852126" w:rsidP="00C35205">
      <w:pPr>
        <w:pStyle w:val="Normln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Theinhardt" w:hAnsi="Theinhardt" w:cs="Theinhardt"/>
          <w:color w:val="000000"/>
          <w:sz w:val="22"/>
          <w:szCs w:val="22"/>
        </w:rPr>
      </w:pPr>
      <w:r>
        <w:rPr>
          <w:rFonts w:ascii="Theinhardt" w:hAnsi="Theinhardt" w:cs="Theinhardt"/>
          <w:color w:val="000000"/>
          <w:sz w:val="22"/>
          <w:szCs w:val="22"/>
        </w:rPr>
        <w:t>Podpora datově-analytického týmu Kreativní Prahy v administrativně-organizačních záležitostech (</w:t>
      </w:r>
      <w:r w:rsidR="00306260">
        <w:rPr>
          <w:rFonts w:ascii="Theinhardt" w:hAnsi="Theinhardt" w:cs="Theinhardt"/>
          <w:color w:val="000000"/>
          <w:sz w:val="22"/>
          <w:szCs w:val="22"/>
        </w:rPr>
        <w:t>formulace výběrových řízení, dílčí produkční úkoly spojené s projekty)</w:t>
      </w:r>
    </w:p>
    <w:p w14:paraId="551E5FFB" w14:textId="017FF750" w:rsidR="00C35205" w:rsidRPr="00306260" w:rsidRDefault="00306260" w:rsidP="00306260">
      <w:pPr>
        <w:pStyle w:val="Normln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Theinhardt" w:hAnsi="Theinhardt" w:cs="Theinhardt"/>
          <w:color w:val="000000"/>
          <w:sz w:val="22"/>
          <w:szCs w:val="22"/>
        </w:rPr>
      </w:pPr>
      <w:r>
        <w:rPr>
          <w:rFonts w:ascii="Theinhardt" w:hAnsi="Theinhardt" w:cs="Theinhardt"/>
          <w:color w:val="000000"/>
          <w:sz w:val="22"/>
          <w:szCs w:val="22"/>
        </w:rPr>
        <w:t>Účast na pravidelných poradách datově-analytického týmu Kreativní Prahy, a na klíčových poradách a eventech Kreativní Prahy v roce 2026 (strategické porady, Pražské kulturní fórum)</w:t>
      </w:r>
    </w:p>
    <w:p w14:paraId="130DAE79" w14:textId="77777777" w:rsidR="009D3704" w:rsidRPr="00852126" w:rsidRDefault="009D3704" w:rsidP="009D3704">
      <w:pPr>
        <w:jc w:val="both"/>
        <w:textAlignment w:val="baseline"/>
        <w:rPr>
          <w:rFonts w:ascii="Theinhardt" w:eastAsia="AUdimat" w:hAnsi="Theinhardt" w:cs="Theinhardt"/>
          <w:color w:val="000000"/>
          <w:sz w:val="22"/>
          <w:szCs w:val="22"/>
        </w:rPr>
      </w:pPr>
    </w:p>
    <w:p w14:paraId="62B6D8D2" w14:textId="77777777" w:rsidR="00C35205" w:rsidRPr="00852126" w:rsidRDefault="00C35205" w:rsidP="009D3704">
      <w:pPr>
        <w:jc w:val="both"/>
        <w:textAlignment w:val="baseline"/>
        <w:rPr>
          <w:rFonts w:ascii="Theinhardt" w:eastAsia="AUdimat" w:hAnsi="Theinhardt" w:cs="Theinhardt"/>
          <w:color w:val="000000"/>
          <w:sz w:val="22"/>
          <w:szCs w:val="22"/>
        </w:rPr>
      </w:pPr>
    </w:p>
    <w:p w14:paraId="369597B2" w14:textId="77777777" w:rsidR="00C35205" w:rsidRPr="00852126" w:rsidRDefault="00C35205" w:rsidP="009D3704">
      <w:pPr>
        <w:jc w:val="both"/>
        <w:textAlignment w:val="baseline"/>
        <w:rPr>
          <w:rFonts w:ascii="Theinhardt" w:eastAsia="AUdimat" w:hAnsi="Theinhardt" w:cs="Theinhardt"/>
          <w:color w:val="000000"/>
          <w:sz w:val="22"/>
          <w:szCs w:val="22"/>
        </w:rPr>
      </w:pPr>
    </w:p>
    <w:p w14:paraId="28E172F1" w14:textId="77777777" w:rsidR="009041FB" w:rsidRPr="00852126" w:rsidRDefault="009041FB" w:rsidP="009D3704">
      <w:pPr>
        <w:jc w:val="both"/>
        <w:textAlignment w:val="baseline"/>
        <w:rPr>
          <w:rFonts w:ascii="Theinhardt" w:eastAsia="AUdimat" w:hAnsi="Theinhardt" w:cs="Theinhardt"/>
          <w:color w:val="000000"/>
          <w:sz w:val="22"/>
          <w:szCs w:val="22"/>
        </w:rPr>
      </w:pPr>
    </w:p>
    <w:p w14:paraId="54C278C8" w14:textId="77777777" w:rsidR="009041FB" w:rsidRPr="00852126" w:rsidRDefault="009041FB" w:rsidP="009D3704">
      <w:pPr>
        <w:jc w:val="both"/>
        <w:textAlignment w:val="baseline"/>
        <w:rPr>
          <w:rFonts w:ascii="Theinhardt" w:eastAsia="AUdimat" w:hAnsi="Theinhardt" w:cs="Theinhardt"/>
          <w:color w:val="000000"/>
          <w:sz w:val="22"/>
          <w:szCs w:val="22"/>
        </w:rPr>
      </w:pPr>
    </w:p>
    <w:p w14:paraId="7CCF4C8E" w14:textId="77777777" w:rsidR="00BC6F4B" w:rsidRPr="00852126" w:rsidRDefault="00BC6F4B" w:rsidP="009D3704">
      <w:pPr>
        <w:jc w:val="both"/>
        <w:textAlignment w:val="baseline"/>
        <w:rPr>
          <w:rFonts w:ascii="Theinhardt" w:eastAsia="AUdimat" w:hAnsi="Theinhardt" w:cs="Theinhardt"/>
          <w:color w:val="000000"/>
          <w:sz w:val="22"/>
          <w:szCs w:val="22"/>
        </w:rPr>
      </w:pPr>
    </w:p>
    <w:p w14:paraId="7C395AC5" w14:textId="77777777" w:rsidR="009041FB" w:rsidRPr="00852126" w:rsidRDefault="009041FB" w:rsidP="009D3704">
      <w:pPr>
        <w:jc w:val="both"/>
        <w:textAlignment w:val="baseline"/>
        <w:rPr>
          <w:rFonts w:ascii="Theinhardt" w:eastAsia="AUdimat" w:hAnsi="Theinhardt" w:cs="Theinhardt"/>
          <w:color w:val="000000"/>
          <w:sz w:val="22"/>
          <w:szCs w:val="22"/>
        </w:rPr>
      </w:pPr>
    </w:p>
    <w:p w14:paraId="47C7CC25" w14:textId="77777777" w:rsidR="00C35205" w:rsidRPr="00852126" w:rsidRDefault="00C35205" w:rsidP="009D3704">
      <w:pPr>
        <w:jc w:val="both"/>
        <w:textAlignment w:val="baseline"/>
        <w:rPr>
          <w:rFonts w:ascii="Theinhardt" w:eastAsia="AUdimat" w:hAnsi="Theinhardt" w:cs="Theinhardt"/>
          <w:color w:val="000000"/>
          <w:sz w:val="22"/>
          <w:szCs w:val="22"/>
        </w:rPr>
      </w:pPr>
    </w:p>
    <w:p w14:paraId="6C8A3840" w14:textId="77777777" w:rsidR="0088596D" w:rsidRPr="00852126" w:rsidRDefault="00993E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/>
        <w:ind w:left="-142"/>
        <w:jc w:val="center"/>
        <w:rPr>
          <w:rFonts w:ascii="Theinhardt" w:eastAsia="AUdimat" w:hAnsi="Theinhardt" w:cs="Theinhardt"/>
          <w:b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b/>
          <w:color w:val="000000"/>
          <w:sz w:val="22"/>
          <w:szCs w:val="22"/>
        </w:rPr>
        <w:t>Článek II.</w:t>
      </w:r>
      <w:r w:rsidRPr="00852126">
        <w:rPr>
          <w:rFonts w:ascii="Theinhardt" w:eastAsia="AUdimat" w:hAnsi="Theinhardt" w:cs="Theinhardt"/>
          <w:b/>
          <w:color w:val="000000"/>
          <w:sz w:val="22"/>
          <w:szCs w:val="22"/>
        </w:rPr>
        <w:br/>
        <w:t>Práva a povinnosti, závazky smluvních stran</w:t>
      </w:r>
    </w:p>
    <w:p w14:paraId="41CC9C79" w14:textId="77777777" w:rsidR="001928CA" w:rsidRPr="00852126" w:rsidRDefault="001928CA" w:rsidP="001928C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/>
        <w:jc w:val="both"/>
        <w:rPr>
          <w:rFonts w:ascii="Theinhardt" w:eastAsia="AUdimat" w:hAnsi="Theinhardt" w:cs="Theinhardt"/>
          <w:b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Dodavatel je povinen vést písemnou průkaznou evidenci poskytnutých služeb a jejich rozsahu ve formě výkazu počtu hodin poskytování služeb</w:t>
      </w:r>
      <w:r w:rsidRPr="00852126">
        <w:rPr>
          <w:rFonts w:ascii="Theinhardt" w:hAnsi="Theinhardt" w:cs="Theinhardt"/>
          <w:sz w:val="22"/>
          <w:szCs w:val="22"/>
        </w:rPr>
        <w:t xml:space="preserve"> </w:t>
      </w: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 xml:space="preserve">jako podklad pro kontrolu a přehled čerpání hodin objednatelem. </w:t>
      </w:r>
    </w:p>
    <w:p w14:paraId="432F07CA" w14:textId="1EB784B1" w:rsidR="00A9688A" w:rsidRPr="00852126" w:rsidRDefault="00993E32" w:rsidP="001928C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/>
        <w:jc w:val="both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Dodavatel se zavazuje přistupovat k plnění služ</w:t>
      </w:r>
      <w:r w:rsidR="001928CA" w:rsidRPr="00852126">
        <w:rPr>
          <w:rFonts w:ascii="Theinhardt" w:eastAsia="AUdimat" w:hAnsi="Theinhardt" w:cs="Theinhardt"/>
          <w:color w:val="000000"/>
          <w:sz w:val="22"/>
          <w:szCs w:val="22"/>
        </w:rPr>
        <w:t>e</w:t>
      </w: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b poctivě a pečlivě podle svých schopností a s odbornou péčí.</w:t>
      </w:r>
    </w:p>
    <w:p w14:paraId="259C719B" w14:textId="444A015A" w:rsidR="0088596D" w:rsidRPr="00852126" w:rsidRDefault="00993E32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/>
        <w:ind w:left="176" w:hanging="357"/>
        <w:jc w:val="both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Objednatel se zavazuje zaplatit dodavateli odměnu podle čl. III. této smlouvy, sdělovat dodavateli služ</w:t>
      </w:r>
      <w:r w:rsidR="001928CA" w:rsidRPr="00852126">
        <w:rPr>
          <w:rFonts w:ascii="Theinhardt" w:eastAsia="AUdimat" w:hAnsi="Theinhardt" w:cs="Theinhardt"/>
          <w:color w:val="000000"/>
          <w:sz w:val="22"/>
          <w:szCs w:val="22"/>
        </w:rPr>
        <w:t>e</w:t>
      </w: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 xml:space="preserve">b včas všechny skutečnosti potřebné k řádnému </w:t>
      </w:r>
      <w:r w:rsidR="001928CA" w:rsidRPr="00852126">
        <w:rPr>
          <w:rFonts w:ascii="Theinhardt" w:eastAsia="AUdimat" w:hAnsi="Theinhardt" w:cs="Theinhardt"/>
          <w:color w:val="000000"/>
          <w:sz w:val="22"/>
          <w:szCs w:val="22"/>
        </w:rPr>
        <w:t>poskytování služeb</w:t>
      </w: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 xml:space="preserve"> definovan</w:t>
      </w:r>
      <w:r w:rsidR="001928CA" w:rsidRPr="00852126">
        <w:rPr>
          <w:rFonts w:ascii="Theinhardt" w:eastAsia="AUdimat" w:hAnsi="Theinhardt" w:cs="Theinhardt"/>
          <w:color w:val="000000"/>
          <w:sz w:val="22"/>
          <w:szCs w:val="22"/>
        </w:rPr>
        <w:t>ých v</w:t>
      </w: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 xml:space="preserve"> čl. I bod 1. této smlouvy. </w:t>
      </w:r>
    </w:p>
    <w:p w14:paraId="7DBF0F9C" w14:textId="77777777" w:rsidR="0088596D" w:rsidRPr="00852126" w:rsidRDefault="00993E3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 xml:space="preserve">Obě strany se zavazují poskytovat si při plnění této smlouvy potřebnou součinnost. </w:t>
      </w:r>
    </w:p>
    <w:p w14:paraId="25C6DEBE" w14:textId="29132A2C" w:rsidR="0088596D" w:rsidRPr="00852126" w:rsidRDefault="00993E3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Kontaktní osobou za objednatele je</w:t>
      </w:r>
      <w:r w:rsidRPr="00852126">
        <w:rPr>
          <w:rFonts w:ascii="Theinhardt" w:eastAsia="AUdimat" w:hAnsi="Theinhardt" w:cs="Theinhardt"/>
          <w:sz w:val="22"/>
          <w:szCs w:val="22"/>
        </w:rPr>
        <w:t xml:space="preserve"> </w:t>
      </w:r>
      <w:r w:rsidR="007C4510" w:rsidRPr="00852126">
        <w:rPr>
          <w:rFonts w:ascii="Theinhardt" w:eastAsia="AUdimat" w:hAnsi="Theinhardt" w:cs="Theinhardt"/>
          <w:sz w:val="22"/>
          <w:szCs w:val="22"/>
        </w:rPr>
        <w:t>MgA. Kristýna Kočová</w:t>
      </w:r>
      <w:r w:rsidRPr="00852126">
        <w:rPr>
          <w:rFonts w:ascii="Theinhardt" w:eastAsia="AUdimat" w:hAnsi="Theinhardt" w:cs="Theinhardt"/>
          <w:sz w:val="22"/>
          <w:szCs w:val="22"/>
        </w:rPr>
        <w:t xml:space="preserve">, email: </w:t>
      </w:r>
    </w:p>
    <w:p w14:paraId="595BD74B" w14:textId="77777777" w:rsidR="0088596D" w:rsidRPr="00852126" w:rsidRDefault="00993E3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120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 xml:space="preserve">Místem plnění je sídlo objednatele a hlavní město Praha. </w:t>
      </w:r>
    </w:p>
    <w:p w14:paraId="335F41E5" w14:textId="77777777" w:rsidR="0088596D" w:rsidRPr="00852126" w:rsidRDefault="0088596D">
      <w:pPr>
        <w:pBdr>
          <w:top w:val="nil"/>
          <w:left w:val="nil"/>
          <w:bottom w:val="nil"/>
          <w:right w:val="nil"/>
          <w:between w:val="nil"/>
        </w:pBdr>
        <w:rPr>
          <w:rFonts w:ascii="Theinhardt" w:eastAsia="AUdimat" w:hAnsi="Theinhardt" w:cs="Theinhardt"/>
          <w:color w:val="000000"/>
          <w:sz w:val="22"/>
          <w:szCs w:val="22"/>
        </w:rPr>
      </w:pPr>
    </w:p>
    <w:p w14:paraId="686FCC60" w14:textId="77777777" w:rsidR="0088596D" w:rsidRPr="00852126" w:rsidRDefault="00993E32">
      <w:pPr>
        <w:pBdr>
          <w:top w:val="nil"/>
          <w:left w:val="nil"/>
          <w:bottom w:val="nil"/>
          <w:right w:val="nil"/>
          <w:between w:val="nil"/>
        </w:pBdr>
        <w:ind w:left="142" w:hanging="284"/>
        <w:jc w:val="center"/>
        <w:rPr>
          <w:rFonts w:ascii="Theinhardt" w:eastAsia="AUdimat" w:hAnsi="Theinhardt" w:cs="Theinhardt"/>
          <w:b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b/>
          <w:color w:val="000000"/>
          <w:sz w:val="22"/>
          <w:szCs w:val="22"/>
        </w:rPr>
        <w:t>Článek III.</w:t>
      </w:r>
      <w:r w:rsidRPr="00852126">
        <w:rPr>
          <w:rFonts w:ascii="Theinhardt" w:eastAsia="AUdimat" w:hAnsi="Theinhardt" w:cs="Theinhardt"/>
          <w:b/>
          <w:color w:val="000000"/>
          <w:sz w:val="22"/>
          <w:szCs w:val="22"/>
        </w:rPr>
        <w:br/>
        <w:t>Smluvní cena a platební podmínky</w:t>
      </w:r>
    </w:p>
    <w:p w14:paraId="24006514" w14:textId="43547A58" w:rsidR="0088596D" w:rsidRPr="00852126" w:rsidRDefault="00993E3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76" w:hanging="357"/>
        <w:jc w:val="both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Smluvní strany se dohodly, že dodavateli služ</w:t>
      </w:r>
      <w:r w:rsidR="001928CA" w:rsidRPr="00852126">
        <w:rPr>
          <w:rFonts w:ascii="Theinhardt" w:eastAsia="AUdimat" w:hAnsi="Theinhardt" w:cs="Theinhardt"/>
          <w:color w:val="000000"/>
          <w:sz w:val="22"/>
          <w:szCs w:val="22"/>
        </w:rPr>
        <w:t>e</w:t>
      </w: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 xml:space="preserve">b náleží za </w:t>
      </w:r>
      <w:r w:rsidR="001928CA" w:rsidRPr="00852126">
        <w:rPr>
          <w:rFonts w:ascii="Theinhardt" w:eastAsia="AUdimat" w:hAnsi="Theinhardt" w:cs="Theinhardt"/>
          <w:color w:val="000000"/>
          <w:sz w:val="22"/>
          <w:szCs w:val="22"/>
        </w:rPr>
        <w:t>poskytování služeb</w:t>
      </w: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 xml:space="preserve"> dle čl. I bod 1. této smlouvy paušální částka ve výši </w:t>
      </w:r>
      <w:r w:rsidR="00BC6F4B" w:rsidRPr="00852126">
        <w:rPr>
          <w:rFonts w:ascii="Theinhardt" w:eastAsia="AUdimat" w:hAnsi="Theinhardt" w:cs="Theinhardt"/>
          <w:sz w:val="22"/>
          <w:szCs w:val="22"/>
        </w:rPr>
        <w:t>3</w:t>
      </w:r>
      <w:r w:rsidR="007C4510" w:rsidRPr="00852126">
        <w:rPr>
          <w:rFonts w:ascii="Theinhardt" w:eastAsia="AUdimat" w:hAnsi="Theinhardt" w:cs="Theinhardt"/>
          <w:sz w:val="22"/>
          <w:szCs w:val="22"/>
        </w:rPr>
        <w:t>0</w:t>
      </w:r>
      <w:r w:rsidRPr="00852126">
        <w:rPr>
          <w:rFonts w:ascii="Theinhardt" w:eastAsia="AUdimat" w:hAnsi="Theinhardt" w:cs="Theinhardt"/>
          <w:sz w:val="22"/>
          <w:szCs w:val="22"/>
        </w:rPr>
        <w:t>0 Kč bez DPH / hodin</w:t>
      </w:r>
      <w:r w:rsidR="009041FB" w:rsidRPr="00852126">
        <w:rPr>
          <w:rFonts w:ascii="Theinhardt" w:eastAsia="AUdimat" w:hAnsi="Theinhardt" w:cs="Theinhardt"/>
          <w:sz w:val="22"/>
          <w:szCs w:val="22"/>
        </w:rPr>
        <w:t>u</w:t>
      </w:r>
      <w:r w:rsidRPr="00852126">
        <w:rPr>
          <w:rFonts w:ascii="Theinhardt" w:eastAsia="AUdimat" w:hAnsi="Theinhardt" w:cs="Theinhardt"/>
          <w:sz w:val="22"/>
          <w:szCs w:val="22"/>
        </w:rPr>
        <w:t>, přičemž služb</w:t>
      </w:r>
      <w:r w:rsidR="001928CA" w:rsidRPr="00852126">
        <w:rPr>
          <w:rFonts w:ascii="Theinhardt" w:eastAsia="AUdimat" w:hAnsi="Theinhardt" w:cs="Theinhardt"/>
          <w:sz w:val="22"/>
          <w:szCs w:val="22"/>
        </w:rPr>
        <w:t>y</w:t>
      </w:r>
      <w:r w:rsidRPr="00852126">
        <w:rPr>
          <w:rFonts w:ascii="Theinhardt" w:eastAsia="AUdimat" w:hAnsi="Theinhardt" w:cs="Theinhardt"/>
          <w:sz w:val="22"/>
          <w:szCs w:val="22"/>
        </w:rPr>
        <w:t xml:space="preserve"> bud</w:t>
      </w:r>
      <w:r w:rsidR="001928CA" w:rsidRPr="00852126">
        <w:rPr>
          <w:rFonts w:ascii="Theinhardt" w:eastAsia="AUdimat" w:hAnsi="Theinhardt" w:cs="Theinhardt"/>
          <w:sz w:val="22"/>
          <w:szCs w:val="22"/>
        </w:rPr>
        <w:t>ou</w:t>
      </w:r>
      <w:r w:rsidRPr="00852126">
        <w:rPr>
          <w:rFonts w:ascii="Theinhardt" w:eastAsia="AUdimat" w:hAnsi="Theinhardt" w:cs="Theinhardt"/>
          <w:sz w:val="22"/>
          <w:szCs w:val="22"/>
        </w:rPr>
        <w:t xml:space="preserve"> poskytnut</w:t>
      </w:r>
      <w:r w:rsidR="001928CA" w:rsidRPr="00852126">
        <w:rPr>
          <w:rFonts w:ascii="Theinhardt" w:eastAsia="AUdimat" w:hAnsi="Theinhardt" w:cs="Theinhardt"/>
          <w:sz w:val="22"/>
          <w:szCs w:val="22"/>
        </w:rPr>
        <w:t>y</w:t>
      </w:r>
      <w:r w:rsidRPr="00852126">
        <w:rPr>
          <w:rFonts w:ascii="Theinhardt" w:eastAsia="AUdimat" w:hAnsi="Theinhardt" w:cs="Theinhardt"/>
          <w:sz w:val="22"/>
          <w:szCs w:val="22"/>
        </w:rPr>
        <w:t xml:space="preserve"> v</w:t>
      </w:r>
      <w:r w:rsidR="007C4510" w:rsidRPr="00852126">
        <w:rPr>
          <w:rFonts w:ascii="Theinhardt" w:eastAsia="AUdimat" w:hAnsi="Theinhardt" w:cs="Theinhardt"/>
          <w:sz w:val="22"/>
          <w:szCs w:val="22"/>
        </w:rPr>
        <w:t xml:space="preserve"> maximálním </w:t>
      </w:r>
      <w:r w:rsidRPr="00852126">
        <w:rPr>
          <w:rFonts w:ascii="Theinhardt" w:eastAsia="AUdimat" w:hAnsi="Theinhardt" w:cs="Theinhardt"/>
          <w:sz w:val="22"/>
          <w:szCs w:val="22"/>
        </w:rPr>
        <w:t xml:space="preserve">rozsahu </w:t>
      </w:r>
      <w:r w:rsidR="00AC3855" w:rsidRPr="00852126">
        <w:rPr>
          <w:rFonts w:ascii="Theinhardt" w:eastAsia="AUdimat" w:hAnsi="Theinhardt" w:cs="Theinhardt"/>
          <w:sz w:val="22"/>
          <w:szCs w:val="22"/>
        </w:rPr>
        <w:t>960</w:t>
      </w:r>
      <w:r w:rsidR="00F53682" w:rsidRPr="00852126">
        <w:rPr>
          <w:rFonts w:ascii="Theinhardt" w:eastAsia="AUdimat" w:hAnsi="Theinhardt" w:cs="Theinhardt"/>
          <w:sz w:val="22"/>
          <w:szCs w:val="22"/>
        </w:rPr>
        <w:t xml:space="preserve"> hodin v období od </w:t>
      </w:r>
      <w:r w:rsidR="00196662" w:rsidRPr="00852126">
        <w:rPr>
          <w:rFonts w:ascii="Theinhardt" w:eastAsia="AUdimat" w:hAnsi="Theinhardt" w:cs="Theinhardt"/>
          <w:sz w:val="22"/>
          <w:szCs w:val="22"/>
        </w:rPr>
        <w:t>1. 12</w:t>
      </w:r>
      <w:r w:rsidR="00BC6F4B" w:rsidRPr="00852126">
        <w:rPr>
          <w:rFonts w:ascii="Theinhardt" w:eastAsia="AUdimat" w:hAnsi="Theinhardt" w:cs="Theinhardt"/>
          <w:sz w:val="22"/>
          <w:szCs w:val="22"/>
        </w:rPr>
        <w:t>.202</w:t>
      </w:r>
      <w:r w:rsidR="00196662" w:rsidRPr="00852126">
        <w:rPr>
          <w:rFonts w:ascii="Theinhardt" w:eastAsia="AUdimat" w:hAnsi="Theinhardt" w:cs="Theinhardt"/>
          <w:sz w:val="22"/>
          <w:szCs w:val="22"/>
        </w:rPr>
        <w:t>5</w:t>
      </w:r>
      <w:r w:rsidR="00F53682" w:rsidRPr="00852126">
        <w:rPr>
          <w:rFonts w:ascii="Theinhardt" w:eastAsia="AUdimat" w:hAnsi="Theinhardt" w:cs="Theinhardt"/>
          <w:sz w:val="22"/>
          <w:szCs w:val="22"/>
        </w:rPr>
        <w:t xml:space="preserve"> do 31. </w:t>
      </w:r>
      <w:r w:rsidR="00BC6F4B" w:rsidRPr="00852126">
        <w:rPr>
          <w:rFonts w:ascii="Theinhardt" w:eastAsia="AUdimat" w:hAnsi="Theinhardt" w:cs="Theinhardt"/>
          <w:sz w:val="22"/>
          <w:szCs w:val="22"/>
        </w:rPr>
        <w:t>12</w:t>
      </w:r>
      <w:r w:rsidRPr="00852126">
        <w:rPr>
          <w:rFonts w:ascii="Theinhardt" w:eastAsia="AUdimat" w:hAnsi="Theinhardt" w:cs="Theinhardt"/>
          <w:sz w:val="22"/>
          <w:szCs w:val="22"/>
        </w:rPr>
        <w:t xml:space="preserve">. </w:t>
      </w:r>
      <w:r w:rsidR="00C35205" w:rsidRPr="00852126">
        <w:rPr>
          <w:rFonts w:ascii="Theinhardt" w:eastAsia="AUdimat" w:hAnsi="Theinhardt" w:cs="Theinhardt"/>
          <w:sz w:val="22"/>
          <w:szCs w:val="22"/>
        </w:rPr>
        <w:t>2026</w:t>
      </w:r>
    </w:p>
    <w:p w14:paraId="5FDB435E" w14:textId="12D512A5" w:rsidR="001928CA" w:rsidRPr="00852126" w:rsidRDefault="001928CA" w:rsidP="001928C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 xml:space="preserve">Platba za řádně poskytnuté služby bude prováděna ze strany objednatele v měsíčních platbách zpětně na základě </w:t>
      </w:r>
      <w:r w:rsidR="00521056">
        <w:rPr>
          <w:rFonts w:ascii="Theinhardt" w:eastAsia="AUdimat" w:hAnsi="Theinhardt" w:cs="Theinhardt"/>
          <w:color w:val="000000"/>
          <w:sz w:val="22"/>
          <w:szCs w:val="22"/>
        </w:rPr>
        <w:t xml:space="preserve">objednatelem schválené </w:t>
      </w:r>
      <w:r w:rsidR="00123050">
        <w:rPr>
          <w:rFonts w:ascii="Theinhardt" w:eastAsia="AUdimat" w:hAnsi="Theinhardt" w:cs="Theinhardt"/>
          <w:color w:val="000000"/>
          <w:sz w:val="22"/>
          <w:szCs w:val="22"/>
        </w:rPr>
        <w:t>výčetky</w:t>
      </w: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 xml:space="preserve"> vystavené dodavatelem </w:t>
      </w:r>
      <w:r w:rsidR="00BA0E7E">
        <w:rPr>
          <w:rFonts w:ascii="Theinhardt" w:eastAsia="AUdimat" w:hAnsi="Theinhardt" w:cs="Theinhardt"/>
          <w:color w:val="000000"/>
          <w:sz w:val="22"/>
          <w:szCs w:val="22"/>
        </w:rPr>
        <w:t xml:space="preserve">vždy na konci kalendářního měsíce </w:t>
      </w:r>
      <w:r w:rsidR="00123050">
        <w:rPr>
          <w:rFonts w:ascii="Theinhardt" w:eastAsia="AUdimat" w:hAnsi="Theinhardt" w:cs="Theinhardt"/>
          <w:color w:val="000000"/>
          <w:sz w:val="22"/>
          <w:szCs w:val="22"/>
        </w:rPr>
        <w:t xml:space="preserve">včetně </w:t>
      </w: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počtu hodin poskytování služeb</w:t>
      </w:r>
      <w:r w:rsidRPr="00852126">
        <w:rPr>
          <w:rFonts w:ascii="Theinhardt" w:hAnsi="Theinhardt" w:cs="Theinhardt"/>
          <w:sz w:val="22"/>
          <w:szCs w:val="22"/>
        </w:rPr>
        <w:t xml:space="preserve"> </w:t>
      </w: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s uvedením řádně realizovaných (tj. ukončených) činností vč. stručného popisu těchto činností a času realizace.</w:t>
      </w:r>
      <w:r w:rsidR="00BA0E7E">
        <w:rPr>
          <w:rFonts w:ascii="Theinhardt" w:eastAsia="AUdimat" w:hAnsi="Theinhardt" w:cs="Theinhardt"/>
          <w:color w:val="000000"/>
          <w:sz w:val="22"/>
          <w:szCs w:val="22"/>
        </w:rPr>
        <w:t xml:space="preserve"> </w:t>
      </w:r>
    </w:p>
    <w:p w14:paraId="2282A0A2" w14:textId="3688BCD2" w:rsidR="0088596D" w:rsidRPr="00852126" w:rsidRDefault="0012305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76" w:hanging="357"/>
        <w:jc w:val="both"/>
        <w:rPr>
          <w:rFonts w:ascii="Theinhardt" w:eastAsia="AUdimat" w:hAnsi="Theinhardt" w:cs="Theinhardt"/>
          <w:color w:val="000000"/>
          <w:sz w:val="22"/>
          <w:szCs w:val="22"/>
        </w:rPr>
      </w:pPr>
      <w:r>
        <w:rPr>
          <w:rFonts w:ascii="Theinhardt" w:eastAsia="AUdimat" w:hAnsi="Theinhardt" w:cs="Theinhardt"/>
          <w:color w:val="000000"/>
          <w:sz w:val="22"/>
          <w:szCs w:val="22"/>
        </w:rPr>
        <w:t xml:space="preserve">Měsíční platby </w:t>
      </w:r>
      <w:r w:rsidR="00993E32" w:rsidRPr="00852126">
        <w:rPr>
          <w:rFonts w:ascii="Theinhardt" w:eastAsia="AUdimat" w:hAnsi="Theinhardt" w:cs="Theinhardt"/>
          <w:color w:val="000000"/>
          <w:sz w:val="22"/>
          <w:szCs w:val="22"/>
        </w:rPr>
        <w:t>budou prováděny bezhotovostně, a to bankovním převodem na účet dodavatele uvedený v hlavičce této smlouvy.</w:t>
      </w:r>
    </w:p>
    <w:p w14:paraId="601F99FC" w14:textId="2BE1DF3E" w:rsidR="0088596D" w:rsidRPr="00852126" w:rsidRDefault="00993E32" w:rsidP="006928B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76" w:hanging="357"/>
        <w:jc w:val="both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Smluvní strany se dohodly na délce splatnosti</w:t>
      </w:r>
      <w:r w:rsidR="00FD2842">
        <w:rPr>
          <w:rFonts w:ascii="Theinhardt" w:eastAsia="AUdimat" w:hAnsi="Theinhardt" w:cs="Theinhardt"/>
          <w:color w:val="000000"/>
          <w:sz w:val="22"/>
          <w:szCs w:val="22"/>
        </w:rPr>
        <w:t xml:space="preserve"> od schválení výčetky</w:t>
      </w: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 xml:space="preserve"> 15 dnů, a to vždy od prokazatelného doručení </w:t>
      </w:r>
      <w:r w:rsidR="00FD2842">
        <w:rPr>
          <w:rFonts w:ascii="Theinhardt" w:eastAsia="AUdimat" w:hAnsi="Theinhardt" w:cs="Theinhardt"/>
          <w:color w:val="000000"/>
          <w:sz w:val="22"/>
          <w:szCs w:val="22"/>
        </w:rPr>
        <w:t>a schválení výčetek.</w:t>
      </w:r>
    </w:p>
    <w:p w14:paraId="37633B9A" w14:textId="77777777" w:rsidR="0088596D" w:rsidRPr="00852126" w:rsidRDefault="00993E32">
      <w:pPr>
        <w:pBdr>
          <w:top w:val="nil"/>
          <w:left w:val="nil"/>
          <w:bottom w:val="nil"/>
          <w:right w:val="nil"/>
          <w:between w:val="nil"/>
        </w:pBdr>
        <w:spacing w:before="120"/>
        <w:ind w:left="176" w:hanging="357"/>
        <w:jc w:val="center"/>
        <w:rPr>
          <w:rFonts w:ascii="Theinhardt" w:eastAsia="AUdimat" w:hAnsi="Theinhardt" w:cs="Theinhardt"/>
          <w:b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b/>
          <w:color w:val="000000"/>
          <w:sz w:val="22"/>
          <w:szCs w:val="22"/>
        </w:rPr>
        <w:t>Článek IV.</w:t>
      </w:r>
      <w:r w:rsidRPr="00852126">
        <w:rPr>
          <w:rFonts w:ascii="Theinhardt" w:eastAsia="AUdimat" w:hAnsi="Theinhardt" w:cs="Theinhardt"/>
          <w:b/>
          <w:color w:val="000000"/>
          <w:sz w:val="22"/>
          <w:szCs w:val="22"/>
        </w:rPr>
        <w:br/>
        <w:t>Doba trvání smlouvy</w:t>
      </w:r>
    </w:p>
    <w:p w14:paraId="119C1429" w14:textId="796ACCC8" w:rsidR="0088596D" w:rsidRPr="00852126" w:rsidRDefault="00993E32" w:rsidP="006928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76" w:hanging="357"/>
        <w:jc w:val="both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 xml:space="preserve">Tato smlouva vstupuje v platnost a účinnost dnem podpisu oběma smluvními stranami a je uzavřena na dobu určitou, a to od </w:t>
      </w:r>
      <w:r w:rsidR="00BC6F4B" w:rsidRPr="00852126">
        <w:rPr>
          <w:rFonts w:ascii="Theinhardt" w:eastAsia="AUdimat" w:hAnsi="Theinhardt" w:cs="Theinhardt"/>
          <w:sz w:val="22"/>
          <w:szCs w:val="22"/>
        </w:rPr>
        <w:t>1.</w:t>
      </w:r>
      <w:r w:rsidR="00196662" w:rsidRPr="00852126">
        <w:rPr>
          <w:rFonts w:ascii="Theinhardt" w:eastAsia="AUdimat" w:hAnsi="Theinhardt" w:cs="Theinhardt"/>
          <w:sz w:val="22"/>
          <w:szCs w:val="22"/>
        </w:rPr>
        <w:t>12</w:t>
      </w:r>
      <w:r w:rsidR="00BC6F4B" w:rsidRPr="00852126">
        <w:rPr>
          <w:rFonts w:ascii="Theinhardt" w:eastAsia="AUdimat" w:hAnsi="Theinhardt" w:cs="Theinhardt"/>
          <w:sz w:val="22"/>
          <w:szCs w:val="22"/>
        </w:rPr>
        <w:t>.202</w:t>
      </w:r>
      <w:r w:rsidR="00196662" w:rsidRPr="00852126">
        <w:rPr>
          <w:rFonts w:ascii="Theinhardt" w:eastAsia="AUdimat" w:hAnsi="Theinhardt" w:cs="Theinhardt"/>
          <w:sz w:val="22"/>
          <w:szCs w:val="22"/>
        </w:rPr>
        <w:t>5</w:t>
      </w:r>
      <w:r w:rsidRPr="00852126">
        <w:rPr>
          <w:rFonts w:ascii="Theinhardt" w:eastAsia="AUdimat" w:hAnsi="Theinhardt" w:cs="Theinhardt"/>
          <w:sz w:val="22"/>
          <w:szCs w:val="22"/>
        </w:rPr>
        <w:t xml:space="preserve"> do </w:t>
      </w:r>
      <w:r w:rsidR="001928CA" w:rsidRPr="00852126">
        <w:rPr>
          <w:rFonts w:ascii="Theinhardt" w:eastAsia="AUdimat" w:hAnsi="Theinhardt" w:cs="Theinhardt"/>
          <w:sz w:val="22"/>
          <w:szCs w:val="22"/>
        </w:rPr>
        <w:t>31</w:t>
      </w:r>
      <w:r w:rsidRPr="00852126">
        <w:rPr>
          <w:rFonts w:ascii="Theinhardt" w:eastAsia="AUdimat" w:hAnsi="Theinhardt" w:cs="Theinhardt"/>
          <w:sz w:val="22"/>
          <w:szCs w:val="22"/>
        </w:rPr>
        <w:t xml:space="preserve">. </w:t>
      </w:r>
      <w:r w:rsidR="00BC6F4B" w:rsidRPr="00852126">
        <w:rPr>
          <w:rFonts w:ascii="Theinhardt" w:eastAsia="AUdimat" w:hAnsi="Theinhardt" w:cs="Theinhardt"/>
          <w:sz w:val="22"/>
          <w:szCs w:val="22"/>
        </w:rPr>
        <w:t>12</w:t>
      </w:r>
      <w:r w:rsidR="005C00DB" w:rsidRPr="00852126">
        <w:rPr>
          <w:rFonts w:ascii="Theinhardt" w:eastAsia="AUdimat" w:hAnsi="Theinhardt" w:cs="Theinhardt"/>
          <w:sz w:val="22"/>
          <w:szCs w:val="22"/>
        </w:rPr>
        <w:t>.</w:t>
      </w:r>
      <w:r w:rsidRPr="00852126">
        <w:rPr>
          <w:rFonts w:ascii="Theinhardt" w:eastAsia="AUdimat" w:hAnsi="Theinhardt" w:cs="Theinhardt"/>
          <w:sz w:val="22"/>
          <w:szCs w:val="22"/>
        </w:rPr>
        <w:t xml:space="preserve"> 202</w:t>
      </w:r>
      <w:r w:rsidR="00C35205" w:rsidRPr="00852126">
        <w:rPr>
          <w:rFonts w:ascii="Theinhardt" w:eastAsia="AUdimat" w:hAnsi="Theinhardt" w:cs="Theinhardt"/>
          <w:sz w:val="22"/>
          <w:szCs w:val="22"/>
        </w:rPr>
        <w:t>6</w:t>
      </w:r>
      <w:r w:rsidRPr="00852126">
        <w:rPr>
          <w:rFonts w:ascii="Theinhardt" w:eastAsia="AUdimat" w:hAnsi="Theinhardt" w:cs="Theinhardt"/>
          <w:sz w:val="22"/>
          <w:szCs w:val="22"/>
        </w:rPr>
        <w:t>.</w:t>
      </w:r>
    </w:p>
    <w:p w14:paraId="2BBE187A" w14:textId="77777777" w:rsidR="0088596D" w:rsidRPr="00852126" w:rsidRDefault="00993E32">
      <w:pPr>
        <w:pBdr>
          <w:top w:val="nil"/>
          <w:left w:val="nil"/>
          <w:bottom w:val="nil"/>
          <w:right w:val="nil"/>
          <w:between w:val="nil"/>
        </w:pBdr>
        <w:spacing w:before="120"/>
        <w:ind w:left="176" w:hanging="357"/>
        <w:jc w:val="center"/>
        <w:rPr>
          <w:rFonts w:ascii="Theinhardt" w:eastAsia="AUdimat" w:hAnsi="Theinhardt" w:cs="Theinhardt"/>
          <w:b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b/>
          <w:color w:val="000000"/>
          <w:sz w:val="22"/>
          <w:szCs w:val="22"/>
        </w:rPr>
        <w:t>Článek V.</w:t>
      </w:r>
      <w:r w:rsidRPr="00852126">
        <w:rPr>
          <w:rFonts w:ascii="Theinhardt" w:eastAsia="AUdimat" w:hAnsi="Theinhardt" w:cs="Theinhardt"/>
          <w:b/>
          <w:color w:val="000000"/>
          <w:sz w:val="22"/>
          <w:szCs w:val="22"/>
        </w:rPr>
        <w:br/>
        <w:t>Zánik smlouvy</w:t>
      </w:r>
    </w:p>
    <w:p w14:paraId="36BDC0E9" w14:textId="77777777" w:rsidR="0088596D" w:rsidRPr="00852126" w:rsidRDefault="00993E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76" w:hanging="357"/>
        <w:jc w:val="both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Smlouva zaniká uplynutím doby, na kterou byla sjednána.</w:t>
      </w:r>
    </w:p>
    <w:p w14:paraId="289E7427" w14:textId="77777777" w:rsidR="0088596D" w:rsidRPr="00852126" w:rsidRDefault="00993E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76" w:hanging="357"/>
        <w:jc w:val="both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Smlouva rovněž zaniká dohodou obou smluvních stran, nebo výpovědí jedné ze smluvních stran. Výpověď nabývá účinnosti dnem doručení druhé smluvní straně, výpovědní lhůta není stanovena.</w:t>
      </w:r>
    </w:p>
    <w:p w14:paraId="61DAB6E9" w14:textId="77777777" w:rsidR="0088596D" w:rsidRPr="00852126" w:rsidRDefault="00993E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76" w:hanging="357"/>
        <w:jc w:val="both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Odstoupit od smlouvy lze pouze z důvodů podstatného porušení podmínek smlouvy jednou ze smluvních stran nebo dle zákona.</w:t>
      </w:r>
    </w:p>
    <w:p w14:paraId="136DE77E" w14:textId="7D487C5C" w:rsidR="00A9688A" w:rsidRPr="00852126" w:rsidRDefault="00993E32" w:rsidP="006928B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76" w:hanging="357"/>
        <w:jc w:val="both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Smlouva zaniká rovněž z důvodu objektivní nemožnosti plnění na straně dodavatele z důvodů zvláštního zřetele hodných. V takovém případě je dodavatel povinen vrátit poměrnou část odměny za nedodané služby.</w:t>
      </w:r>
    </w:p>
    <w:p w14:paraId="2BFE65D2" w14:textId="7E4AB77B" w:rsidR="0088596D" w:rsidRPr="00852126" w:rsidRDefault="00993E32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Theinhardt" w:eastAsia="AUdimat" w:hAnsi="Theinhardt" w:cs="Theinhardt"/>
          <w:b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b/>
          <w:color w:val="000000"/>
          <w:sz w:val="22"/>
          <w:szCs w:val="22"/>
        </w:rPr>
        <w:t>Článek VI.</w:t>
      </w:r>
      <w:r w:rsidRPr="00852126">
        <w:rPr>
          <w:rFonts w:ascii="Theinhardt" w:eastAsia="AUdimat" w:hAnsi="Theinhardt" w:cs="Theinhardt"/>
          <w:b/>
          <w:color w:val="000000"/>
          <w:sz w:val="22"/>
          <w:szCs w:val="22"/>
        </w:rPr>
        <w:br/>
        <w:t>Povinnost mlčenlivosti</w:t>
      </w:r>
    </w:p>
    <w:p w14:paraId="5994F57D" w14:textId="433656B9" w:rsidR="0088596D" w:rsidRPr="00852126" w:rsidRDefault="00993E3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42" w:hanging="284"/>
        <w:jc w:val="both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lastRenderedPageBreak/>
        <w:t>Dodavatel služ</w:t>
      </w:r>
      <w:r w:rsidR="001928CA" w:rsidRPr="00852126">
        <w:rPr>
          <w:rFonts w:ascii="Theinhardt" w:eastAsia="AUdimat" w:hAnsi="Theinhardt" w:cs="Theinhardt"/>
          <w:color w:val="000000"/>
          <w:sz w:val="22"/>
          <w:szCs w:val="22"/>
        </w:rPr>
        <w:t>e</w:t>
      </w: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b se zavazuje zachovávat mlčenlivost o důvěrných informacích ve smyslu § 1730 odst. 2 Občanského zákoníku a zdržet se veškerých aktivit, které by mohly poškodit dobré jméno či zájmy objednatele.</w:t>
      </w:r>
    </w:p>
    <w:p w14:paraId="429AB233" w14:textId="0BFF13EA" w:rsidR="0088596D" w:rsidRPr="00852126" w:rsidRDefault="00993E3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42" w:hanging="284"/>
        <w:jc w:val="both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Dále se dodavatel služ</w:t>
      </w:r>
      <w:r w:rsidR="001928CA" w:rsidRPr="00852126">
        <w:rPr>
          <w:rFonts w:ascii="Theinhardt" w:eastAsia="AUdimat" w:hAnsi="Theinhardt" w:cs="Theinhardt"/>
          <w:color w:val="000000"/>
          <w:sz w:val="22"/>
          <w:szCs w:val="22"/>
        </w:rPr>
        <w:t>e</w:t>
      </w: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b zavazuje nevyužít skutečností, o nichž se dozvěděl v důsledku jeho vztahu k objednateli založeného touto smlouvou, pro sebe či pro jiného ani neumožnit jejich využití třetím osobám.</w:t>
      </w:r>
    </w:p>
    <w:p w14:paraId="43B316AF" w14:textId="77777777" w:rsidR="0088596D" w:rsidRPr="00852126" w:rsidRDefault="00993E3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42" w:hanging="284"/>
        <w:jc w:val="both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Tyto povinnosti trvají i po skončení trvání této smlouvy po dobu tří let.</w:t>
      </w:r>
    </w:p>
    <w:p w14:paraId="487A0E57" w14:textId="4E5D3EB3" w:rsidR="0088596D" w:rsidRPr="00852126" w:rsidRDefault="00993E3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42" w:hanging="284"/>
        <w:jc w:val="both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Dodavatel služ</w:t>
      </w:r>
      <w:r w:rsidR="001928CA" w:rsidRPr="00852126">
        <w:rPr>
          <w:rFonts w:ascii="Theinhardt" w:eastAsia="AUdimat" w:hAnsi="Theinhardt" w:cs="Theinhardt"/>
          <w:color w:val="000000"/>
          <w:sz w:val="22"/>
          <w:szCs w:val="22"/>
        </w:rPr>
        <w:t>e</w:t>
      </w: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b se zavazuje, že pokud v souvislosti s realizací této smlouvy přijde do styku s osobními/citlivými údaji ve smyslu zákona č. 101/2000 Sb., o ochraně osobních údajů, ve znění pozdějších předpisů (dále jen „Zákon o ochraně osobních údajů“), učiní veškerá opatření, aby nedošlo k neoprávněnému nebo nahodilému přístupu k těmto údajům, k jejich změně, zničení či ztrátě, neoprávněným přenosům, k jejich jinému neoprávněnému zpracování, jakož i k jejich jinému zneužití. Dodavatel služ</w:t>
      </w:r>
      <w:r w:rsidR="001928CA" w:rsidRPr="00852126">
        <w:rPr>
          <w:rFonts w:ascii="Theinhardt" w:eastAsia="AUdimat" w:hAnsi="Theinhardt" w:cs="Theinhardt"/>
          <w:color w:val="000000"/>
          <w:sz w:val="22"/>
          <w:szCs w:val="22"/>
        </w:rPr>
        <w:t>e</w:t>
      </w: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b nese plnou odpovědnost za případné porušení této povinnosti z jeho strany.</w:t>
      </w:r>
    </w:p>
    <w:p w14:paraId="0D85067C" w14:textId="77777777" w:rsidR="0088596D" w:rsidRPr="00852126" w:rsidRDefault="0088596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heinhardt" w:eastAsia="AUdimat" w:hAnsi="Theinhardt" w:cs="Theinhardt"/>
          <w:color w:val="000000"/>
          <w:sz w:val="22"/>
          <w:szCs w:val="22"/>
        </w:rPr>
      </w:pPr>
    </w:p>
    <w:p w14:paraId="43568595" w14:textId="77777777" w:rsidR="0088596D" w:rsidRPr="00852126" w:rsidRDefault="00993E32">
      <w:pPr>
        <w:tabs>
          <w:tab w:val="left" w:pos="284"/>
          <w:tab w:val="left" w:pos="567"/>
        </w:tabs>
        <w:spacing w:before="120"/>
        <w:ind w:left="-142"/>
        <w:jc w:val="center"/>
        <w:rPr>
          <w:rFonts w:ascii="Theinhardt" w:eastAsia="AUdimat" w:hAnsi="Theinhardt" w:cs="Theinhardt"/>
          <w:b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b/>
          <w:color w:val="000000"/>
          <w:sz w:val="22"/>
          <w:szCs w:val="22"/>
        </w:rPr>
        <w:t>Článek VII.</w:t>
      </w:r>
      <w:r w:rsidRPr="00852126">
        <w:rPr>
          <w:rFonts w:ascii="Theinhardt" w:eastAsia="AUdimat" w:hAnsi="Theinhardt" w:cs="Theinhardt"/>
          <w:b/>
          <w:color w:val="000000"/>
          <w:sz w:val="22"/>
          <w:szCs w:val="22"/>
        </w:rPr>
        <w:br/>
        <w:t>Závěrečná ustanovení</w:t>
      </w:r>
    </w:p>
    <w:p w14:paraId="694F8A5B" w14:textId="77777777" w:rsidR="0088596D" w:rsidRPr="00852126" w:rsidRDefault="00993E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42" w:hanging="284"/>
        <w:jc w:val="both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O neupravených skutečnostech touto smlouvou, platí obecná ustanovení zákona č. 89/2012 Sb., občanský zákoník.</w:t>
      </w:r>
    </w:p>
    <w:p w14:paraId="2B7BAE1C" w14:textId="77777777" w:rsidR="0088596D" w:rsidRPr="00852126" w:rsidRDefault="00993E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42" w:hanging="284"/>
        <w:jc w:val="both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Tato smlouva může být měněna nebo doplňována pouze písemnými číslovanými dodatky podepsanými oběma smluvními stranami.</w:t>
      </w:r>
    </w:p>
    <w:p w14:paraId="42D334F9" w14:textId="77777777" w:rsidR="0088596D" w:rsidRPr="00852126" w:rsidRDefault="00993E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42" w:hanging="284"/>
        <w:jc w:val="both"/>
        <w:rPr>
          <w:rFonts w:ascii="Theinhardt" w:eastAsia="AUdimat" w:hAnsi="Theinhardt" w:cs="Theinhardt"/>
          <w:color w:val="000000"/>
          <w:sz w:val="22"/>
          <w:szCs w:val="22"/>
        </w:rPr>
      </w:pPr>
      <w:bookmarkStart w:id="0" w:name="_heading=h.30j0zll" w:colFirst="0" w:colLast="0"/>
      <w:bookmarkEnd w:id="0"/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V souladu se Zákonem o ochraně osobních údajů Dodavatel služby prohlašuje, že souhlasí se zpracováním a uchováním svých osobních údajů v evidenci objednatele. Zpracování a uchování osobních údajů bude sloužit pro vnitřní potřebu objednatele, a to v rozsahu nezbytném pro realizaci této smlouvy.</w:t>
      </w:r>
    </w:p>
    <w:p w14:paraId="3BA41544" w14:textId="77777777" w:rsidR="0088596D" w:rsidRPr="00852126" w:rsidRDefault="00993E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42" w:hanging="284"/>
        <w:jc w:val="both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Práva a povinnosti vyplývající z této smlouvy nelze bez písemného souhlasu druhé smluvní strany převádět na jinou osobu.</w:t>
      </w:r>
    </w:p>
    <w:p w14:paraId="20D09F42" w14:textId="77777777" w:rsidR="0088596D" w:rsidRPr="00852126" w:rsidRDefault="00993E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42" w:hanging="284"/>
        <w:jc w:val="both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Tato smlouva je závazná i pro případné právní nástupce objednatele.</w:t>
      </w:r>
    </w:p>
    <w:p w14:paraId="7E7A5A60" w14:textId="77777777" w:rsidR="0088596D" w:rsidRPr="00852126" w:rsidRDefault="00993E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42" w:hanging="284"/>
        <w:jc w:val="both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 xml:space="preserve">Tato smlouva se vyhotovuje ve dvou stejnopisech, z nichž jeden obdrží objednatel a druhý dodavatel služby při podpisu této smlouvy. </w:t>
      </w:r>
    </w:p>
    <w:p w14:paraId="36EA05F1" w14:textId="77777777" w:rsidR="0088596D" w:rsidRPr="00852126" w:rsidRDefault="00993E3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42" w:hanging="284"/>
        <w:jc w:val="both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Dodavatel prohlašuje, že souhlasí se zveřejněním této Smlouvy v rozsahu a za podmínek vyplývajících z příslušných právních předpisů (zejména zákona č. 340/2015 Sb., o registru smluv, v platném a účinném znění, či zákona č. 106/1999 Sb., o svobodném přístupu k informacím, v platném a účinném znění).</w:t>
      </w:r>
    </w:p>
    <w:p w14:paraId="5B41BA28" w14:textId="57A091DF" w:rsidR="00A9688A" w:rsidRPr="00852126" w:rsidRDefault="00993E32" w:rsidP="006928B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142" w:hanging="284"/>
        <w:jc w:val="both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Smluvní strany prohlašují, že tato smlouva byla sepsána podle jejich pravé a svobodné vůle, nikoliv v tísni a za nevýhodných podmínek. Smluvní strany prohlašují, že si smlouvu přečetly, s jejím obsahem souhlasí a na důkaz toho připojují vlastnoruční podpisy.</w:t>
      </w:r>
    </w:p>
    <w:p w14:paraId="72EB1562" w14:textId="22AF2A9F" w:rsidR="0088596D" w:rsidRPr="00852126" w:rsidRDefault="00993E32" w:rsidP="006928BE">
      <w:pPr>
        <w:tabs>
          <w:tab w:val="left" w:pos="284"/>
          <w:tab w:val="left" w:pos="567"/>
        </w:tabs>
        <w:spacing w:before="360"/>
        <w:ind w:left="-142"/>
        <w:jc w:val="both"/>
        <w:rPr>
          <w:rFonts w:ascii="Theinhardt" w:eastAsia="AUdimat" w:hAnsi="Theinhardt" w:cs="Theinhardt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V Praze d</w:t>
      </w:r>
      <w:r w:rsidRPr="00852126">
        <w:rPr>
          <w:rFonts w:ascii="Theinhardt" w:eastAsia="AUdimat" w:hAnsi="Theinhardt" w:cs="Theinhardt"/>
          <w:sz w:val="22"/>
          <w:szCs w:val="22"/>
        </w:rPr>
        <w:t xml:space="preserve">ne </w:t>
      </w:r>
    </w:p>
    <w:p w14:paraId="7BF18CA2" w14:textId="77777777" w:rsidR="006928BE" w:rsidRPr="00852126" w:rsidRDefault="006928BE" w:rsidP="006928BE">
      <w:pPr>
        <w:tabs>
          <w:tab w:val="left" w:pos="284"/>
          <w:tab w:val="left" w:pos="567"/>
        </w:tabs>
        <w:spacing w:before="360"/>
        <w:ind w:left="-142"/>
        <w:jc w:val="both"/>
        <w:rPr>
          <w:rFonts w:ascii="Theinhardt" w:eastAsia="AUdimat" w:hAnsi="Theinhardt" w:cs="Theinhardt"/>
          <w:sz w:val="22"/>
          <w:szCs w:val="22"/>
        </w:rPr>
      </w:pPr>
    </w:p>
    <w:p w14:paraId="3FA04A10" w14:textId="77777777" w:rsidR="0088596D" w:rsidRPr="00852126" w:rsidRDefault="00993E32">
      <w:pPr>
        <w:tabs>
          <w:tab w:val="left" w:pos="284"/>
          <w:tab w:val="left" w:pos="567"/>
          <w:tab w:val="center" w:pos="1985"/>
          <w:tab w:val="center" w:pos="5812"/>
        </w:tabs>
        <w:spacing w:before="240"/>
        <w:ind w:left="-142"/>
        <w:jc w:val="both"/>
        <w:rPr>
          <w:rFonts w:ascii="Theinhardt" w:eastAsia="AUdimat" w:hAnsi="Theinhardt" w:cs="Theinhardt"/>
          <w:b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b/>
          <w:color w:val="000000"/>
          <w:sz w:val="22"/>
          <w:szCs w:val="22"/>
        </w:rPr>
        <w:t>..................................................</w:t>
      </w:r>
      <w:r w:rsidRPr="00852126">
        <w:rPr>
          <w:rFonts w:ascii="Theinhardt" w:eastAsia="AUdimat" w:hAnsi="Theinhardt" w:cs="Theinhardt"/>
          <w:b/>
          <w:color w:val="000000"/>
          <w:sz w:val="22"/>
          <w:szCs w:val="22"/>
        </w:rPr>
        <w:tab/>
        <w:t xml:space="preserve">                                                                  ..................................................</w:t>
      </w:r>
    </w:p>
    <w:p w14:paraId="726928B9" w14:textId="5EE09AC3" w:rsidR="00632209" w:rsidRPr="00852126" w:rsidRDefault="00993E32" w:rsidP="00632209">
      <w:pPr>
        <w:tabs>
          <w:tab w:val="left" w:pos="284"/>
          <w:tab w:val="left" w:pos="567"/>
          <w:tab w:val="center" w:pos="1985"/>
          <w:tab w:val="center" w:pos="5812"/>
        </w:tabs>
        <w:spacing w:before="240"/>
        <w:ind w:left="-142"/>
        <w:jc w:val="both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podpis dodavatele</w:t>
      </w: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ab/>
      </w: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ab/>
      </w: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ab/>
        <w:t>podpis objednatele</w:t>
      </w:r>
    </w:p>
    <w:p w14:paraId="337E1703" w14:textId="16D86C6F" w:rsidR="0061683B" w:rsidRPr="00852126" w:rsidRDefault="00A6681D" w:rsidP="00632209">
      <w:pPr>
        <w:tabs>
          <w:tab w:val="left" w:pos="284"/>
          <w:tab w:val="left" w:pos="567"/>
          <w:tab w:val="center" w:pos="1985"/>
          <w:tab w:val="center" w:pos="5812"/>
        </w:tabs>
        <w:spacing w:before="240"/>
        <w:ind w:left="-142"/>
        <w:rPr>
          <w:rFonts w:ascii="Theinhardt" w:eastAsia="AUdimat" w:hAnsi="Theinhardt" w:cs="Theinhardt"/>
          <w:color w:val="000000"/>
          <w:sz w:val="22"/>
          <w:szCs w:val="22"/>
        </w:rPr>
      </w:pPr>
      <w:r>
        <w:rPr>
          <w:rFonts w:ascii="Theinhardt" w:eastAsia="AUdimat" w:hAnsi="Theinhardt" w:cs="Theinhardt"/>
          <w:color w:val="000000"/>
          <w:sz w:val="22"/>
          <w:szCs w:val="22"/>
        </w:rPr>
        <w:t xml:space="preserve">MgA. </w:t>
      </w:r>
      <w:r w:rsidR="00BC6F4B" w:rsidRPr="00852126">
        <w:rPr>
          <w:rFonts w:ascii="Theinhardt" w:eastAsia="AUdimat" w:hAnsi="Theinhardt" w:cs="Theinhardt"/>
          <w:color w:val="000000"/>
          <w:sz w:val="22"/>
          <w:szCs w:val="22"/>
        </w:rPr>
        <w:t xml:space="preserve">Elisa </w:t>
      </w:r>
      <w:proofErr w:type="spellStart"/>
      <w:r w:rsidR="00BC6F4B" w:rsidRPr="00852126">
        <w:rPr>
          <w:rFonts w:ascii="Theinhardt" w:eastAsia="AUdimat" w:hAnsi="Theinhardt" w:cs="Theinhardt"/>
          <w:color w:val="000000"/>
          <w:sz w:val="22"/>
          <w:szCs w:val="22"/>
        </w:rPr>
        <w:t>Speváková</w:t>
      </w:r>
      <w:proofErr w:type="spellEnd"/>
      <w:r w:rsidR="00C35205" w:rsidRPr="00852126">
        <w:rPr>
          <w:rFonts w:ascii="Theinhardt" w:eastAsia="AUdimat" w:hAnsi="Theinhardt" w:cs="Theinhardt"/>
          <w:color w:val="000000"/>
          <w:sz w:val="22"/>
          <w:szCs w:val="22"/>
        </w:rPr>
        <w:tab/>
      </w:r>
      <w:r w:rsidR="00632209" w:rsidRPr="00852126">
        <w:rPr>
          <w:rFonts w:ascii="Theinhardt" w:eastAsia="AUdimat" w:hAnsi="Theinhardt" w:cs="Theinhardt"/>
          <w:color w:val="000000"/>
          <w:sz w:val="22"/>
          <w:szCs w:val="22"/>
        </w:rPr>
        <w:tab/>
      </w:r>
      <w:r w:rsidR="00632209" w:rsidRPr="00852126">
        <w:rPr>
          <w:rFonts w:ascii="Theinhardt" w:eastAsia="AUdimat" w:hAnsi="Theinhardt" w:cs="Theinhardt"/>
          <w:color w:val="000000"/>
          <w:sz w:val="22"/>
          <w:szCs w:val="22"/>
        </w:rPr>
        <w:tab/>
        <w:t>MgA. Kristýna Kočová</w:t>
      </w:r>
      <w:r w:rsidR="00993E32" w:rsidRPr="00852126">
        <w:rPr>
          <w:rFonts w:ascii="Theinhardt" w:eastAsia="AUdimat" w:hAnsi="Theinhardt" w:cs="Theinhardt"/>
          <w:b/>
          <w:color w:val="000000"/>
          <w:sz w:val="22"/>
          <w:szCs w:val="22"/>
        </w:rPr>
        <w:br/>
      </w:r>
      <w:r w:rsidR="00993E32" w:rsidRPr="00852126">
        <w:rPr>
          <w:rFonts w:ascii="Theinhardt" w:eastAsia="AUdimat" w:hAnsi="Theinhardt" w:cs="Theinhardt"/>
          <w:b/>
          <w:color w:val="000000"/>
          <w:sz w:val="22"/>
          <w:szCs w:val="22"/>
        </w:rPr>
        <w:tab/>
      </w:r>
      <w:r w:rsidR="00993E32" w:rsidRPr="00852126">
        <w:rPr>
          <w:rFonts w:ascii="Theinhardt" w:eastAsia="AUdimat" w:hAnsi="Theinhardt" w:cs="Theinhardt"/>
          <w:b/>
          <w:color w:val="000000"/>
          <w:sz w:val="22"/>
          <w:szCs w:val="22"/>
        </w:rPr>
        <w:tab/>
      </w:r>
      <w:r w:rsidR="00993E32" w:rsidRPr="00852126">
        <w:rPr>
          <w:rFonts w:ascii="Theinhardt" w:eastAsia="AUdimat" w:hAnsi="Theinhardt" w:cs="Theinhardt"/>
          <w:b/>
          <w:color w:val="000000"/>
          <w:sz w:val="22"/>
          <w:szCs w:val="22"/>
        </w:rPr>
        <w:tab/>
      </w:r>
      <w:r w:rsidR="00993E32" w:rsidRPr="00852126">
        <w:rPr>
          <w:rFonts w:ascii="Theinhardt" w:eastAsia="AUdimat" w:hAnsi="Theinhardt" w:cs="Theinhardt"/>
          <w:b/>
          <w:color w:val="000000"/>
          <w:sz w:val="22"/>
          <w:szCs w:val="22"/>
        </w:rPr>
        <w:tab/>
      </w:r>
      <w:r w:rsidR="00993E32" w:rsidRPr="00852126">
        <w:rPr>
          <w:rFonts w:ascii="Theinhardt" w:eastAsia="AUdimat" w:hAnsi="Theinhardt" w:cs="Theinhardt"/>
          <w:b/>
          <w:color w:val="000000"/>
          <w:sz w:val="22"/>
          <w:szCs w:val="22"/>
        </w:rPr>
        <w:tab/>
      </w:r>
    </w:p>
    <w:p w14:paraId="1FA703BE" w14:textId="48F29A87" w:rsidR="001928CA" w:rsidRPr="00852126" w:rsidRDefault="001928CA" w:rsidP="001928CA">
      <w:pPr>
        <w:pageBreakBefore/>
        <w:tabs>
          <w:tab w:val="left" w:pos="284"/>
          <w:tab w:val="left" w:pos="567"/>
        </w:tabs>
        <w:spacing w:before="120"/>
        <w:ind w:left="-142"/>
        <w:jc w:val="both"/>
        <w:rPr>
          <w:rFonts w:ascii="Theinhardt" w:eastAsia="AUdimat" w:hAnsi="Theinhardt" w:cs="Theinhardt"/>
          <w:color w:val="000000"/>
          <w:sz w:val="22"/>
          <w:szCs w:val="22"/>
        </w:rPr>
      </w:pPr>
      <w:r w:rsidRPr="00852126">
        <w:rPr>
          <w:rFonts w:ascii="Theinhardt" w:eastAsia="AUdimat" w:hAnsi="Theinhardt" w:cs="Theinhardt"/>
          <w:sz w:val="22"/>
          <w:szCs w:val="22"/>
        </w:rPr>
        <w:lastRenderedPageBreak/>
        <w:t xml:space="preserve">Příloha č. 1 – </w:t>
      </w:r>
      <w:r w:rsidRPr="00852126">
        <w:rPr>
          <w:rFonts w:ascii="Theinhardt" w:eastAsia="AUdimat" w:hAnsi="Theinhardt" w:cs="Theinhardt"/>
          <w:color w:val="000000"/>
          <w:sz w:val="22"/>
          <w:szCs w:val="22"/>
        </w:rPr>
        <w:t>Výkaz počtu hodin poskytování služeb</w:t>
      </w:r>
    </w:p>
    <w:p w14:paraId="654758A1" w14:textId="77777777" w:rsidR="001928CA" w:rsidRPr="00852126" w:rsidRDefault="001928CA" w:rsidP="001928CA">
      <w:pPr>
        <w:tabs>
          <w:tab w:val="left" w:pos="284"/>
          <w:tab w:val="left" w:pos="567"/>
        </w:tabs>
        <w:spacing w:before="120"/>
        <w:ind w:left="-142"/>
        <w:jc w:val="both"/>
        <w:rPr>
          <w:rFonts w:ascii="Theinhardt" w:eastAsia="AUdimat" w:hAnsi="Theinhardt" w:cs="Theinhardt"/>
          <w:color w:val="000000"/>
          <w:sz w:val="12"/>
          <w:szCs w:val="12"/>
        </w:rPr>
      </w:pPr>
    </w:p>
    <w:tbl>
      <w:tblPr>
        <w:tblW w:w="9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830"/>
        <w:gridCol w:w="667"/>
        <w:gridCol w:w="2367"/>
        <w:gridCol w:w="4259"/>
      </w:tblGrid>
      <w:tr w:rsidR="001928CA" w:rsidRPr="00852126" w14:paraId="20489B95" w14:textId="77777777" w:rsidTr="00B73BD1">
        <w:trPr>
          <w:trHeight w:val="776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FF2B3" w14:textId="2D3C9992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0"/>
                <w:szCs w:val="20"/>
              </w:rPr>
            </w:pPr>
          </w:p>
          <w:tbl>
            <w:tblPr>
              <w:tblW w:w="104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5"/>
            </w:tblGrid>
            <w:tr w:rsidR="001928CA" w:rsidRPr="00852126" w14:paraId="41DDE65B" w14:textId="77777777" w:rsidTr="00B73BD1">
              <w:trPr>
                <w:trHeight w:val="831"/>
                <w:tblCellSpacing w:w="0" w:type="dxa"/>
              </w:trPr>
              <w:tc>
                <w:tcPr>
                  <w:tcW w:w="104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AEB18A" w14:textId="77777777" w:rsidR="001928CA" w:rsidRPr="00852126" w:rsidRDefault="001928CA" w:rsidP="00B73BD1">
                  <w:pPr>
                    <w:rPr>
                      <w:rFonts w:ascii="Theinhardt" w:eastAsia="Times New Roman" w:hAnsi="Theinhardt" w:cs="Theinhardt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8DB081F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0"/>
                <w:szCs w:val="20"/>
              </w:rPr>
            </w:pPr>
          </w:p>
        </w:tc>
        <w:tc>
          <w:tcPr>
            <w:tcW w:w="8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B050" w:fill="00B050"/>
            <w:noWrap/>
            <w:vAlign w:val="center"/>
            <w:hideMark/>
          </w:tcPr>
          <w:p w14:paraId="05D39004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b/>
                <w:bCs/>
                <w:color w:val="FFFFFF"/>
                <w:sz w:val="30"/>
                <w:szCs w:val="30"/>
              </w:rPr>
            </w:pPr>
            <w:r w:rsidRPr="00852126">
              <w:rPr>
                <w:rFonts w:ascii="Theinhardt" w:eastAsia="Times New Roman" w:hAnsi="Theinhardt" w:cs="Theinhardt"/>
                <w:b/>
                <w:bCs/>
                <w:color w:val="FFFFFF"/>
                <w:sz w:val="30"/>
                <w:szCs w:val="30"/>
              </w:rPr>
              <w:t>Výkaz počtu hodin poskytování služeb</w:t>
            </w:r>
          </w:p>
        </w:tc>
      </w:tr>
      <w:tr w:rsidR="001928CA" w:rsidRPr="00852126" w14:paraId="20310A5D" w14:textId="77777777" w:rsidTr="00B73BD1">
        <w:trPr>
          <w:trHeight w:val="300"/>
        </w:trPr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856A77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8C8C8" w:fill="C8C8C8"/>
            <w:noWrap/>
            <w:vAlign w:val="bottom"/>
            <w:hideMark/>
          </w:tcPr>
          <w:p w14:paraId="455207B6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b/>
                <w:bCs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b/>
                <w:bCs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72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8C8C8" w:fill="C8C8C8"/>
            <w:noWrap/>
            <w:vAlign w:val="bottom"/>
            <w:hideMark/>
          </w:tcPr>
          <w:p w14:paraId="76FE9899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b/>
                <w:bCs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2DA06DF3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67511A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8C8C8" w:fill="C8C8C8"/>
            <w:noWrap/>
            <w:vAlign w:val="bottom"/>
            <w:hideMark/>
          </w:tcPr>
          <w:p w14:paraId="5A9F1894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b/>
                <w:bCs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b/>
                <w:bCs/>
                <w:color w:val="000000"/>
                <w:sz w:val="22"/>
                <w:szCs w:val="22"/>
              </w:rPr>
              <w:t>měsíc</w:t>
            </w:r>
          </w:p>
        </w:tc>
        <w:tc>
          <w:tcPr>
            <w:tcW w:w="72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8C8C8" w:fill="C8C8C8"/>
            <w:noWrap/>
            <w:vAlign w:val="bottom"/>
            <w:hideMark/>
          </w:tcPr>
          <w:p w14:paraId="247EC035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b/>
                <w:bCs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14F542C1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A6BBB2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8C8C8" w:fill="C8C8C8"/>
            <w:noWrap/>
            <w:vAlign w:val="bottom"/>
            <w:hideMark/>
          </w:tcPr>
          <w:p w14:paraId="5D7B9340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b/>
                <w:bCs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b/>
                <w:bCs/>
                <w:color w:val="000000"/>
                <w:sz w:val="22"/>
                <w:szCs w:val="22"/>
              </w:rPr>
              <w:t>rok</w:t>
            </w:r>
          </w:p>
        </w:tc>
        <w:tc>
          <w:tcPr>
            <w:tcW w:w="729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8C8C8" w:fill="C8C8C8"/>
            <w:noWrap/>
            <w:vAlign w:val="bottom"/>
            <w:hideMark/>
          </w:tcPr>
          <w:p w14:paraId="68CCD431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b/>
                <w:bCs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13072A0E" w14:textId="77777777" w:rsidTr="00B73BD1">
        <w:trPr>
          <w:trHeight w:val="554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8C8C8" w:fill="C8C8C8"/>
            <w:vAlign w:val="bottom"/>
            <w:hideMark/>
          </w:tcPr>
          <w:p w14:paraId="200EAF9F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b/>
                <w:bCs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b/>
                <w:bCs/>
                <w:color w:val="000000"/>
                <w:sz w:val="22"/>
                <w:szCs w:val="22"/>
              </w:rPr>
              <w:t>den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8C8C8" w:fill="C8C8C8"/>
            <w:vAlign w:val="bottom"/>
            <w:hideMark/>
          </w:tcPr>
          <w:p w14:paraId="6E742181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b/>
                <w:bCs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b/>
                <w:bCs/>
                <w:color w:val="000000"/>
                <w:sz w:val="22"/>
                <w:szCs w:val="22"/>
              </w:rPr>
              <w:t>počet hodin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8C8C8" w:fill="C8C8C8"/>
            <w:vAlign w:val="bottom"/>
            <w:hideMark/>
          </w:tcPr>
          <w:p w14:paraId="78363B49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b/>
                <w:bCs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b/>
                <w:bCs/>
                <w:color w:val="000000"/>
                <w:sz w:val="22"/>
                <w:szCs w:val="22"/>
              </w:rPr>
              <w:t>čas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8C8C8" w:fill="C8C8C8"/>
            <w:vAlign w:val="bottom"/>
            <w:hideMark/>
          </w:tcPr>
          <w:p w14:paraId="538D4F3D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b/>
                <w:bCs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b/>
                <w:bCs/>
                <w:color w:val="000000"/>
                <w:sz w:val="22"/>
                <w:szCs w:val="22"/>
              </w:rPr>
              <w:t>název projektu / oblast agendy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8C8C8" w:fill="C8C8C8"/>
            <w:vAlign w:val="bottom"/>
            <w:hideMark/>
          </w:tcPr>
          <w:p w14:paraId="6F25AA67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b/>
                <w:bCs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b/>
                <w:bCs/>
                <w:color w:val="000000"/>
                <w:sz w:val="22"/>
                <w:szCs w:val="22"/>
              </w:rPr>
              <w:t>popis realizovaných činností</w:t>
            </w:r>
          </w:p>
        </w:tc>
      </w:tr>
      <w:tr w:rsidR="001928CA" w:rsidRPr="00852126" w14:paraId="5D0FC6FC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E51FA6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4FBDE80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D939B02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AE72A4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70F264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577D748A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519786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2ED1AF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2F16E5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8E0D74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A7192B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52EF3956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ECBDE2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3D4238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22443F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A116ED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F96D9F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7B3731F1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778A82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097725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2C78B9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20001D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B12722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6676742F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83EEA7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3673922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07BD98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014DCE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12ACA9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6DB2E1BF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541007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F7DE64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1B9A37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F7FB70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75A7CA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5818C4D2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8B55C6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664A4C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3D1663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909719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50190B1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02D2E94D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438321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0A76D5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7DAE29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8F1A23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EA6FE0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4FBFE8B2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4CEB70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F117EF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2FFA20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9B7059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31CE30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1383078C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4EC5AA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01CBCC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F41E10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321431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3D8779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6FEFF3B6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C5507D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0ADA1F4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2ADF9C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D158EF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4DACED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6626348D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65715F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BB24D9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8182C8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E830659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97806B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7C662CDF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BB0174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13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339F20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6C5C40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61BE3FB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060121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72CA1D7D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D457B3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35756C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E692C3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993D93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DBF81C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6AF58678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DA4403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700DD2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CEE5E4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5622F0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871320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04871241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348D3F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1B9A34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F7A173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F9631C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5C1B10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1D950DD7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D3E822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17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7D33BE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370697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04D7C0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D5B532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5A247254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40C04D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1E49F4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07D269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11FC589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E9E5DF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60DCCD2A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42E3F2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19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82F962C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A11F54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3BB168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11BF18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1D1F01EA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B7AF1C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C57965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8CF08B0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8CF81F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1768E0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2811F04B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992BC0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303FA4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0636B8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6DF6E6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4A5CF63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2576B5A2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3C333A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22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862AEF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29FE20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06C94C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6540E0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6C2A4BE6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22BCD3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23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DB2D49B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92EBA4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66C84C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1EDDA7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5B0A1434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AE968A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D1F9D6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6A4815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5C1017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E2209F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22AF0C54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B601AF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D6B6B8B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098C95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632F34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16E07D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35642B12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78C217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BAC273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C2844D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5A659A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F88071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04EAEF66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D517F9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27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059269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E8FA6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69B469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3B0992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0CBCB33E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EEC8DD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28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9C9197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8A1663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89A737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E094E3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50F5E4C5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34FEC8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1F0D69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C5224F3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6053C6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7A9012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7A5D6F04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56386E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BF85C9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7C6835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FB67A37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7B7C53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712AEC1D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78D7D3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31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FC9EBB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62471F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4F4C46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2DF55F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  <w:sz w:val="22"/>
                <w:szCs w:val="22"/>
              </w:rPr>
              <w:t> </w:t>
            </w:r>
          </w:p>
        </w:tc>
      </w:tr>
      <w:tr w:rsidR="001928CA" w:rsidRPr="00852126" w14:paraId="329F2E48" w14:textId="77777777" w:rsidTr="00B73BD1">
        <w:trPr>
          <w:trHeight w:val="300"/>
        </w:trPr>
        <w:tc>
          <w:tcPr>
            <w:tcW w:w="11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8C8C8" w:fill="C8C8C8"/>
            <w:noWrap/>
            <w:vAlign w:val="bottom"/>
            <w:hideMark/>
          </w:tcPr>
          <w:p w14:paraId="16B113FE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b/>
                <w:bCs/>
                <w:color w:val="000000"/>
              </w:rPr>
            </w:pPr>
            <w:r w:rsidRPr="00852126">
              <w:rPr>
                <w:rFonts w:ascii="Theinhardt" w:eastAsia="Times New Roman" w:hAnsi="Theinhardt" w:cs="Theinhardt"/>
                <w:b/>
                <w:bCs/>
                <w:color w:val="000000"/>
              </w:rPr>
              <w:t>celkem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B050" w:fill="00B050"/>
            <w:noWrap/>
            <w:vAlign w:val="bottom"/>
            <w:hideMark/>
          </w:tcPr>
          <w:p w14:paraId="2258A9B4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b/>
                <w:bCs/>
                <w:color w:val="FFFFFF"/>
              </w:rPr>
            </w:pPr>
            <w:r w:rsidRPr="00852126">
              <w:rPr>
                <w:rFonts w:ascii="Theinhardt" w:eastAsia="Times New Roman" w:hAnsi="Theinhardt" w:cs="Theinhardt"/>
                <w:b/>
                <w:bCs/>
                <w:color w:val="FFFFFF"/>
              </w:rPr>
              <w:t>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B050" w:fill="00B050"/>
            <w:noWrap/>
            <w:vAlign w:val="bottom"/>
            <w:hideMark/>
          </w:tcPr>
          <w:p w14:paraId="3E731B3C" w14:textId="77777777" w:rsidR="001928CA" w:rsidRPr="00852126" w:rsidRDefault="001928CA" w:rsidP="00B73BD1">
            <w:pPr>
              <w:jc w:val="center"/>
              <w:rPr>
                <w:rFonts w:ascii="Theinhardt" w:eastAsia="Times New Roman" w:hAnsi="Theinhardt" w:cs="Theinhardt"/>
                <w:b/>
                <w:bCs/>
                <w:color w:val="FFFFFF"/>
              </w:rPr>
            </w:pPr>
            <w:r w:rsidRPr="00852126">
              <w:rPr>
                <w:rFonts w:ascii="Theinhardt" w:eastAsia="Times New Roman" w:hAnsi="Theinhardt" w:cs="Theinhardt"/>
                <w:b/>
                <w:bCs/>
                <w:color w:val="FFFFFF"/>
              </w:rPr>
              <w:t> 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E89327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</w:rPr>
              <w:t> </w:t>
            </w:r>
          </w:p>
        </w:tc>
        <w:tc>
          <w:tcPr>
            <w:tcW w:w="42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622E83" w14:textId="77777777" w:rsidR="001928CA" w:rsidRPr="00852126" w:rsidRDefault="001928CA" w:rsidP="00B73BD1">
            <w:pPr>
              <w:rPr>
                <w:rFonts w:ascii="Theinhardt" w:eastAsia="Times New Roman" w:hAnsi="Theinhardt" w:cs="Theinhardt"/>
                <w:color w:val="000000"/>
              </w:rPr>
            </w:pPr>
            <w:r w:rsidRPr="00852126">
              <w:rPr>
                <w:rFonts w:ascii="Theinhardt" w:eastAsia="Times New Roman" w:hAnsi="Theinhardt" w:cs="Theinhardt"/>
                <w:color w:val="000000"/>
              </w:rPr>
              <w:t> </w:t>
            </w:r>
          </w:p>
        </w:tc>
      </w:tr>
    </w:tbl>
    <w:p w14:paraId="30E729E4" w14:textId="2F3EE014" w:rsidR="0061683B" w:rsidRPr="00852126" w:rsidRDefault="0061683B" w:rsidP="0061683B">
      <w:pPr>
        <w:tabs>
          <w:tab w:val="left" w:pos="284"/>
          <w:tab w:val="left" w:pos="567"/>
          <w:tab w:val="center" w:pos="1985"/>
          <w:tab w:val="center" w:pos="5812"/>
        </w:tabs>
        <w:spacing w:before="240"/>
        <w:ind w:left="-142"/>
        <w:rPr>
          <w:rFonts w:ascii="Theinhardt" w:eastAsia="AUdimat" w:hAnsi="Theinhardt" w:cs="Theinhardt"/>
          <w:sz w:val="22"/>
          <w:szCs w:val="22"/>
        </w:rPr>
      </w:pPr>
    </w:p>
    <w:p w14:paraId="2A01149A" w14:textId="06803263" w:rsidR="0061683B" w:rsidRPr="00852126" w:rsidRDefault="0061683B" w:rsidP="001928CA">
      <w:pPr>
        <w:tabs>
          <w:tab w:val="left" w:pos="284"/>
          <w:tab w:val="left" w:pos="567"/>
          <w:tab w:val="center" w:pos="1985"/>
          <w:tab w:val="center" w:pos="5812"/>
        </w:tabs>
        <w:spacing w:before="240"/>
        <w:rPr>
          <w:rFonts w:ascii="Theinhardt" w:eastAsia="AUdimat" w:hAnsi="Theinhardt" w:cs="Theinhardt"/>
          <w:sz w:val="22"/>
          <w:szCs w:val="22"/>
        </w:rPr>
      </w:pPr>
    </w:p>
    <w:sectPr w:rsidR="0061683B" w:rsidRPr="00852126" w:rsidSect="006928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418" w:bottom="993" w:left="1134" w:header="709" w:footer="357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75A4B" w14:textId="77777777" w:rsidR="00F14DC3" w:rsidRDefault="00F14DC3">
      <w:r>
        <w:separator/>
      </w:r>
    </w:p>
  </w:endnote>
  <w:endnote w:type="continuationSeparator" w:id="0">
    <w:p w14:paraId="4B46FA33" w14:textId="77777777" w:rsidR="00F14DC3" w:rsidRDefault="00F1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itPro-Med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einhardt">
    <w:altName w:val="Calibri"/>
    <w:panose1 w:val="00000000000000000000"/>
    <w:charset w:val="00"/>
    <w:family w:val="swiss"/>
    <w:notTrueType/>
    <w:pitch w:val="variable"/>
    <w:sig w:usb0="A00000EF" w:usb1="4000206B" w:usb2="00000008" w:usb3="00000000" w:csb0="00000093" w:csb1="00000000"/>
  </w:font>
  <w:font w:name="UnitPro">
    <w:altName w:val="Calibri"/>
    <w:charset w:val="00"/>
    <w:family w:val="auto"/>
    <w:pitch w:val="default"/>
  </w:font>
  <w:font w:name="Theinhardt Regular">
    <w:altName w:val="Cambria"/>
    <w:panose1 w:val="00000000000000000000"/>
    <w:charset w:val="00"/>
    <w:family w:val="roman"/>
    <w:notTrueType/>
    <w:pitch w:val="default"/>
  </w:font>
  <w:font w:name="AUdima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02097" w14:textId="77777777" w:rsidR="0088596D" w:rsidRDefault="00993E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78EF90E" w14:textId="77777777" w:rsidR="0088596D" w:rsidRDefault="008859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2AF09" w14:textId="77777777" w:rsidR="0088596D" w:rsidRDefault="00993E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426"/>
      <w:jc w:val="right"/>
      <w:rPr>
        <w:rFonts w:ascii="AUdimat" w:eastAsia="AUdimat" w:hAnsi="AUdimat" w:cs="AUdimat"/>
        <w:b/>
        <w:sz w:val="21"/>
        <w:szCs w:val="21"/>
      </w:rPr>
    </w:pPr>
    <w:r>
      <w:rPr>
        <w:rFonts w:ascii="AUdimat" w:eastAsia="AUdimat" w:hAnsi="AUdimat" w:cs="AUdimat"/>
        <w:b/>
        <w:sz w:val="21"/>
        <w:szCs w:val="21"/>
      </w:rPr>
      <w:fldChar w:fldCharType="begin"/>
    </w:r>
    <w:r>
      <w:rPr>
        <w:rFonts w:ascii="AUdimat" w:eastAsia="AUdimat" w:hAnsi="AUdimat" w:cs="AUdimat"/>
        <w:b/>
        <w:sz w:val="21"/>
        <w:szCs w:val="21"/>
      </w:rPr>
      <w:instrText>PAGE</w:instrText>
    </w:r>
    <w:r>
      <w:rPr>
        <w:rFonts w:ascii="AUdimat" w:eastAsia="AUdimat" w:hAnsi="AUdimat" w:cs="AUdimat"/>
        <w:b/>
        <w:sz w:val="21"/>
        <w:szCs w:val="21"/>
      </w:rPr>
      <w:fldChar w:fldCharType="separate"/>
    </w:r>
    <w:r w:rsidR="000B6DD1">
      <w:rPr>
        <w:rFonts w:ascii="AUdimat" w:eastAsia="AUdimat" w:hAnsi="AUdimat" w:cs="AUdimat"/>
        <w:b/>
        <w:noProof/>
        <w:sz w:val="21"/>
        <w:szCs w:val="21"/>
      </w:rPr>
      <w:t>1</w:t>
    </w:r>
    <w:r>
      <w:rPr>
        <w:rFonts w:ascii="AUdimat" w:eastAsia="AUdimat" w:hAnsi="AUdimat" w:cs="AUdimat"/>
        <w:b/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CB4A" w14:textId="77777777" w:rsidR="0088596D" w:rsidRDefault="008859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95368" w14:textId="77777777" w:rsidR="00F14DC3" w:rsidRDefault="00F14DC3">
      <w:r>
        <w:separator/>
      </w:r>
    </w:p>
  </w:footnote>
  <w:footnote w:type="continuationSeparator" w:id="0">
    <w:p w14:paraId="4E3C42A4" w14:textId="77777777" w:rsidR="00F14DC3" w:rsidRDefault="00F14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8D6BB" w14:textId="77777777" w:rsidR="0088596D" w:rsidRDefault="008859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0FB6" w14:textId="77777777" w:rsidR="0088596D" w:rsidRDefault="008859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Udimat" w:eastAsia="AUdimat" w:hAnsi="AUdimat" w:cs="AUdimat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928B" w14:textId="79469778" w:rsidR="0088596D" w:rsidRDefault="006141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61414B">
      <w:rPr>
        <w:noProof/>
        <w:color w:val="000000"/>
      </w:rPr>
      <w:drawing>
        <wp:inline distT="0" distB="0" distL="0" distR="0" wp14:anchorId="242DD4DA" wp14:editId="411FA006">
          <wp:extent cx="489436" cy="495300"/>
          <wp:effectExtent l="0" t="0" r="6350" b="0"/>
          <wp:docPr id="781775145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775145" name="Obrázek 1" descr="Obsah obrázku černá, tma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7415" cy="50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244"/>
    <w:multiLevelType w:val="multilevel"/>
    <w:tmpl w:val="6B7C1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706C3"/>
    <w:multiLevelType w:val="multilevel"/>
    <w:tmpl w:val="3622388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  <w:vertAlign w:val="baseline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sz w:val="20"/>
        <w:szCs w:val="20"/>
        <w:vertAlign w:val="baseline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sz w:val="20"/>
        <w:szCs w:val="20"/>
        <w:vertAlign w:val="baseline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sz w:val="20"/>
        <w:szCs w:val="20"/>
        <w:vertAlign w:val="baseline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sz w:val="20"/>
        <w:szCs w:val="20"/>
        <w:vertAlign w:val="baseline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sz w:val="20"/>
        <w:szCs w:val="20"/>
        <w:vertAlign w:val="baseline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sz w:val="20"/>
        <w:szCs w:val="20"/>
        <w:vertAlign w:val="baseline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sz w:val="20"/>
        <w:szCs w:val="20"/>
        <w:vertAlign w:val="baseline"/>
      </w:rPr>
    </w:lvl>
  </w:abstractNum>
  <w:abstractNum w:abstractNumId="2" w15:restartNumberingAfterBreak="0">
    <w:nsid w:val="1F715FF4"/>
    <w:multiLevelType w:val="hybridMultilevel"/>
    <w:tmpl w:val="DCB0FC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07046C"/>
    <w:multiLevelType w:val="multilevel"/>
    <w:tmpl w:val="ABB23F1A"/>
    <w:lvl w:ilvl="0">
      <w:start w:val="1"/>
      <w:numFmt w:val="decimal"/>
      <w:lvlText w:val="%1."/>
      <w:lvlJc w:val="left"/>
      <w:pPr>
        <w:ind w:left="179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899" w:hanging="360"/>
      </w:pPr>
    </w:lvl>
    <w:lvl w:ilvl="2">
      <w:start w:val="1"/>
      <w:numFmt w:val="lowerRoman"/>
      <w:lvlText w:val="%3."/>
      <w:lvlJc w:val="right"/>
      <w:pPr>
        <w:ind w:left="1619" w:hanging="180"/>
      </w:pPr>
    </w:lvl>
    <w:lvl w:ilvl="3">
      <w:start w:val="1"/>
      <w:numFmt w:val="decimal"/>
      <w:lvlText w:val="%4."/>
      <w:lvlJc w:val="left"/>
      <w:pPr>
        <w:ind w:left="2339" w:hanging="360"/>
      </w:pPr>
    </w:lvl>
    <w:lvl w:ilvl="4">
      <w:start w:val="1"/>
      <w:numFmt w:val="lowerLetter"/>
      <w:lvlText w:val="%5."/>
      <w:lvlJc w:val="left"/>
      <w:pPr>
        <w:ind w:left="3059" w:hanging="360"/>
      </w:pPr>
    </w:lvl>
    <w:lvl w:ilvl="5">
      <w:start w:val="1"/>
      <w:numFmt w:val="lowerRoman"/>
      <w:lvlText w:val="%6."/>
      <w:lvlJc w:val="right"/>
      <w:pPr>
        <w:ind w:left="3779" w:hanging="180"/>
      </w:pPr>
    </w:lvl>
    <w:lvl w:ilvl="6">
      <w:start w:val="1"/>
      <w:numFmt w:val="decimal"/>
      <w:lvlText w:val="%7."/>
      <w:lvlJc w:val="left"/>
      <w:pPr>
        <w:ind w:left="4499" w:hanging="360"/>
      </w:pPr>
    </w:lvl>
    <w:lvl w:ilvl="7">
      <w:start w:val="1"/>
      <w:numFmt w:val="lowerLetter"/>
      <w:lvlText w:val="%8."/>
      <w:lvlJc w:val="left"/>
      <w:pPr>
        <w:ind w:left="5219" w:hanging="360"/>
      </w:pPr>
    </w:lvl>
    <w:lvl w:ilvl="8">
      <w:start w:val="1"/>
      <w:numFmt w:val="lowerRoman"/>
      <w:lvlText w:val="%9."/>
      <w:lvlJc w:val="right"/>
      <w:pPr>
        <w:ind w:left="5939" w:hanging="180"/>
      </w:pPr>
    </w:lvl>
  </w:abstractNum>
  <w:abstractNum w:abstractNumId="4" w15:restartNumberingAfterBreak="0">
    <w:nsid w:val="270A5DC8"/>
    <w:multiLevelType w:val="multilevel"/>
    <w:tmpl w:val="29367F12"/>
    <w:lvl w:ilvl="0">
      <w:start w:val="1"/>
      <w:numFmt w:val="decimal"/>
      <w:lvlText w:val="%1."/>
      <w:lvlJc w:val="left"/>
      <w:pPr>
        <w:ind w:left="179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899" w:hanging="360"/>
      </w:pPr>
    </w:lvl>
    <w:lvl w:ilvl="2">
      <w:start w:val="1"/>
      <w:numFmt w:val="lowerRoman"/>
      <w:lvlText w:val="%3."/>
      <w:lvlJc w:val="right"/>
      <w:pPr>
        <w:ind w:left="1619" w:hanging="180"/>
      </w:pPr>
    </w:lvl>
    <w:lvl w:ilvl="3">
      <w:start w:val="1"/>
      <w:numFmt w:val="decimal"/>
      <w:lvlText w:val="%4."/>
      <w:lvlJc w:val="left"/>
      <w:pPr>
        <w:ind w:left="2339" w:hanging="360"/>
      </w:pPr>
    </w:lvl>
    <w:lvl w:ilvl="4">
      <w:start w:val="1"/>
      <w:numFmt w:val="lowerLetter"/>
      <w:lvlText w:val="%5."/>
      <w:lvlJc w:val="left"/>
      <w:pPr>
        <w:ind w:left="3059" w:hanging="360"/>
      </w:pPr>
    </w:lvl>
    <w:lvl w:ilvl="5">
      <w:start w:val="1"/>
      <w:numFmt w:val="lowerRoman"/>
      <w:lvlText w:val="%6."/>
      <w:lvlJc w:val="right"/>
      <w:pPr>
        <w:ind w:left="3779" w:hanging="180"/>
      </w:pPr>
    </w:lvl>
    <w:lvl w:ilvl="6">
      <w:start w:val="1"/>
      <w:numFmt w:val="decimal"/>
      <w:lvlText w:val="%7."/>
      <w:lvlJc w:val="left"/>
      <w:pPr>
        <w:ind w:left="4499" w:hanging="360"/>
      </w:pPr>
    </w:lvl>
    <w:lvl w:ilvl="7">
      <w:start w:val="1"/>
      <w:numFmt w:val="lowerLetter"/>
      <w:lvlText w:val="%8."/>
      <w:lvlJc w:val="left"/>
      <w:pPr>
        <w:ind w:left="5219" w:hanging="360"/>
      </w:pPr>
    </w:lvl>
    <w:lvl w:ilvl="8">
      <w:start w:val="1"/>
      <w:numFmt w:val="lowerRoman"/>
      <w:lvlText w:val="%9."/>
      <w:lvlJc w:val="right"/>
      <w:pPr>
        <w:ind w:left="5939" w:hanging="180"/>
      </w:pPr>
    </w:lvl>
  </w:abstractNum>
  <w:abstractNum w:abstractNumId="5" w15:restartNumberingAfterBreak="0">
    <w:nsid w:val="2F5C2762"/>
    <w:multiLevelType w:val="multilevel"/>
    <w:tmpl w:val="03AC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668DB"/>
    <w:multiLevelType w:val="multilevel"/>
    <w:tmpl w:val="E510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1610D"/>
    <w:multiLevelType w:val="hybridMultilevel"/>
    <w:tmpl w:val="DAD47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41D3E"/>
    <w:multiLevelType w:val="multilevel"/>
    <w:tmpl w:val="F45C16A2"/>
    <w:lvl w:ilvl="0">
      <w:start w:val="1"/>
      <w:numFmt w:val="decimal"/>
      <w:pStyle w:val="OBRZEK-nzev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02823"/>
    <w:multiLevelType w:val="multilevel"/>
    <w:tmpl w:val="E9900060"/>
    <w:lvl w:ilvl="0">
      <w:start w:val="1"/>
      <w:numFmt w:val="decimal"/>
      <w:pStyle w:val="TOMBPnadpis1"/>
      <w:lvlText w:val="%1."/>
      <w:lvlJc w:val="left"/>
      <w:pPr>
        <w:ind w:left="17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899" w:hanging="360"/>
      </w:pPr>
    </w:lvl>
    <w:lvl w:ilvl="2">
      <w:start w:val="1"/>
      <w:numFmt w:val="lowerRoman"/>
      <w:lvlText w:val="%3."/>
      <w:lvlJc w:val="right"/>
      <w:pPr>
        <w:ind w:left="1619" w:hanging="180"/>
      </w:pPr>
    </w:lvl>
    <w:lvl w:ilvl="3">
      <w:start w:val="1"/>
      <w:numFmt w:val="decimal"/>
      <w:lvlText w:val="%4."/>
      <w:lvlJc w:val="left"/>
      <w:pPr>
        <w:ind w:left="2339" w:hanging="360"/>
      </w:pPr>
    </w:lvl>
    <w:lvl w:ilvl="4">
      <w:start w:val="1"/>
      <w:numFmt w:val="lowerLetter"/>
      <w:lvlText w:val="%5."/>
      <w:lvlJc w:val="left"/>
      <w:pPr>
        <w:ind w:left="3059" w:hanging="360"/>
      </w:pPr>
    </w:lvl>
    <w:lvl w:ilvl="5">
      <w:start w:val="1"/>
      <w:numFmt w:val="lowerRoman"/>
      <w:lvlText w:val="%6."/>
      <w:lvlJc w:val="right"/>
      <w:pPr>
        <w:ind w:left="3779" w:hanging="180"/>
      </w:pPr>
    </w:lvl>
    <w:lvl w:ilvl="6">
      <w:start w:val="1"/>
      <w:numFmt w:val="decimal"/>
      <w:lvlText w:val="%7."/>
      <w:lvlJc w:val="left"/>
      <w:pPr>
        <w:ind w:left="4499" w:hanging="360"/>
      </w:pPr>
    </w:lvl>
    <w:lvl w:ilvl="7">
      <w:start w:val="1"/>
      <w:numFmt w:val="lowerLetter"/>
      <w:lvlText w:val="%8."/>
      <w:lvlJc w:val="left"/>
      <w:pPr>
        <w:ind w:left="5219" w:hanging="360"/>
      </w:pPr>
    </w:lvl>
    <w:lvl w:ilvl="8">
      <w:start w:val="1"/>
      <w:numFmt w:val="lowerRoman"/>
      <w:lvlText w:val="%9."/>
      <w:lvlJc w:val="right"/>
      <w:pPr>
        <w:ind w:left="5939" w:hanging="180"/>
      </w:pPr>
    </w:lvl>
  </w:abstractNum>
  <w:abstractNum w:abstractNumId="10" w15:restartNumberingAfterBreak="0">
    <w:nsid w:val="58F32FA8"/>
    <w:multiLevelType w:val="multilevel"/>
    <w:tmpl w:val="E9D2CE4A"/>
    <w:lvl w:ilvl="0">
      <w:start w:val="1"/>
      <w:numFmt w:val="upperRoman"/>
      <w:pStyle w:val="GRAF-nzevaslo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5018C"/>
    <w:multiLevelType w:val="multilevel"/>
    <w:tmpl w:val="000C3E8E"/>
    <w:lvl w:ilvl="0">
      <w:start w:val="1"/>
      <w:numFmt w:val="decimal"/>
      <w:lvlText w:val="%1."/>
      <w:lvlJc w:val="left"/>
      <w:pPr>
        <w:ind w:left="17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899" w:hanging="360"/>
      </w:pPr>
    </w:lvl>
    <w:lvl w:ilvl="2">
      <w:start w:val="1"/>
      <w:numFmt w:val="lowerRoman"/>
      <w:lvlText w:val="%3."/>
      <w:lvlJc w:val="right"/>
      <w:pPr>
        <w:ind w:left="1619" w:hanging="180"/>
      </w:pPr>
    </w:lvl>
    <w:lvl w:ilvl="3">
      <w:start w:val="1"/>
      <w:numFmt w:val="decimal"/>
      <w:lvlText w:val="%4."/>
      <w:lvlJc w:val="left"/>
      <w:pPr>
        <w:ind w:left="2339" w:hanging="360"/>
      </w:pPr>
    </w:lvl>
    <w:lvl w:ilvl="4">
      <w:start w:val="1"/>
      <w:numFmt w:val="lowerLetter"/>
      <w:lvlText w:val="%5."/>
      <w:lvlJc w:val="left"/>
      <w:pPr>
        <w:ind w:left="3059" w:hanging="360"/>
      </w:pPr>
    </w:lvl>
    <w:lvl w:ilvl="5">
      <w:start w:val="1"/>
      <w:numFmt w:val="lowerRoman"/>
      <w:lvlText w:val="%6."/>
      <w:lvlJc w:val="right"/>
      <w:pPr>
        <w:ind w:left="3779" w:hanging="180"/>
      </w:pPr>
    </w:lvl>
    <w:lvl w:ilvl="6">
      <w:start w:val="1"/>
      <w:numFmt w:val="decimal"/>
      <w:lvlText w:val="%7."/>
      <w:lvlJc w:val="left"/>
      <w:pPr>
        <w:ind w:left="4499" w:hanging="360"/>
      </w:pPr>
    </w:lvl>
    <w:lvl w:ilvl="7">
      <w:start w:val="1"/>
      <w:numFmt w:val="lowerLetter"/>
      <w:lvlText w:val="%8."/>
      <w:lvlJc w:val="left"/>
      <w:pPr>
        <w:ind w:left="5219" w:hanging="360"/>
      </w:pPr>
    </w:lvl>
    <w:lvl w:ilvl="8">
      <w:start w:val="1"/>
      <w:numFmt w:val="lowerRoman"/>
      <w:lvlText w:val="%9."/>
      <w:lvlJc w:val="right"/>
      <w:pPr>
        <w:ind w:left="5939" w:hanging="180"/>
      </w:pPr>
    </w:lvl>
  </w:abstractNum>
  <w:abstractNum w:abstractNumId="12" w15:restartNumberingAfterBreak="0">
    <w:nsid w:val="593518D6"/>
    <w:multiLevelType w:val="multilevel"/>
    <w:tmpl w:val="181E9580"/>
    <w:lvl w:ilvl="0">
      <w:start w:val="1"/>
      <w:numFmt w:val="decimal"/>
      <w:lvlText w:val="%1."/>
      <w:lvlJc w:val="left"/>
      <w:pPr>
        <w:ind w:left="179" w:hanging="360"/>
      </w:pPr>
      <w:rPr>
        <w:sz w:val="22"/>
        <w:szCs w:val="22"/>
      </w:rPr>
    </w:lvl>
    <w:lvl w:ilvl="1">
      <w:start w:val="1"/>
      <w:numFmt w:val="lowerLetter"/>
      <w:pStyle w:val="TOMBPnadpis2"/>
      <w:lvlText w:val="%2."/>
      <w:lvlJc w:val="left"/>
      <w:pPr>
        <w:ind w:left="899" w:hanging="360"/>
      </w:pPr>
    </w:lvl>
    <w:lvl w:ilvl="2">
      <w:start w:val="1"/>
      <w:numFmt w:val="lowerRoman"/>
      <w:lvlText w:val="%3."/>
      <w:lvlJc w:val="right"/>
      <w:pPr>
        <w:ind w:left="1619" w:hanging="180"/>
      </w:pPr>
    </w:lvl>
    <w:lvl w:ilvl="3">
      <w:start w:val="1"/>
      <w:numFmt w:val="decimal"/>
      <w:lvlText w:val="%4."/>
      <w:lvlJc w:val="left"/>
      <w:pPr>
        <w:ind w:left="2339" w:hanging="360"/>
      </w:pPr>
    </w:lvl>
    <w:lvl w:ilvl="4">
      <w:start w:val="1"/>
      <w:numFmt w:val="lowerLetter"/>
      <w:lvlText w:val="%5."/>
      <w:lvlJc w:val="left"/>
      <w:pPr>
        <w:ind w:left="3059" w:hanging="360"/>
      </w:pPr>
    </w:lvl>
    <w:lvl w:ilvl="5">
      <w:start w:val="1"/>
      <w:numFmt w:val="lowerRoman"/>
      <w:lvlText w:val="%6."/>
      <w:lvlJc w:val="right"/>
      <w:pPr>
        <w:ind w:left="3779" w:hanging="180"/>
      </w:pPr>
    </w:lvl>
    <w:lvl w:ilvl="6">
      <w:start w:val="1"/>
      <w:numFmt w:val="decimal"/>
      <w:lvlText w:val="%7."/>
      <w:lvlJc w:val="left"/>
      <w:pPr>
        <w:ind w:left="4499" w:hanging="360"/>
      </w:pPr>
    </w:lvl>
    <w:lvl w:ilvl="7">
      <w:start w:val="1"/>
      <w:numFmt w:val="lowerLetter"/>
      <w:lvlText w:val="%8."/>
      <w:lvlJc w:val="left"/>
      <w:pPr>
        <w:ind w:left="5219" w:hanging="360"/>
      </w:pPr>
    </w:lvl>
    <w:lvl w:ilvl="8">
      <w:start w:val="1"/>
      <w:numFmt w:val="lowerRoman"/>
      <w:lvlText w:val="%9."/>
      <w:lvlJc w:val="right"/>
      <w:pPr>
        <w:ind w:left="5939" w:hanging="180"/>
      </w:pPr>
    </w:lvl>
  </w:abstractNum>
  <w:abstractNum w:abstractNumId="13" w15:restartNumberingAfterBreak="0">
    <w:nsid w:val="5ACB7292"/>
    <w:multiLevelType w:val="multilevel"/>
    <w:tmpl w:val="13C834EE"/>
    <w:lvl w:ilvl="0">
      <w:start w:val="1"/>
      <w:numFmt w:val="decimal"/>
      <w:lvlText w:val="%1."/>
      <w:lvlJc w:val="left"/>
      <w:pPr>
        <w:ind w:left="179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899" w:hanging="360"/>
      </w:pPr>
    </w:lvl>
    <w:lvl w:ilvl="2">
      <w:start w:val="1"/>
      <w:numFmt w:val="lowerRoman"/>
      <w:lvlText w:val="%3."/>
      <w:lvlJc w:val="right"/>
      <w:pPr>
        <w:ind w:left="1619" w:hanging="180"/>
      </w:pPr>
    </w:lvl>
    <w:lvl w:ilvl="3">
      <w:start w:val="1"/>
      <w:numFmt w:val="decimal"/>
      <w:lvlText w:val="%4."/>
      <w:lvlJc w:val="left"/>
      <w:pPr>
        <w:ind w:left="2339" w:hanging="360"/>
      </w:pPr>
    </w:lvl>
    <w:lvl w:ilvl="4">
      <w:start w:val="1"/>
      <w:numFmt w:val="lowerLetter"/>
      <w:lvlText w:val="%5."/>
      <w:lvlJc w:val="left"/>
      <w:pPr>
        <w:ind w:left="3059" w:hanging="360"/>
      </w:pPr>
    </w:lvl>
    <w:lvl w:ilvl="5">
      <w:start w:val="1"/>
      <w:numFmt w:val="lowerRoman"/>
      <w:lvlText w:val="%6."/>
      <w:lvlJc w:val="right"/>
      <w:pPr>
        <w:ind w:left="3779" w:hanging="180"/>
      </w:pPr>
    </w:lvl>
    <w:lvl w:ilvl="6">
      <w:start w:val="1"/>
      <w:numFmt w:val="decimal"/>
      <w:lvlText w:val="%7."/>
      <w:lvlJc w:val="left"/>
      <w:pPr>
        <w:ind w:left="4499" w:hanging="360"/>
      </w:pPr>
    </w:lvl>
    <w:lvl w:ilvl="7">
      <w:start w:val="1"/>
      <w:numFmt w:val="lowerLetter"/>
      <w:lvlText w:val="%8."/>
      <w:lvlJc w:val="left"/>
      <w:pPr>
        <w:ind w:left="5219" w:hanging="360"/>
      </w:pPr>
    </w:lvl>
    <w:lvl w:ilvl="8">
      <w:start w:val="1"/>
      <w:numFmt w:val="lowerRoman"/>
      <w:lvlText w:val="%9."/>
      <w:lvlJc w:val="right"/>
      <w:pPr>
        <w:ind w:left="5939" w:hanging="180"/>
      </w:pPr>
    </w:lvl>
  </w:abstractNum>
  <w:abstractNum w:abstractNumId="14" w15:restartNumberingAfterBreak="0">
    <w:nsid w:val="6FE27A5F"/>
    <w:multiLevelType w:val="multilevel"/>
    <w:tmpl w:val="B7604DFA"/>
    <w:lvl w:ilvl="0">
      <w:start w:val="1"/>
      <w:numFmt w:val="decimal"/>
      <w:lvlText w:val="%1."/>
      <w:lvlJc w:val="left"/>
      <w:pPr>
        <w:ind w:left="179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899" w:hanging="360"/>
      </w:pPr>
    </w:lvl>
    <w:lvl w:ilvl="2">
      <w:start w:val="1"/>
      <w:numFmt w:val="lowerRoman"/>
      <w:lvlText w:val="%3."/>
      <w:lvlJc w:val="right"/>
      <w:pPr>
        <w:ind w:left="1619" w:hanging="180"/>
      </w:pPr>
    </w:lvl>
    <w:lvl w:ilvl="3">
      <w:start w:val="1"/>
      <w:numFmt w:val="decimal"/>
      <w:lvlText w:val="%4."/>
      <w:lvlJc w:val="left"/>
      <w:pPr>
        <w:ind w:left="2339" w:hanging="360"/>
      </w:pPr>
    </w:lvl>
    <w:lvl w:ilvl="4">
      <w:start w:val="1"/>
      <w:numFmt w:val="lowerLetter"/>
      <w:lvlText w:val="%5."/>
      <w:lvlJc w:val="left"/>
      <w:pPr>
        <w:ind w:left="3059" w:hanging="360"/>
      </w:pPr>
    </w:lvl>
    <w:lvl w:ilvl="5">
      <w:start w:val="1"/>
      <w:numFmt w:val="lowerRoman"/>
      <w:lvlText w:val="%6."/>
      <w:lvlJc w:val="right"/>
      <w:pPr>
        <w:ind w:left="3779" w:hanging="180"/>
      </w:pPr>
    </w:lvl>
    <w:lvl w:ilvl="6">
      <w:start w:val="1"/>
      <w:numFmt w:val="decimal"/>
      <w:lvlText w:val="%7."/>
      <w:lvlJc w:val="left"/>
      <w:pPr>
        <w:ind w:left="4499" w:hanging="360"/>
      </w:pPr>
    </w:lvl>
    <w:lvl w:ilvl="7">
      <w:start w:val="1"/>
      <w:numFmt w:val="lowerLetter"/>
      <w:lvlText w:val="%8."/>
      <w:lvlJc w:val="left"/>
      <w:pPr>
        <w:ind w:left="5219" w:hanging="360"/>
      </w:pPr>
    </w:lvl>
    <w:lvl w:ilvl="8">
      <w:start w:val="1"/>
      <w:numFmt w:val="lowerRoman"/>
      <w:lvlText w:val="%9."/>
      <w:lvlJc w:val="right"/>
      <w:pPr>
        <w:ind w:left="5939" w:hanging="180"/>
      </w:pPr>
    </w:lvl>
  </w:abstractNum>
  <w:abstractNum w:abstractNumId="15" w15:restartNumberingAfterBreak="0">
    <w:nsid w:val="7C367BDA"/>
    <w:multiLevelType w:val="multilevel"/>
    <w:tmpl w:val="433E35BA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 w16cid:durableId="871193141">
    <w:abstractNumId w:val="9"/>
  </w:num>
  <w:num w:numId="2" w16cid:durableId="2119716344">
    <w:abstractNumId w:val="12"/>
  </w:num>
  <w:num w:numId="3" w16cid:durableId="1105997861">
    <w:abstractNumId w:val="15"/>
  </w:num>
  <w:num w:numId="4" w16cid:durableId="1746145380">
    <w:abstractNumId w:val="11"/>
  </w:num>
  <w:num w:numId="5" w16cid:durableId="501089391">
    <w:abstractNumId w:val="4"/>
  </w:num>
  <w:num w:numId="6" w16cid:durableId="1537082389">
    <w:abstractNumId w:val="3"/>
  </w:num>
  <w:num w:numId="7" w16cid:durableId="1825121049">
    <w:abstractNumId w:val="0"/>
  </w:num>
  <w:num w:numId="8" w16cid:durableId="506018050">
    <w:abstractNumId w:val="1"/>
  </w:num>
  <w:num w:numId="9" w16cid:durableId="1720396476">
    <w:abstractNumId w:val="8"/>
  </w:num>
  <w:num w:numId="10" w16cid:durableId="410351720">
    <w:abstractNumId w:val="10"/>
  </w:num>
  <w:num w:numId="11" w16cid:durableId="336617487">
    <w:abstractNumId w:val="6"/>
  </w:num>
  <w:num w:numId="12" w16cid:durableId="92557833">
    <w:abstractNumId w:val="14"/>
  </w:num>
  <w:num w:numId="13" w16cid:durableId="2368001">
    <w:abstractNumId w:val="13"/>
  </w:num>
  <w:num w:numId="14" w16cid:durableId="1424260271">
    <w:abstractNumId w:val="2"/>
  </w:num>
  <w:num w:numId="15" w16cid:durableId="945380319">
    <w:abstractNumId w:val="7"/>
  </w:num>
  <w:num w:numId="16" w16cid:durableId="321199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6D"/>
    <w:rsid w:val="00043382"/>
    <w:rsid w:val="00057937"/>
    <w:rsid w:val="000B6606"/>
    <w:rsid w:val="000B6DD1"/>
    <w:rsid w:val="000B71F7"/>
    <w:rsid w:val="001179B1"/>
    <w:rsid w:val="00123050"/>
    <w:rsid w:val="00125791"/>
    <w:rsid w:val="001579D0"/>
    <w:rsid w:val="001928CA"/>
    <w:rsid w:val="00196662"/>
    <w:rsid w:val="001C70D6"/>
    <w:rsid w:val="001D13C4"/>
    <w:rsid w:val="001F7A67"/>
    <w:rsid w:val="00223821"/>
    <w:rsid w:val="002547F4"/>
    <w:rsid w:val="002667F1"/>
    <w:rsid w:val="00267694"/>
    <w:rsid w:val="002800E2"/>
    <w:rsid w:val="002D2A74"/>
    <w:rsid w:val="00306260"/>
    <w:rsid w:val="003A4255"/>
    <w:rsid w:val="003B03E1"/>
    <w:rsid w:val="003D1647"/>
    <w:rsid w:val="003D36A5"/>
    <w:rsid w:val="00410B01"/>
    <w:rsid w:val="004A05C9"/>
    <w:rsid w:val="004B3024"/>
    <w:rsid w:val="00521056"/>
    <w:rsid w:val="00525996"/>
    <w:rsid w:val="0056791B"/>
    <w:rsid w:val="005A6466"/>
    <w:rsid w:val="005C00DB"/>
    <w:rsid w:val="005C594E"/>
    <w:rsid w:val="0061414B"/>
    <w:rsid w:val="0061683B"/>
    <w:rsid w:val="006313F3"/>
    <w:rsid w:val="00632209"/>
    <w:rsid w:val="00650FD1"/>
    <w:rsid w:val="0066325D"/>
    <w:rsid w:val="006659E2"/>
    <w:rsid w:val="006928BE"/>
    <w:rsid w:val="006E4E5A"/>
    <w:rsid w:val="00713237"/>
    <w:rsid w:val="00777B14"/>
    <w:rsid w:val="007C4510"/>
    <w:rsid w:val="007D0736"/>
    <w:rsid w:val="00852126"/>
    <w:rsid w:val="0088596D"/>
    <w:rsid w:val="00894A6C"/>
    <w:rsid w:val="008C0964"/>
    <w:rsid w:val="009041FB"/>
    <w:rsid w:val="009066FA"/>
    <w:rsid w:val="009250AE"/>
    <w:rsid w:val="00993E32"/>
    <w:rsid w:val="009A4DE5"/>
    <w:rsid w:val="009D3704"/>
    <w:rsid w:val="00A6681D"/>
    <w:rsid w:val="00A775B1"/>
    <w:rsid w:val="00A91EB9"/>
    <w:rsid w:val="00A9688A"/>
    <w:rsid w:val="00AC3855"/>
    <w:rsid w:val="00B775B8"/>
    <w:rsid w:val="00B92C7E"/>
    <w:rsid w:val="00BA0E7E"/>
    <w:rsid w:val="00BC6F4B"/>
    <w:rsid w:val="00C35205"/>
    <w:rsid w:val="00C44AA0"/>
    <w:rsid w:val="00C74039"/>
    <w:rsid w:val="00CD7E42"/>
    <w:rsid w:val="00E84F2B"/>
    <w:rsid w:val="00EA6A6A"/>
    <w:rsid w:val="00F0078A"/>
    <w:rsid w:val="00F14DC3"/>
    <w:rsid w:val="00F53682"/>
    <w:rsid w:val="00F90C4C"/>
    <w:rsid w:val="00F97C08"/>
    <w:rsid w:val="00FA516A"/>
    <w:rsid w:val="00FA5365"/>
    <w:rsid w:val="00FA7B0F"/>
    <w:rsid w:val="00FD2842"/>
    <w:rsid w:val="00FE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BB8E"/>
  <w15:docId w15:val="{E1BE99A8-DB0E-4973-85E2-4DECEA65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36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9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MBP">
    <w:name w:val="TOM BP"/>
    <w:basedOn w:val="Normln"/>
    <w:qFormat/>
    <w:rsid w:val="00A436C7"/>
    <w:pPr>
      <w:tabs>
        <w:tab w:val="right" w:pos="1128"/>
        <w:tab w:val="right" w:pos="1701"/>
        <w:tab w:val="right" w:pos="9072"/>
      </w:tabs>
      <w:spacing w:before="120" w:after="60" w:line="276" w:lineRule="auto"/>
      <w:jc w:val="both"/>
    </w:pPr>
  </w:style>
  <w:style w:type="paragraph" w:customStyle="1" w:styleId="TOMBPnadpis1">
    <w:name w:val="TOM BP nadpis 1"/>
    <w:basedOn w:val="Nadpis1"/>
    <w:next w:val="TOMBPnadpis2"/>
    <w:autoRedefine/>
    <w:qFormat/>
    <w:rsid w:val="00A013DD"/>
    <w:pPr>
      <w:numPr>
        <w:numId w:val="1"/>
      </w:numPr>
      <w:spacing w:before="120" w:after="60" w:line="720" w:lineRule="auto"/>
    </w:pPr>
    <w:rPr>
      <w:rFonts w:asciiTheme="minorHAnsi" w:hAnsiTheme="minorHAnsi"/>
      <w:b/>
      <w:color w:val="000000" w:themeColor="text1"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A436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9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OMBPnadpis2">
    <w:name w:val="TOM BP nadpis 2"/>
    <w:basedOn w:val="Nadpis2"/>
    <w:next w:val="TOMBP"/>
    <w:autoRedefine/>
    <w:qFormat/>
    <w:rsid w:val="00A436C7"/>
    <w:pPr>
      <w:numPr>
        <w:ilvl w:val="1"/>
        <w:numId w:val="2"/>
      </w:numPr>
      <w:spacing w:before="120" w:after="60" w:line="276" w:lineRule="auto"/>
    </w:pPr>
    <w:rPr>
      <w:rFonts w:asciiTheme="minorHAnsi" w:hAnsiTheme="minorHAnsi"/>
      <w:b/>
      <w:color w:val="000000" w:themeColor="text1"/>
    </w:rPr>
  </w:style>
  <w:style w:type="paragraph" w:styleId="Zhlav">
    <w:name w:val="header"/>
    <w:basedOn w:val="Normln"/>
    <w:link w:val="ZhlavChar"/>
    <w:uiPriority w:val="99"/>
    <w:unhideWhenUsed/>
    <w:rsid w:val="00B463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636F"/>
  </w:style>
  <w:style w:type="paragraph" w:styleId="Zpat">
    <w:name w:val="footer"/>
    <w:basedOn w:val="Normln"/>
    <w:link w:val="ZpatChar"/>
    <w:uiPriority w:val="99"/>
    <w:unhideWhenUsed/>
    <w:rsid w:val="00B463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636F"/>
  </w:style>
  <w:style w:type="character" w:customStyle="1" w:styleId="nowrap">
    <w:name w:val="nowrap"/>
    <w:basedOn w:val="Standardnpsmoodstavce"/>
    <w:rsid w:val="007C5AF5"/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A23554"/>
    <w:pPr>
      <w:overflowPunct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Cs w:val="20"/>
      <w:lang w:eastAsia="en-US"/>
    </w:rPr>
  </w:style>
  <w:style w:type="paragraph" w:styleId="Zkladntext">
    <w:name w:val="Body Text"/>
    <w:basedOn w:val="Normln"/>
    <w:link w:val="ZkladntextChar"/>
    <w:uiPriority w:val="1"/>
    <w:unhideWhenUsed/>
    <w:qFormat/>
    <w:rsid w:val="00A23554"/>
    <w:pPr>
      <w:widowControl w:val="0"/>
      <w:overflowPunct w:val="0"/>
      <w:autoSpaceDE w:val="0"/>
      <w:autoSpaceDN w:val="0"/>
      <w:adjustRightInd w:val="0"/>
      <w:ind w:left="20"/>
    </w:pPr>
    <w:rPr>
      <w:rFonts w:ascii="UnitPro-Medi" w:eastAsia="UnitPro-Medi" w:hAnsi="UnitPro-Medi" w:cs="Times New Roman"/>
      <w:sz w:val="15"/>
      <w:szCs w:val="15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23554"/>
    <w:rPr>
      <w:rFonts w:ascii="UnitPro-Medi" w:eastAsia="UnitPro-Medi" w:hAnsi="UnitPro-Medi" w:cs="Times New Roman"/>
      <w:sz w:val="15"/>
      <w:szCs w:val="15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A4A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4A8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4A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4A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4A8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4A8C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4A8C"/>
    <w:rPr>
      <w:rFonts w:ascii="Times New Roman" w:hAnsi="Times New Roman" w:cs="Times New Roman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5F5ABA"/>
  </w:style>
  <w:style w:type="paragraph" w:customStyle="1" w:styleId="Default">
    <w:name w:val="Default"/>
    <w:rsid w:val="00C72470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customStyle="1" w:styleId="OBRZEK-nzev">
    <w:name w:val="OBRÁZEK - název"/>
    <w:next w:val="Normln"/>
    <w:qFormat/>
    <w:rsid w:val="0061683B"/>
    <w:pPr>
      <w:keepNext/>
      <w:numPr>
        <w:numId w:val="9"/>
      </w:numPr>
      <w:spacing w:before="240" w:line="276" w:lineRule="auto"/>
    </w:pPr>
    <w:rPr>
      <w:rFonts w:ascii="Theinhardt" w:eastAsia="Times New Roman" w:hAnsi="Theinhardt" w:cs="UnitPro"/>
      <w:iCs/>
      <w:sz w:val="20"/>
      <w:szCs w:val="20"/>
      <w:lang w:val="en-US"/>
    </w:rPr>
  </w:style>
  <w:style w:type="paragraph" w:customStyle="1" w:styleId="GRAF-nzevaslo">
    <w:name w:val="GRAF - název a číslo"/>
    <w:next w:val="Normln"/>
    <w:qFormat/>
    <w:rsid w:val="0061683B"/>
    <w:pPr>
      <w:keepNext/>
      <w:numPr>
        <w:numId w:val="10"/>
      </w:numPr>
      <w:spacing w:before="240" w:line="276" w:lineRule="auto"/>
    </w:pPr>
    <w:rPr>
      <w:rFonts w:ascii="Theinhardt Regular" w:eastAsia="Times New Roman" w:hAnsi="Theinhardt Regular" w:cs="UnitPro"/>
      <w:iCs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unhideWhenUsed/>
    <w:rsid w:val="007C451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C451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352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lDj8tSedoXaVekeIL8VlVftmmw==">AMUW2mVz3dTDHA5PeX1OraV0VCF5AGOEvxdRnWX0xn1O96MwvVUDRIMTMUIsHv19KMkpy0hbatGL/fjsoJN6SuEebjyISeZ1UDDtjdIUR94qrS8JH0U6anHIQ6+tu4Z4njzIMCJGW7WD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8C67131-C811-4D3E-B632-7D85E2E4F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1096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Švandová</dc:creator>
  <cp:lastModifiedBy>Alena Vodová</cp:lastModifiedBy>
  <cp:revision>24</cp:revision>
  <cp:lastPrinted>2023-01-16T09:32:00Z</cp:lastPrinted>
  <dcterms:created xsi:type="dcterms:W3CDTF">2025-11-17T20:17:00Z</dcterms:created>
  <dcterms:modified xsi:type="dcterms:W3CDTF">2025-11-24T20:09:00Z</dcterms:modified>
</cp:coreProperties>
</file>