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180" w:after="0" w:line="240" w:lineRule="auto"/>
        <w:ind w:left="0" w:right="0" w:firstLine="0"/>
        <w:jc w:val="center"/>
      </w:pPr>
      <w:r>
        <w:rPr>
          <w:color w:val="000000"/>
          <w:spacing w:val="0"/>
          <w:w w:val="100"/>
          <w:position w:val="0"/>
          <w:shd w:val="clear" w:color="auto" w:fill="auto"/>
          <w:lang w:val="cs-CZ" w:eastAsia="cs-CZ" w:bidi="cs-CZ"/>
        </w:rPr>
        <w:t>Dodatek č. 4 ke</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SMLOUVĚ O DÍLO</w:t>
      </w:r>
    </w:p>
    <w:p>
      <w:pPr>
        <w:pStyle w:val="Style8"/>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0"/>
      <w:bookmarkEnd w:id="1"/>
      <w:bookmarkEnd w:id="2"/>
    </w:p>
    <w:p>
      <w:pPr>
        <w:pStyle w:val="Style8"/>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1059/2023</w:t>
      </w:r>
      <w:bookmarkEnd w:id="3"/>
      <w:bookmarkEnd w:id="4"/>
      <w:bookmarkEnd w:id="5"/>
    </w:p>
    <w:p>
      <w:pPr>
        <w:pStyle w:val="Style8"/>
        <w:keepNext/>
        <w:keepLines/>
        <w:widowControl w:val="0"/>
        <w:shd w:val="clear" w:color="auto" w:fill="auto"/>
        <w:bidi w:val="0"/>
        <w:spacing w:before="0" w:after="46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 8ZHS230013</w:t>
      </w:r>
      <w:bookmarkEnd w:id="6"/>
      <w:bookmarkEnd w:id="7"/>
      <w:bookmarkEnd w:id="8"/>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12"/>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“Jez na Ohři (Kadaň – dolní)”</w:t>
      </w:r>
    </w:p>
    <w:tbl>
      <w:tblPr>
        <w:tblOverlap w:val="never"/>
        <w:jc w:val="left"/>
        <w:tblLayout w:type="fixed"/>
      </w:tblPr>
      <w:tblGrid>
        <w:gridCol w:w="2837"/>
        <w:gridCol w:w="3509"/>
      </w:tblGrid>
      <w:tr>
        <w:trPr>
          <w:trHeight w:val="1118"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bookmarkStart w:id="10" w:name="bookmark10"/>
            <w:r>
              <w:rPr>
                <w:b/>
                <w:bCs/>
                <w:color w:val="000000"/>
                <w:spacing w:val="0"/>
                <w:w w:val="100"/>
                <w:position w:val="0"/>
                <w:shd w:val="clear" w:color="auto" w:fill="auto"/>
                <w:lang w:val="cs-CZ" w:eastAsia="cs-CZ" w:bidi="cs-CZ"/>
              </w:rPr>
              <w:t xml:space="preserve">Smluvní strany: objednatel: </w:t>
            </w:r>
            <w:r>
              <w:rPr>
                <w:color w:val="000000"/>
                <w:spacing w:val="0"/>
                <w:w w:val="100"/>
                <w:position w:val="0"/>
                <w:shd w:val="clear" w:color="auto" w:fill="auto"/>
                <w:lang w:val="cs-CZ" w:eastAsia="cs-CZ" w:bidi="cs-CZ"/>
              </w:rPr>
              <w:t>sídlo: statutární orgán:</w:t>
            </w:r>
            <w:bookmarkEnd w:id="10"/>
          </w:p>
        </w:tc>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p>
        </w:tc>
      </w:tr>
    </w:tbl>
    <w:p>
      <w:pPr>
        <w:pStyle w:val="Style14"/>
        <w:keepNext w:val="0"/>
        <w:keepLines w:val="0"/>
        <w:widowControl w:val="0"/>
        <w:shd w:val="clear" w:color="auto" w:fill="auto"/>
        <w:bidi w:val="0"/>
        <w:spacing w:before="0" w:after="0" w:line="240" w:lineRule="auto"/>
        <w:ind w:left="0" w:right="0" w:firstLine="0"/>
        <w:jc w:val="left"/>
      </w:pPr>
      <w:bookmarkStart w:id="9" w:name="bookmark9"/>
      <w:r>
        <w:rPr>
          <w:color w:val="000000"/>
          <w:spacing w:val="0"/>
          <w:w w:val="100"/>
          <w:position w:val="0"/>
          <w:shd w:val="clear" w:color="auto" w:fill="auto"/>
          <w:lang w:val="cs-CZ" w:eastAsia="cs-CZ" w:bidi="cs-CZ"/>
        </w:rPr>
        <w:t>oprávněn k podpisu smlouvy a k jednání o věcech smluvních: oprávněn jednat o věcech technických:</w:t>
      </w:r>
      <w:bookmarkEnd w:id="9"/>
    </w:p>
    <w:p>
      <w:pPr>
        <w:widowControl w:val="0"/>
        <w:spacing w:after="179" w:line="1" w:lineRule="exact"/>
      </w:pPr>
    </w:p>
    <w:p>
      <w:pPr>
        <w:pStyle w:val="Style10"/>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10"/>
        <w:keepNext w:val="0"/>
        <w:keepLines w:val="0"/>
        <w:widowControl w:val="0"/>
        <w:shd w:val="clear" w:color="auto" w:fill="auto"/>
        <w:tabs>
          <w:tab w:pos="27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10"/>
        <w:keepNext w:val="0"/>
        <w:keepLines w:val="0"/>
        <w:widowControl w:val="0"/>
        <w:shd w:val="clear" w:color="auto" w:fill="auto"/>
        <w:tabs>
          <w:tab w:pos="2794"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1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1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w:t>
      </w:r>
    </w:p>
    <w:p>
      <w:pPr>
        <w:pStyle w:val="Style8"/>
        <w:keepNext/>
        <w:keepLines/>
        <w:widowControl w:val="0"/>
        <w:shd w:val="clear" w:color="auto" w:fill="auto"/>
        <w:bidi w:val="0"/>
        <w:spacing w:before="0" w:line="240" w:lineRule="auto"/>
        <w:ind w:left="0" w:right="0" w:firstLine="0"/>
        <w:jc w:val="left"/>
      </w:pPr>
      <w:bookmarkStart w:id="11" w:name="bookmark11"/>
      <w:bookmarkStart w:id="12" w:name="bookmark12"/>
      <w:bookmarkStart w:id="13" w:name="bookmark13"/>
      <w:r>
        <w:rPr>
          <w:b/>
          <w:bCs/>
          <w:color w:val="000000"/>
          <w:spacing w:val="0"/>
          <w:w w:val="100"/>
          <w:position w:val="0"/>
          <w:shd w:val="clear" w:color="auto" w:fill="auto"/>
          <w:lang w:val="cs-CZ" w:eastAsia="cs-CZ" w:bidi="cs-CZ"/>
        </w:rPr>
        <w:t>a</w:t>
      </w:r>
      <w:bookmarkEnd w:id="11"/>
      <w:bookmarkEnd w:id="12"/>
      <w:bookmarkEnd w:id="13"/>
    </w:p>
    <w:p>
      <w:pPr>
        <w:pStyle w:val="Style8"/>
        <w:keepNext/>
        <w:keepLines/>
        <w:widowControl w:val="0"/>
        <w:shd w:val="clear" w:color="auto" w:fill="auto"/>
        <w:tabs>
          <w:tab w:pos="2794" w:val="left"/>
        </w:tabs>
        <w:bidi w:val="0"/>
        <w:spacing w:before="0" w:after="0" w:line="240" w:lineRule="auto"/>
        <w:ind w:left="0" w:right="0" w:firstLine="0"/>
        <w:jc w:val="left"/>
      </w:pPr>
      <w:bookmarkStart w:id="11" w:name="bookmark11"/>
      <w:bookmarkStart w:id="12" w:name="bookmark12"/>
      <w:r>
        <w:rPr>
          <w:b/>
          <w:bCs/>
          <w:color w:val="000000"/>
          <w:spacing w:val="0"/>
          <w:w w:val="100"/>
          <w:position w:val="0"/>
          <w:shd w:val="clear" w:color="auto" w:fill="auto"/>
          <w:lang w:val="cs-CZ" w:eastAsia="cs-CZ" w:bidi="cs-CZ"/>
        </w:rPr>
        <w:t>zhotovitel:</w:t>
        <w:tab/>
        <w:t>SMP Vodohospodářské stavby a.s.</w:t>
      </w:r>
      <w:bookmarkEnd w:id="11"/>
      <w:bookmarkEnd w:id="12"/>
    </w:p>
    <w:p>
      <w:pPr>
        <w:pStyle w:val="Style10"/>
        <w:keepNext w:val="0"/>
        <w:keepLines w:val="0"/>
        <w:widowControl w:val="0"/>
        <w:shd w:val="clear" w:color="auto" w:fill="auto"/>
        <w:tabs>
          <w:tab w:pos="2794" w:val="left"/>
        </w:tabs>
        <w:bidi w:val="0"/>
        <w:spacing w:before="0" w:after="60" w:line="240" w:lineRule="auto"/>
        <w:ind w:left="0" w:right="0" w:firstLine="0"/>
        <w:jc w:val="left"/>
      </w:pPr>
      <w:r>
        <w:rPr>
          <w:color w:val="000000"/>
          <w:spacing w:val="0"/>
          <w:w w:val="100"/>
          <w:position w:val="0"/>
          <w:shd w:val="clear" w:color="auto" w:fill="auto"/>
          <w:lang w:val="cs-CZ" w:eastAsia="cs-CZ" w:bidi="cs-CZ"/>
        </w:rPr>
        <w:t>sídlo:</w:t>
        <w:tab/>
        <w:t>Vyskočilova 1566, Michle, 140 00 Praha 4</w:t>
      </w:r>
    </w:p>
    <w:p>
      <w:pPr>
        <w:pStyle w:val="Style1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oprávněn(i) k podpisu smlouvy: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smluvních: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technických: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stavbyvedoucí: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geotechnik:</w:t>
      </w:r>
    </w:p>
    <w:p>
      <w:pPr>
        <w:pStyle w:val="Style10"/>
        <w:keepNext w:val="0"/>
        <w:keepLines w:val="0"/>
        <w:widowControl w:val="0"/>
        <w:shd w:val="clear" w:color="auto" w:fill="auto"/>
        <w:tabs>
          <w:tab w:pos="2794"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11637471</w:t>
      </w:r>
    </w:p>
    <w:p>
      <w:pPr>
        <w:pStyle w:val="Style10"/>
        <w:keepNext w:val="0"/>
        <w:keepLines w:val="0"/>
        <w:widowControl w:val="0"/>
        <w:shd w:val="clear" w:color="auto" w:fill="auto"/>
        <w:tabs>
          <w:tab w:pos="2794"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CZ11637471</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tabs>
          <w:tab w:pos="2794" w:val="left"/>
        </w:tabs>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Městského soudu v Praze pod sp. zn. 26499 tel.</w:t>
        <w:tab/>
        <w:t>e-mail:</w:t>
      </w:r>
    </w:p>
    <w:p>
      <w:pPr>
        <w:pStyle w:val="Style8"/>
        <w:keepNext/>
        <w:keepLines/>
        <w:widowControl w:val="0"/>
        <w:shd w:val="clear" w:color="auto" w:fill="auto"/>
        <w:bidi w:val="0"/>
        <w:spacing w:before="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(dále jen „zhotovitel“)</w:t>
      </w:r>
      <w:bookmarkEnd w:id="14"/>
      <w:bookmarkEnd w:id="15"/>
      <w:bookmarkEnd w:id="16"/>
    </w:p>
    <w:p>
      <w:pPr>
        <w:pStyle w:val="Style8"/>
        <w:keepNext/>
        <w:keepLines/>
        <w:widowControl w:val="0"/>
        <w:shd w:val="clear" w:color="auto" w:fill="auto"/>
        <w:bidi w:val="0"/>
        <w:spacing w:before="0" w:after="200" w:line="240" w:lineRule="auto"/>
        <w:ind w:left="0" w:right="0" w:firstLine="0"/>
        <w:jc w:val="both"/>
      </w:pPr>
      <w:bookmarkStart w:id="17" w:name="bookmark17"/>
      <w:bookmarkStart w:id="18" w:name="bookmark18"/>
      <w:bookmarkStart w:id="19" w:name="bookmark19"/>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bookmarkEnd w:id="17"/>
      <w:bookmarkEnd w:id="18"/>
      <w:bookmarkEnd w:id="19"/>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 změnu:</w:t>
      </w:r>
    </w:p>
    <w:p>
      <w:pPr>
        <w:pStyle w:val="Style10"/>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20" w:name="bookmark20"/>
      <w:bookmarkEnd w:id="20"/>
      <w:r>
        <w:rPr>
          <w:b/>
          <w:bCs/>
          <w:color w:val="000000"/>
          <w:spacing w:val="0"/>
          <w:w w:val="100"/>
          <w:position w:val="0"/>
          <w:shd w:val="clear" w:color="auto" w:fill="auto"/>
          <w:lang w:val="cs-CZ" w:eastAsia="cs-CZ" w:bidi="cs-CZ"/>
        </w:rPr>
        <w:t>účelu a předmětu smlouvy</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 09.09.2025,</w:t>
      </w:r>
    </w:p>
    <w:p>
      <w:pPr>
        <w:pStyle w:val="Style10"/>
        <w:keepNext w:val="0"/>
        <w:keepLines w:val="0"/>
        <w:widowControl w:val="0"/>
        <w:numPr>
          <w:ilvl w:val="0"/>
          <w:numId w:val="1"/>
        </w:numPr>
        <w:shd w:val="clear" w:color="auto" w:fill="auto"/>
        <w:tabs>
          <w:tab w:pos="406" w:val="left"/>
        </w:tabs>
        <w:bidi w:val="0"/>
        <w:spacing w:before="0" w:after="200" w:line="240" w:lineRule="auto"/>
        <w:ind w:left="0" w:right="0" w:firstLine="0"/>
        <w:jc w:val="both"/>
      </w:pPr>
      <w:bookmarkStart w:id="21" w:name="bookmark21"/>
      <w:bookmarkEnd w:id="21"/>
      <w:r>
        <w:rPr>
          <w:b/>
          <w:bCs/>
          <w:color w:val="000000"/>
          <w:spacing w:val="0"/>
          <w:w w:val="100"/>
          <w:position w:val="0"/>
          <w:shd w:val="clear" w:color="auto" w:fill="auto"/>
          <w:lang w:val="cs-CZ" w:eastAsia="cs-CZ" w:bidi="cs-CZ"/>
        </w:rPr>
        <w:t xml:space="preserve">dílčího termínu dokončení výstavby I. Etapy, včetně rybího přechodu </w:t>
      </w:r>
      <w:r>
        <w:rPr>
          <w:color w:val="000000"/>
          <w:spacing w:val="0"/>
          <w:w w:val="100"/>
          <w:position w:val="0"/>
          <w:shd w:val="clear" w:color="auto" w:fill="auto"/>
          <w:lang w:val="cs-CZ" w:eastAsia="cs-CZ" w:bidi="cs-CZ"/>
        </w:rPr>
        <w:t>z důvodu projednávání a realizace změn předmětu díla,</w:t>
      </w:r>
    </w:p>
    <w:p>
      <w:pPr>
        <w:pStyle w:val="Style10"/>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22" w:name="bookmark22"/>
      <w:bookmarkEnd w:id="22"/>
      <w:r>
        <w:rPr>
          <w:b/>
          <w:bCs/>
          <w:color w:val="000000"/>
          <w:spacing w:val="0"/>
          <w:w w:val="100"/>
          <w:position w:val="0"/>
          <w:shd w:val="clear" w:color="auto" w:fill="auto"/>
          <w:lang w:val="cs-CZ" w:eastAsia="cs-CZ" w:bidi="cs-CZ"/>
        </w:rPr>
        <w:t>změnu ceny díla</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Dále provedení odpočtu neprovedených prací a upřesnění výměr u položek v soupisu prací. Tyto změny jsou obsahem Přílohy č. 1. Oceněného soupisu prací změn závazku ze dne 09.09.2025, odsouhlaseného oběma smluvními stranami. Tato změna závazku ze smlouvy v souvislosti se zadáním dalších prací nemění celkovou povahu veřejné zakázky.</w:t>
      </w:r>
    </w:p>
    <w:p>
      <w:pPr>
        <w:pStyle w:val="Style10"/>
        <w:keepNext w:val="0"/>
        <w:keepLines w:val="0"/>
        <w:widowControl w:val="0"/>
        <w:shd w:val="clear" w:color="auto" w:fill="auto"/>
        <w:bidi w:val="0"/>
        <w:spacing w:before="0" w:after="380" w:line="259" w:lineRule="auto"/>
        <w:ind w:left="0" w:right="0" w:firstLine="0"/>
        <w:jc w:val="left"/>
      </w:pPr>
      <w:r>
        <w:rPr>
          <w:color w:val="000000"/>
          <w:spacing w:val="0"/>
          <w:w w:val="100"/>
          <w:position w:val="0"/>
          <w:shd w:val="clear" w:color="auto" w:fill="auto"/>
          <w:lang w:val="cs-CZ" w:eastAsia="cs-CZ" w:bidi="cs-CZ"/>
        </w:rPr>
        <w:t>Změny byly řádně projednány a odsouhlaseny zástupci smluvních stran na mimořádném kontrolním dnu stavby. Obě smluvní strany odsouhlasily a potvrdily oceněný soupis prací.</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Mění se:</w:t>
      </w:r>
    </w:p>
    <w:p>
      <w:pPr>
        <w:pStyle w:val="Style10"/>
        <w:keepNext w:val="0"/>
        <w:keepLines w:val="0"/>
        <w:widowControl w:val="0"/>
        <w:numPr>
          <w:ilvl w:val="0"/>
          <w:numId w:val="3"/>
        </w:numPr>
        <w:shd w:val="clear" w:color="auto" w:fill="auto"/>
        <w:tabs>
          <w:tab w:pos="397" w:val="left"/>
        </w:tabs>
        <w:bidi w:val="0"/>
        <w:spacing w:before="0" w:after="200" w:line="240" w:lineRule="auto"/>
        <w:ind w:left="0" w:right="0" w:firstLine="0"/>
        <w:jc w:val="left"/>
      </w:pPr>
      <w:bookmarkStart w:id="23" w:name="bookmark23"/>
      <w:bookmarkEnd w:id="23"/>
      <w:r>
        <w:rPr>
          <w:b/>
          <w:bCs/>
          <w:color w:val="000000"/>
          <w:spacing w:val="0"/>
          <w:w w:val="100"/>
          <w:position w:val="0"/>
          <w:shd w:val="clear" w:color="auto" w:fill="auto"/>
          <w:lang w:val="cs-CZ" w:eastAsia="cs-CZ" w:bidi="cs-CZ"/>
        </w:rPr>
        <w:t xml:space="preserve">Čl. I. Účel a předmět smlouvy </w:t>
      </w:r>
      <w:r>
        <w:rPr>
          <w:color w:val="000000"/>
          <w:spacing w:val="0"/>
          <w:w w:val="100"/>
          <w:position w:val="0"/>
          <w:shd w:val="clear" w:color="auto" w:fill="auto"/>
          <w:lang w:val="cs-CZ" w:eastAsia="cs-CZ" w:bidi="cs-CZ"/>
        </w:rPr>
        <w:t>se mění v rozsahu přílohy tohoto dodatku – Oceněného soupisu prací změn závazku ze dne 09.09.2025, který se tímto stává nedílnou součástí smlouvy.</w:t>
      </w:r>
    </w:p>
    <w:p>
      <w:pPr>
        <w:pStyle w:val="Style10"/>
        <w:keepNext w:val="0"/>
        <w:keepLines w:val="0"/>
        <w:widowControl w:val="0"/>
        <w:numPr>
          <w:ilvl w:val="0"/>
          <w:numId w:val="3"/>
        </w:numPr>
        <w:shd w:val="clear" w:color="auto" w:fill="auto"/>
        <w:tabs>
          <w:tab w:pos="406" w:val="left"/>
        </w:tabs>
        <w:bidi w:val="0"/>
        <w:spacing w:before="0" w:after="0" w:line="240" w:lineRule="auto"/>
        <w:ind w:left="0" w:right="0" w:firstLine="0"/>
        <w:jc w:val="left"/>
      </w:pPr>
      <w:bookmarkStart w:id="24" w:name="bookmark24"/>
      <w:bookmarkEnd w:id="24"/>
      <w:r>
        <w:rPr>
          <w:b/>
          <w:bCs/>
          <w:color w:val="000000"/>
          <w:spacing w:val="0"/>
          <w:w w:val="100"/>
          <w:position w:val="0"/>
          <w:shd w:val="clear" w:color="auto" w:fill="auto"/>
          <w:lang w:val="cs-CZ" w:eastAsia="cs-CZ" w:bidi="cs-CZ"/>
        </w:rPr>
        <w:t>Čl. II. odst. 1 písm. d) dílčího termínu dokončení výstavby I. Etapy, včetně rybího přechodu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Původní znění:</w:t>
      </w:r>
    </w:p>
    <w:p>
      <w:pPr>
        <w:pStyle w:val="Style10"/>
        <w:keepNext w:val="0"/>
        <w:keepLines w:val="0"/>
        <w:widowControl w:val="0"/>
        <w:numPr>
          <w:ilvl w:val="0"/>
          <w:numId w:val="1"/>
        </w:numPr>
        <w:shd w:val="clear" w:color="auto" w:fill="auto"/>
        <w:tabs>
          <w:tab w:pos="706" w:val="left"/>
        </w:tabs>
        <w:bidi w:val="0"/>
        <w:spacing w:before="0" w:after="0" w:line="240" w:lineRule="auto"/>
        <w:ind w:left="0" w:right="0" w:firstLine="0"/>
        <w:jc w:val="left"/>
      </w:pPr>
      <w:bookmarkStart w:id="25" w:name="bookmark25"/>
      <w:bookmarkEnd w:id="25"/>
      <w:r>
        <w:rPr>
          <w:color w:val="000000"/>
          <w:spacing w:val="0"/>
          <w:w w:val="100"/>
          <w:position w:val="0"/>
          <w:shd w:val="clear" w:color="auto" w:fill="auto"/>
          <w:lang w:val="cs-CZ" w:eastAsia="cs-CZ" w:bidi="cs-CZ"/>
        </w:rPr>
        <w:t>Dílčí termín dokončení výstavby I. Etapy, včetně rybího přechodu do 31.05.2025</w:t>
      </w:r>
    </w:p>
    <w:p>
      <w:pPr>
        <w:pStyle w:val="Style10"/>
        <w:keepNext w:val="0"/>
        <w:keepLines w:val="0"/>
        <w:widowControl w:val="0"/>
        <w:numPr>
          <w:ilvl w:val="0"/>
          <w:numId w:val="5"/>
        </w:numPr>
        <w:shd w:val="clear" w:color="auto" w:fill="auto"/>
        <w:tabs>
          <w:tab w:pos="344" w:val="left"/>
        </w:tabs>
        <w:bidi w:val="0"/>
        <w:spacing w:before="0" w:after="0" w:line="240" w:lineRule="auto"/>
        <w:ind w:left="0" w:right="0" w:firstLine="0"/>
        <w:jc w:val="left"/>
      </w:pPr>
      <w:bookmarkStart w:id="26" w:name="bookmark26"/>
      <w:bookmarkEnd w:id="26"/>
      <w:r>
        <w:rPr>
          <w:color w:val="000000"/>
          <w:spacing w:val="0"/>
          <w:w w:val="100"/>
          <w:position w:val="0"/>
          <w:shd w:val="clear" w:color="auto" w:fill="auto"/>
          <w:lang w:val="cs-CZ" w:eastAsia="cs-CZ" w:bidi="cs-CZ"/>
        </w:rPr>
        <w:t>rámci I. etapy budou provedeny tyto objekty: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02 Rybí přechod</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03 Štěrková propust (SO 03.2 a SO 03.4)</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04 Rekonstrukce obslužného mostu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05 Dočasné příjezdy na stavbu a pomocné konstrukce - I. etapa</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 01 Stavidlový uzávěr štěrkové propusti</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Termín je nastaven s ohledem na možné přestávky v zimní období a technologické přestávky.</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Nové znění:</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 Dílčí termín dokončení výstavby I. Etapy, včetně rybího přechodu do 30.11.2025</w:t>
      </w:r>
    </w:p>
    <w:p>
      <w:pPr>
        <w:pStyle w:val="Style10"/>
        <w:keepNext w:val="0"/>
        <w:keepLines w:val="0"/>
        <w:widowControl w:val="0"/>
        <w:numPr>
          <w:ilvl w:val="0"/>
          <w:numId w:val="5"/>
        </w:numPr>
        <w:shd w:val="clear" w:color="auto" w:fill="auto"/>
        <w:tabs>
          <w:tab w:pos="344" w:val="left"/>
        </w:tabs>
        <w:bidi w:val="0"/>
        <w:spacing w:before="0" w:after="0" w:line="240" w:lineRule="auto"/>
        <w:ind w:left="0" w:right="0" w:firstLine="0"/>
        <w:jc w:val="left"/>
      </w:pPr>
      <w:bookmarkStart w:id="27" w:name="bookmark27"/>
      <w:bookmarkEnd w:id="27"/>
      <w:r>
        <w:rPr>
          <w:color w:val="000000"/>
          <w:spacing w:val="0"/>
          <w:w w:val="100"/>
          <w:position w:val="0"/>
          <w:shd w:val="clear" w:color="auto" w:fill="auto"/>
          <w:lang w:val="cs-CZ" w:eastAsia="cs-CZ" w:bidi="cs-CZ"/>
        </w:rPr>
        <w:t>rámci I. etapy budou provedeny tyto objekty: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02 Rybí přechod</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03 Štěrková propust (SO 03.2 a SO 03.4)</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04 Rekonstrukce obslužného mostu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05 Dočasné příjezdy na stavbu a pomocné konstrukce - I. etapa</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PS 01 Stavidlový uzávěr štěrkové propusti</w:t>
      </w: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Termín je nastaven s ohledem na možné přestávky v zimní období a technologické přestávky.</w:t>
      </w:r>
    </w:p>
    <w:p>
      <w:pPr>
        <w:pStyle w:val="Style10"/>
        <w:keepNext w:val="0"/>
        <w:keepLines w:val="0"/>
        <w:widowControl w:val="0"/>
        <w:numPr>
          <w:ilvl w:val="0"/>
          <w:numId w:val="3"/>
        </w:numPr>
        <w:shd w:val="clear" w:color="auto" w:fill="auto"/>
        <w:tabs>
          <w:tab w:pos="406" w:val="left"/>
        </w:tabs>
        <w:bidi w:val="0"/>
        <w:spacing w:before="0" w:after="200" w:line="240" w:lineRule="auto"/>
        <w:ind w:left="0" w:right="0" w:firstLine="0"/>
        <w:jc w:val="left"/>
      </w:pPr>
      <w:bookmarkStart w:id="28" w:name="bookmark28"/>
      <w:bookmarkEnd w:id="28"/>
      <w:r>
        <w:rPr>
          <w:b/>
          <w:bCs/>
          <w:color w:val="000000"/>
          <w:spacing w:val="0"/>
          <w:w w:val="100"/>
          <w:position w:val="0"/>
          <w:shd w:val="clear" w:color="auto" w:fill="auto"/>
          <w:lang w:val="cs-CZ" w:eastAsia="cs-CZ" w:bidi="cs-CZ"/>
        </w:rPr>
        <w:t>Čl. III. Cenové a platební podmínky, bod 1.:</w:t>
      </w:r>
      <w:r>
        <w:br w:type="page"/>
      </w: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w:t>
      </w:r>
    </w:p>
    <w:p>
      <w:pPr>
        <w:pStyle w:val="Style10"/>
        <w:keepNext w:val="0"/>
        <w:keepLines w:val="0"/>
        <w:widowControl w:val="0"/>
        <w:shd w:val="clear" w:color="auto" w:fill="auto"/>
        <w:tabs>
          <w:tab w:pos="4949" w:val="left"/>
        </w:tabs>
        <w:bidi w:val="0"/>
        <w:spacing w:before="0" w:after="0" w:line="240" w:lineRule="auto"/>
        <w:ind w:left="0" w:right="0" w:firstLine="0"/>
        <w:jc w:val="left"/>
      </w:pPr>
      <w:r>
        <w:rPr>
          <w:color w:val="000000"/>
          <w:spacing w:val="0"/>
          <w:w w:val="100"/>
          <w:position w:val="0"/>
          <w:shd w:val="clear" w:color="auto" w:fill="auto"/>
          <w:lang w:val="cs-CZ" w:eastAsia="cs-CZ" w:bidi="cs-CZ"/>
        </w:rPr>
        <w:t>původní znění:</w:t>
        <w:tab/>
        <w:t>79 147 880,59 Kč bez DPH,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(slovy: sedmdesát devět milionů jedno sto čtyřicet sedm tisíc osm set osmdesát korun českých padesát devět haléřů).</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 toho: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Jez na Ohři (Kadaň – dolní) - rybí přechod: SO 02, část SO 05, VON 2</w:t>
      </w:r>
    </w:p>
    <w:p>
      <w:pPr>
        <w:pStyle w:val="Style10"/>
        <w:keepNext w:val="0"/>
        <w:keepLines w:val="0"/>
        <w:widowControl w:val="0"/>
        <w:shd w:val="clear" w:color="auto" w:fill="auto"/>
        <w:tabs>
          <w:tab w:pos="4949" w:val="left"/>
        </w:tabs>
        <w:bidi w:val="0"/>
        <w:spacing w:before="0" w:after="0" w:line="240" w:lineRule="auto"/>
        <w:ind w:left="0" w:right="0" w:firstLine="4980"/>
        <w:jc w:val="left"/>
      </w:pPr>
      <w:r>
        <w:rPr>
          <w:color w:val="000000"/>
          <w:spacing w:val="0"/>
          <w:w w:val="100"/>
          <w:position w:val="0"/>
          <w:shd w:val="clear" w:color="auto" w:fill="auto"/>
          <w:lang w:val="cs-CZ" w:eastAsia="cs-CZ" w:bidi="cs-CZ"/>
        </w:rPr>
        <w:t>13 624 702,33 Kč bez DPH Jez na Ohři (Kadaň – dolní) - jez: PS 01, SO 01, SO 03, SO 04, část SO 05, SO 06 b), c), VON 1</w:t>
        <w:tab/>
        <w:t>65 523 178,26 Kč bez DPH</w:t>
      </w:r>
    </w:p>
    <w:p>
      <w:pPr>
        <w:pStyle w:val="Style10"/>
        <w:keepNext w:val="0"/>
        <w:keepLines w:val="0"/>
        <w:widowControl w:val="0"/>
        <w:shd w:val="clear" w:color="auto" w:fill="auto"/>
        <w:tabs>
          <w:tab w:pos="4949"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nové znění:</w:t>
        <w:tab/>
        <w:t>82 349 779,91 Kč bez DPH,</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(slovy: osmdesát dva milionů tři sta čtyřicet devět tisíc sedm set sedmdesát devět korun českých devadesát jeden haléř).</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 toho:</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Jez na Ohři (Kadaň – dolní) - rybí přechod: SO 02, část SO 05, VON 2</w:t>
      </w:r>
    </w:p>
    <w:p>
      <w:pPr>
        <w:pStyle w:val="Style10"/>
        <w:keepNext w:val="0"/>
        <w:keepLines w:val="0"/>
        <w:widowControl w:val="0"/>
        <w:shd w:val="clear" w:color="auto" w:fill="auto"/>
        <w:tabs>
          <w:tab w:pos="4949" w:val="left"/>
        </w:tabs>
        <w:bidi w:val="0"/>
        <w:spacing w:before="0" w:after="200" w:line="240" w:lineRule="auto"/>
        <w:ind w:left="0" w:right="0" w:firstLine="4980"/>
        <w:jc w:val="left"/>
      </w:pPr>
      <w:r>
        <w:rPr>
          <w:b/>
          <w:bCs/>
          <w:color w:val="000000"/>
          <w:spacing w:val="0"/>
          <w:w w:val="100"/>
          <w:position w:val="0"/>
          <w:shd w:val="clear" w:color="auto" w:fill="auto"/>
          <w:lang w:val="cs-CZ" w:eastAsia="cs-CZ" w:bidi="cs-CZ"/>
        </w:rPr>
        <w:t>13 630 279,27 Kč bez DPH Jez na Ohři (Kadaň – dolní) - jez: PS 01, SO 01, SO 03, SO 04, část SO 05, SO 06 b), c), VON 1</w:t>
        <w:tab/>
        <w:t>68 719 500,64 Kč bez DPH</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Nedílnou součástí tohoto dodatku je:</w:t>
      </w:r>
    </w:p>
    <w:p>
      <w:pPr>
        <w:pStyle w:val="Style10"/>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702" w:left="1396" w:right="1386" w:bottom="1238" w:header="274" w:footer="3" w:gutter="0"/>
          <w:pgNumType w:start="1"/>
          <w:cols w:space="720"/>
          <w:noEndnote/>
          <w:rtlGutter w:val="0"/>
          <w:docGrid w:linePitch="360"/>
        </w:sectPr>
      </w:pPr>
      <w:r>
        <w:rPr>
          <w:color w:val="000000"/>
          <w:spacing w:val="0"/>
          <w:w w:val="100"/>
          <w:position w:val="0"/>
          <w:shd w:val="clear" w:color="auto" w:fill="auto"/>
          <w:lang w:val="cs-CZ" w:eastAsia="cs-CZ" w:bidi="cs-CZ"/>
        </w:rPr>
        <w:t>Příloha č.1 Oceněný soupis prací změn závazku ze dne 09.09.2025</w:t>
      </w:r>
    </w:p>
    <w:p>
      <w:pPr>
        <w:widowControl w:val="0"/>
        <w:spacing w:line="143" w:lineRule="exact"/>
        <w:rPr>
          <w:sz w:val="11"/>
          <w:szCs w:val="11"/>
        </w:rPr>
      </w:pPr>
    </w:p>
    <w:p>
      <w:pPr>
        <w:widowControl w:val="0"/>
        <w:spacing w:line="1" w:lineRule="exact"/>
        <w:sectPr>
          <w:footnotePr>
            <w:pos w:val="pageBottom"/>
            <w:numFmt w:val="decimal"/>
            <w:numRestart w:val="continuous"/>
          </w:footnotePr>
          <w:type w:val="continuous"/>
          <w:pgSz w:w="11909" w:h="16838"/>
          <w:pgMar w:top="657" w:left="0" w:right="0" w:bottom="1283"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657" w:left="1396" w:right="2418" w:bottom="1283" w:header="0" w:footer="3" w:gutter="0"/>
          <w:cols w:num="2" w:space="1715"/>
          <w:noEndnote/>
          <w:rtlGutter w:val="0"/>
          <w:docGrid w:linePitch="360"/>
        </w:sectPr>
      </w:pP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4" w:after="6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657" w:left="0" w:right="0" w:bottom="1283"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2320" w:right="0" w:firstLine="0"/>
        <w:jc w:val="left"/>
      </w:pPr>
      <w:r>
        <mc:AlternateContent>
          <mc:Choice Requires="wps">
            <w:drawing>
              <wp:anchor distT="0" distB="0" distL="0" distR="0" simplePos="0" relativeHeight="125829378" behindDoc="0" locked="0" layoutInCell="1" allowOverlap="1">
                <wp:simplePos x="0" y="0"/>
                <wp:positionH relativeFrom="page">
                  <wp:posOffset>886460</wp:posOffset>
                </wp:positionH>
                <wp:positionV relativeFrom="paragraph">
                  <wp:posOffset>0</wp:posOffset>
                </wp:positionV>
                <wp:extent cx="1688465" cy="389890"/>
                <wp:wrapSquare wrapText="bothSides"/>
                <wp:docPr id="3" name="Shape 3"/>
                <a:graphic xmlns:a="http://schemas.openxmlformats.org/drawingml/2006/main">
                  <a:graphicData uri="http://schemas.microsoft.com/office/word/2010/wordprocessingShape">
                    <wps:wsp>
                      <wps:cNvSpPr txBox="1"/>
                      <wps:spPr>
                        <a:xfrm>
                          <a:ext cx="1688465" cy="3898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bookmarkStart w:id="29" w:name="bookmark29"/>
                            <w:r>
                              <w:rPr>
                                <w:color w:val="000000"/>
                                <w:spacing w:val="0"/>
                                <w:w w:val="100"/>
                                <w:position w:val="0"/>
                                <w:shd w:val="clear" w:color="auto" w:fill="auto"/>
                                <w:lang w:val="cs-CZ" w:eastAsia="cs-CZ" w:bidi="cs-CZ"/>
                              </w:rPr>
                              <w:t>investiční ředitel</w:t>
                            </w:r>
                            <w:bookmarkEnd w:id="29"/>
                          </w:p>
                          <w:p>
                            <w:pPr>
                              <w:pStyle w:val="Style10"/>
                              <w:keepNext w:val="0"/>
                              <w:keepLines w:val="0"/>
                              <w:widowControl w:val="0"/>
                              <w:shd w:val="clear" w:color="auto" w:fill="auto"/>
                              <w:bidi w:val="0"/>
                              <w:spacing w:before="0" w:after="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Povodí Ohře, státní podnik</w:t>
                            </w:r>
                            <w:bookmarkEnd w:id="30"/>
                            <w:bookmarkEnd w:id="31"/>
                          </w:p>
                        </w:txbxContent>
                      </wps:txbx>
                      <wps:bodyPr lIns="0" tIns="0" rIns="0" bIns="0">
                        <a:noAutoFit/>
                      </wps:bodyPr>
                    </wps:wsp>
                  </a:graphicData>
                </a:graphic>
              </wp:anchor>
            </w:drawing>
          </mc:Choice>
          <mc:Fallback>
            <w:pict>
              <v:shape id="_x0000_s1029" type="#_x0000_t202" style="position:absolute;margin-left:69.799999999999997pt;margin-top:0;width:132.94999999999999pt;height:30.699999999999999pt;z-index:-125829375;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bookmarkStart w:id="29" w:name="bookmark29"/>
                      <w:r>
                        <w:rPr>
                          <w:color w:val="000000"/>
                          <w:spacing w:val="0"/>
                          <w:w w:val="100"/>
                          <w:position w:val="0"/>
                          <w:shd w:val="clear" w:color="auto" w:fill="auto"/>
                          <w:lang w:val="cs-CZ" w:eastAsia="cs-CZ" w:bidi="cs-CZ"/>
                        </w:rPr>
                        <w:t>investiční ředitel</w:t>
                      </w:r>
                      <w:bookmarkEnd w:id="29"/>
                    </w:p>
                    <w:p>
                      <w:pPr>
                        <w:pStyle w:val="Style10"/>
                        <w:keepNext w:val="0"/>
                        <w:keepLines w:val="0"/>
                        <w:widowControl w:val="0"/>
                        <w:shd w:val="clear" w:color="auto" w:fill="auto"/>
                        <w:bidi w:val="0"/>
                        <w:spacing w:before="0" w:after="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Povodí Ohře, státní podnik</w:t>
                      </w:r>
                      <w:bookmarkEnd w:id="30"/>
                      <w:bookmarkEnd w:id="31"/>
                    </w:p>
                  </w:txbxContent>
                </v:textbox>
                <w10:wrap type="square" anchorx="page"/>
              </v:shape>
            </w:pict>
          </mc:Fallback>
        </mc:AlternateContent>
      </w:r>
      <w:r>
        <w:rPr>
          <w:color w:val="000000"/>
          <w:spacing w:val="0"/>
          <w:w w:val="100"/>
          <w:position w:val="0"/>
          <w:shd w:val="clear" w:color="auto" w:fill="auto"/>
          <w:lang w:val="cs-CZ" w:eastAsia="cs-CZ" w:bidi="cs-CZ"/>
        </w:rPr>
        <w:t>předseda správní rady</w:t>
      </w:r>
    </w:p>
    <w:p>
      <w:pPr>
        <w:pStyle w:val="Style10"/>
        <w:keepNext w:val="0"/>
        <w:keepLines w:val="0"/>
        <w:widowControl w:val="0"/>
        <w:shd w:val="clear" w:color="auto" w:fill="auto"/>
        <w:bidi w:val="0"/>
        <w:spacing w:before="0" w:after="1720" w:line="240" w:lineRule="auto"/>
        <w:ind w:left="2320" w:right="0" w:firstLine="0"/>
        <w:jc w:val="left"/>
      </w:pPr>
      <w:r>
        <w:rPr>
          <w:color w:val="000000"/>
          <w:spacing w:val="0"/>
          <w:w w:val="100"/>
          <w:position w:val="0"/>
          <w:shd w:val="clear" w:color="auto" w:fill="auto"/>
          <w:lang w:val="cs-CZ" w:eastAsia="cs-CZ" w:bidi="cs-CZ"/>
        </w:rPr>
        <w:t>SMP Vodohospodářské stavby a.s.</w:t>
      </w:r>
    </w:p>
    <w:p>
      <w:pPr>
        <w:pStyle w:val="Style8"/>
        <w:keepNext/>
        <w:keepLines/>
        <w:widowControl w:val="0"/>
        <w:shd w:val="clear" w:color="auto" w:fill="auto"/>
        <w:bidi w:val="0"/>
        <w:spacing w:before="0" w:after="0" w:line="240" w:lineRule="auto"/>
        <w:ind w:left="232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místopředseda správní rady</w:t>
      </w:r>
      <w:bookmarkEnd w:id="32"/>
      <w:bookmarkEnd w:id="33"/>
      <w:bookmarkEnd w:id="34"/>
    </w:p>
    <w:p>
      <w:pPr>
        <w:pStyle w:val="Style8"/>
        <w:keepNext/>
        <w:keepLines/>
        <w:widowControl w:val="0"/>
        <w:shd w:val="clear" w:color="auto" w:fill="auto"/>
        <w:bidi w:val="0"/>
        <w:spacing w:before="0" w:after="0" w:line="240" w:lineRule="auto"/>
        <w:ind w:left="232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SMP Vodohospodářské stavby a.s.</w:t>
      </w:r>
      <w:bookmarkEnd w:id="35"/>
      <w:bookmarkEnd w:id="36"/>
      <w:bookmarkEnd w:id="37"/>
    </w:p>
    <w:sectPr>
      <w:footnotePr>
        <w:pos w:val="pageBottom"/>
        <w:numFmt w:val="decimal"/>
        <w:numRestart w:val="continuous"/>
      </w:footnotePr>
      <w:type w:val="continuous"/>
      <w:pgSz w:w="11909" w:h="16838"/>
      <w:pgMar w:top="657" w:left="4056" w:right="1387" w:bottom="1283" w:header="22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5854700</wp:posOffset>
              </wp:positionH>
              <wp:positionV relativeFrom="page">
                <wp:posOffset>10089515</wp:posOffset>
              </wp:positionV>
              <wp:extent cx="810895" cy="189230"/>
              <wp:wrapNone/>
              <wp:docPr id="1" name="Shape 1"/>
              <a:graphic xmlns:a="http://schemas.openxmlformats.org/drawingml/2006/main">
                <a:graphicData uri="http://schemas.microsoft.com/office/word/2010/wordprocessingShape">
                  <wps:wsp>
                    <wps:cNvSpPr txBox="1"/>
                    <wps:spPr>
                      <a:xfrm>
                        <a:ext cx="810895"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1.pt;margin-top:794.45000000000005pt;width:63.850000000000001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32"/>
      <w:szCs w:val="3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before="590" w:after="9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80"/>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after="320" w:line="223" w:lineRule="auto"/>
      <w:jc w:val="center"/>
    </w:pPr>
    <w:rPr>
      <w:rFonts w:ascii="Arial" w:eastAsia="Arial" w:hAnsi="Arial" w:cs="Arial"/>
      <w:b/>
      <w:bCs/>
      <w:i w:val="0"/>
      <w:iCs w:val="0"/>
      <w:smallCaps w:val="0"/>
      <w:strike w:val="0"/>
      <w:sz w:val="32"/>
      <w:szCs w:val="32"/>
      <w:u w:val="none"/>
    </w:rPr>
  </w:style>
  <w:style w:type="paragraph" w:customStyle="1" w:styleId="Style14">
    <w:name w:val="Style 14"/>
    <w:basedOn w:val="Normal"/>
    <w:link w:val="CharStyle15"/>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Beržinský Miroslav</dc:creator>
  <cp:keywords/>
</cp:coreProperties>
</file>