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D81D" w14:textId="366039C8" w:rsidR="0069320A" w:rsidRDefault="0069320A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5E3B72D" w14:textId="77777777" w:rsidR="001B6881" w:rsidRDefault="001B6881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C4C9C4A" w14:textId="77777777" w:rsidR="001B6881" w:rsidRPr="0069320A" w:rsidRDefault="001B6881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D2633F0" w14:textId="77777777" w:rsidR="001B6881" w:rsidRPr="001B6881" w:rsidRDefault="001B6881" w:rsidP="001B6881">
      <w:pPr>
        <w:jc w:val="both"/>
        <w:rPr>
          <w:rFonts w:ascii="Arial" w:hAnsi="Arial" w:cs="Arial"/>
          <w:b/>
          <w:sz w:val="24"/>
          <w:szCs w:val="24"/>
        </w:rPr>
      </w:pPr>
      <w:r w:rsidRPr="001B6881">
        <w:rPr>
          <w:rFonts w:ascii="Arial" w:hAnsi="Arial" w:cs="Arial"/>
          <w:b/>
          <w:sz w:val="24"/>
          <w:szCs w:val="24"/>
        </w:rPr>
        <w:t xml:space="preserve">CSF, s.r.o. </w:t>
      </w:r>
    </w:p>
    <w:p w14:paraId="7DA35926" w14:textId="77777777" w:rsidR="001B6881" w:rsidRPr="001B6881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se sídlem Střelecká 672, 50002 Hradec Králové </w:t>
      </w:r>
    </w:p>
    <w:p w14:paraId="7E9FF445" w14:textId="77777777" w:rsidR="001B6881" w:rsidRPr="001B6881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IČ: 25289462, DIČ:CZ25289462 </w:t>
      </w:r>
    </w:p>
    <w:p w14:paraId="596B09CE" w14:textId="664E0764" w:rsidR="001B6881" w:rsidRPr="001B6881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Bankovní účet: </w:t>
      </w:r>
      <w:proofErr w:type="spellStart"/>
      <w:r w:rsidR="0063432E">
        <w:rPr>
          <w:rFonts w:ascii="Arial" w:hAnsi="Arial" w:cs="Arial"/>
          <w:bCs/>
          <w:sz w:val="24"/>
          <w:szCs w:val="24"/>
        </w:rPr>
        <w:t>xxxxxxxxxxxxxxxxxxxxxxxxxxxxxxxxxxxx</w:t>
      </w:r>
      <w:proofErr w:type="spellEnd"/>
    </w:p>
    <w:p w14:paraId="7A63FEB9" w14:textId="77777777" w:rsidR="001B6881" w:rsidRPr="001B6881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Zastoupena: Tomášem Pavelkou, jednatelem </w:t>
      </w:r>
    </w:p>
    <w:p w14:paraId="692FE5B5" w14:textId="77777777" w:rsidR="001B6881" w:rsidRPr="001B6881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zapsaná v obchodním rejstříku vedeném u Krajského soudu v Hradci Králové oddíl C </w:t>
      </w:r>
    </w:p>
    <w:p w14:paraId="6D8C3D2C" w14:textId="77777777" w:rsidR="001B6881" w:rsidRPr="001B6881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vložka 13316 </w:t>
      </w:r>
    </w:p>
    <w:p w14:paraId="03EBA5FE" w14:textId="3813BAD2" w:rsidR="00135BB1" w:rsidRPr="001B6881" w:rsidRDefault="001B6881" w:rsidP="001B6881">
      <w:pPr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(dále jen „prodávající“) </w:t>
      </w:r>
      <w:r w:rsidRPr="001B6881">
        <w:rPr>
          <w:rFonts w:ascii="Arial" w:hAnsi="Arial" w:cs="Arial"/>
          <w:bCs/>
          <w:sz w:val="24"/>
          <w:szCs w:val="24"/>
        </w:rPr>
        <w:cr/>
      </w: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76AEA9C1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1B6881">
        <w:rPr>
          <w:rFonts w:ascii="Arial" w:hAnsi="Arial" w:cs="Arial"/>
          <w:sz w:val="24"/>
          <w:szCs w:val="24"/>
        </w:rPr>
        <w:t>250311, N006/25/V00037445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3B73AADC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</w:t>
      </w:r>
      <w:r w:rsidR="001B6881">
        <w:rPr>
          <w:rFonts w:cs="Arial"/>
          <w:szCs w:val="24"/>
        </w:rPr>
        <w:t xml:space="preserve"> 31.12.2025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5F52976B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proofErr w:type="gramStart"/>
      <w:r w:rsidR="001B6881">
        <w:rPr>
          <w:rFonts w:cs="Arial"/>
          <w:szCs w:val="24"/>
        </w:rPr>
        <w:t>246.020</w:t>
      </w:r>
      <w:r w:rsidRPr="00587D3E">
        <w:rPr>
          <w:rFonts w:cs="Arial"/>
          <w:szCs w:val="24"/>
        </w:rPr>
        <w:t>,-</w:t>
      </w:r>
      <w:proofErr w:type="gramEnd"/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1B6881">
        <w:rPr>
          <w:rFonts w:cs="Arial"/>
          <w:szCs w:val="24"/>
        </w:rPr>
        <w:t>51.664,20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1B6881">
        <w:rPr>
          <w:rFonts w:cs="Arial"/>
          <w:szCs w:val="24"/>
        </w:rPr>
        <w:t xml:space="preserve"> 297.684,20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AC4A6ED" w14:textId="77777777" w:rsidR="001B6881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53B08873" w14:textId="77777777" w:rsidR="001B6881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6E892430" w14:textId="77777777" w:rsidR="001B6881" w:rsidRPr="00587D3E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247EF305" w:rsidR="006B0546" w:rsidRPr="00587D3E" w:rsidRDefault="0063432E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4C004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40D3A87C" w14:textId="77777777" w:rsidR="0063432E" w:rsidRDefault="0063432E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27EC8F5" w:rsidR="0063432E" w:rsidRPr="00587D3E" w:rsidRDefault="0063432E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  <w:proofErr w:type="spellEnd"/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4FD5225B" w:rsidR="006B0546" w:rsidRPr="00587D3E" w:rsidRDefault="001B6881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Tomáš Pavelka, jednatel 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A45F49A" w14:textId="532CB074" w:rsidR="001B6881" w:rsidRPr="001B6881" w:rsidRDefault="001B6881" w:rsidP="001B688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6881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1B688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Ph.D., ředitel Odboru digitalizace a informačních systémů </w:t>
            </w:r>
          </w:p>
          <w:p w14:paraId="03EBA659" w14:textId="77777777" w:rsidR="006B0546" w:rsidRPr="001B6881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18B7D1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DBEFC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730C8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B77DD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DF028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1D72D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BF3D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B1875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6FFC6B" w14:textId="7F593A4E" w:rsidR="001B6881" w:rsidRPr="001B6881" w:rsidRDefault="001B688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6881">
        <w:rPr>
          <w:rFonts w:ascii="Arial" w:hAnsi="Arial" w:cs="Arial"/>
          <w:b/>
          <w:bCs/>
          <w:sz w:val="24"/>
          <w:szCs w:val="24"/>
        </w:rPr>
        <w:t>Příloha č.1</w:t>
      </w:r>
    </w:p>
    <w:p w14:paraId="1592095D" w14:textId="24677881" w:rsidR="001B6881" w:rsidRPr="001B6881" w:rsidRDefault="001B6881" w:rsidP="001B68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6881">
        <w:rPr>
          <w:rFonts w:ascii="Arial" w:hAnsi="Arial" w:cs="Arial"/>
          <w:sz w:val="24"/>
          <w:szCs w:val="24"/>
        </w:rPr>
        <w:t xml:space="preserve">HW </w:t>
      </w:r>
    </w:p>
    <w:p w14:paraId="1E7DF85F" w14:textId="79D35551" w:rsidR="001B6881" w:rsidRPr="001B6881" w:rsidRDefault="001B6881" w:rsidP="001B68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6881">
        <w:rPr>
          <w:rFonts w:ascii="Arial" w:hAnsi="Arial" w:cs="Arial"/>
          <w:sz w:val="24"/>
          <w:szCs w:val="24"/>
        </w:rPr>
        <w:t>Ekahau</w:t>
      </w:r>
      <w:proofErr w:type="spellEnd"/>
      <w:r w:rsidRPr="001B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6881">
        <w:rPr>
          <w:rFonts w:ascii="Arial" w:hAnsi="Arial" w:cs="Arial"/>
          <w:sz w:val="24"/>
          <w:szCs w:val="24"/>
        </w:rPr>
        <w:t>Connect</w:t>
      </w:r>
      <w:proofErr w:type="spellEnd"/>
      <w:r w:rsidRPr="001B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6881">
        <w:rPr>
          <w:rFonts w:ascii="Arial" w:hAnsi="Arial" w:cs="Arial"/>
          <w:sz w:val="24"/>
          <w:szCs w:val="24"/>
        </w:rPr>
        <w:t>Subscription</w:t>
      </w:r>
      <w:proofErr w:type="spellEnd"/>
      <w:r w:rsidRPr="001B6881">
        <w:rPr>
          <w:rFonts w:ascii="Arial" w:hAnsi="Arial" w:cs="Arial"/>
          <w:sz w:val="24"/>
          <w:szCs w:val="24"/>
        </w:rPr>
        <w:t xml:space="preserve"> - 3</w:t>
      </w:r>
      <w:proofErr w:type="gramStart"/>
      <w:r w:rsidRPr="001B6881">
        <w:rPr>
          <w:rFonts w:ascii="Arial" w:hAnsi="Arial" w:cs="Arial"/>
          <w:sz w:val="24"/>
          <w:szCs w:val="24"/>
        </w:rPr>
        <w:t xml:space="preserve">YR  </w:t>
      </w:r>
      <w:r>
        <w:rPr>
          <w:rFonts w:ascii="Arial" w:hAnsi="Arial" w:cs="Arial"/>
          <w:sz w:val="24"/>
          <w:szCs w:val="24"/>
        </w:rPr>
        <w:tab/>
      </w:r>
      <w:proofErr w:type="gramEnd"/>
      <w:r w:rsidRPr="001B6881">
        <w:rPr>
          <w:rFonts w:ascii="Arial" w:hAnsi="Arial" w:cs="Arial"/>
          <w:sz w:val="24"/>
          <w:szCs w:val="24"/>
        </w:rPr>
        <w:t xml:space="preserve">1 ks </w:t>
      </w:r>
    </w:p>
    <w:p w14:paraId="61AE2834" w14:textId="3BBA8126" w:rsidR="001B6881" w:rsidRPr="001B6881" w:rsidRDefault="001B6881" w:rsidP="001B68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6881">
        <w:rPr>
          <w:rFonts w:ascii="Arial" w:hAnsi="Arial" w:cs="Arial"/>
          <w:sz w:val="24"/>
          <w:szCs w:val="24"/>
        </w:rPr>
        <w:t>Ekahau</w:t>
      </w:r>
      <w:proofErr w:type="spellEnd"/>
      <w:r w:rsidRPr="001B6881">
        <w:rPr>
          <w:rFonts w:ascii="Arial" w:hAnsi="Arial" w:cs="Arial"/>
          <w:sz w:val="24"/>
          <w:szCs w:val="24"/>
        </w:rPr>
        <w:t xml:space="preserve"> AI Pro </w:t>
      </w:r>
      <w:proofErr w:type="gramStart"/>
      <w:r w:rsidRPr="001B6881">
        <w:rPr>
          <w:rFonts w:ascii="Arial" w:hAnsi="Arial" w:cs="Arial"/>
          <w:sz w:val="24"/>
          <w:szCs w:val="24"/>
        </w:rPr>
        <w:t xml:space="preserve">Software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6881">
        <w:rPr>
          <w:rFonts w:ascii="Arial" w:hAnsi="Arial" w:cs="Arial"/>
          <w:sz w:val="24"/>
          <w:szCs w:val="24"/>
        </w:rPr>
        <w:t xml:space="preserve">1 ks </w:t>
      </w:r>
    </w:p>
    <w:p w14:paraId="3EAA215D" w14:textId="10AB6B60" w:rsidR="001B6881" w:rsidRDefault="001B6881" w:rsidP="001B68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6881">
        <w:rPr>
          <w:rFonts w:ascii="Arial" w:hAnsi="Arial" w:cs="Arial"/>
          <w:sz w:val="24"/>
          <w:szCs w:val="24"/>
        </w:rPr>
        <w:t>Ekahau</w:t>
      </w:r>
      <w:proofErr w:type="spellEnd"/>
      <w:r w:rsidRPr="001B68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6881">
        <w:rPr>
          <w:rFonts w:ascii="Arial" w:hAnsi="Arial" w:cs="Arial"/>
          <w:sz w:val="24"/>
          <w:szCs w:val="24"/>
        </w:rPr>
        <w:t>Sidekick</w:t>
      </w:r>
      <w:proofErr w:type="spellEnd"/>
      <w:r w:rsidRPr="001B68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6881">
        <w:rPr>
          <w:rFonts w:ascii="Arial" w:hAnsi="Arial" w:cs="Arial"/>
          <w:sz w:val="24"/>
          <w:szCs w:val="24"/>
        </w:rPr>
        <w:t xml:space="preserve">2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6881">
        <w:rPr>
          <w:rFonts w:ascii="Arial" w:hAnsi="Arial" w:cs="Arial"/>
          <w:sz w:val="24"/>
          <w:szCs w:val="24"/>
        </w:rPr>
        <w:t xml:space="preserve">1 ks </w:t>
      </w:r>
    </w:p>
    <w:p w14:paraId="57C9BAC6" w14:textId="77777777" w:rsidR="001B6881" w:rsidRPr="00587D3E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B6881" w:rsidRPr="00587D3E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11D5" w14:textId="77777777" w:rsidR="00342820" w:rsidRDefault="00342820">
      <w:r>
        <w:separator/>
      </w:r>
    </w:p>
  </w:endnote>
  <w:endnote w:type="continuationSeparator" w:id="0">
    <w:p w14:paraId="70D07D2F" w14:textId="77777777" w:rsidR="00342820" w:rsidRDefault="003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3DD7" w14:textId="77777777" w:rsidR="00342820" w:rsidRDefault="00342820">
      <w:r>
        <w:separator/>
      </w:r>
    </w:p>
  </w:footnote>
  <w:footnote w:type="continuationSeparator" w:id="0">
    <w:p w14:paraId="7C1AFAED" w14:textId="77777777" w:rsidR="00342820" w:rsidRDefault="0034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C06" w14:textId="77777777" w:rsidR="001B6881" w:rsidRPr="0069320A" w:rsidRDefault="001B6881" w:rsidP="001B6881">
    <w:pPr>
      <w:spacing w:line="276" w:lineRule="auto"/>
      <w:jc w:val="right"/>
      <w:rPr>
        <w:rFonts w:ascii="Arial" w:hAnsi="Arial" w:cs="Arial"/>
        <w:b/>
        <w:sz w:val="24"/>
        <w:szCs w:val="24"/>
      </w:rPr>
    </w:pPr>
    <w:proofErr w:type="gramStart"/>
    <w:r w:rsidRPr="0069320A">
      <w:rPr>
        <w:rFonts w:ascii="Arial" w:hAnsi="Arial" w:cs="Arial"/>
        <w:b/>
        <w:sz w:val="24"/>
        <w:szCs w:val="24"/>
      </w:rPr>
      <w:t>Č.j. :</w:t>
    </w:r>
    <w:proofErr w:type="gramEnd"/>
    <w:r w:rsidRPr="001B6881">
      <w:t xml:space="preserve"> </w:t>
    </w:r>
    <w:r w:rsidRPr="001B6881">
      <w:rPr>
        <w:rFonts w:ascii="Arial" w:hAnsi="Arial" w:cs="Arial"/>
        <w:b/>
        <w:sz w:val="24"/>
        <w:szCs w:val="24"/>
      </w:rPr>
      <w:t>2025/5974/NM</w:t>
    </w:r>
  </w:p>
  <w:p w14:paraId="4A491114" w14:textId="77777777" w:rsidR="001B6881" w:rsidRPr="0069320A" w:rsidRDefault="001B6881" w:rsidP="001B6881">
    <w:pPr>
      <w:spacing w:line="276" w:lineRule="auto"/>
      <w:jc w:val="right"/>
      <w:rPr>
        <w:rFonts w:ascii="Arial" w:hAnsi="Arial" w:cs="Arial"/>
        <w:b/>
        <w:sz w:val="24"/>
        <w:szCs w:val="24"/>
      </w:rPr>
    </w:pPr>
    <w:proofErr w:type="spellStart"/>
    <w:r w:rsidRPr="0069320A">
      <w:rPr>
        <w:rFonts w:ascii="Arial" w:hAnsi="Arial" w:cs="Arial"/>
        <w:b/>
        <w:sz w:val="24"/>
        <w:szCs w:val="24"/>
      </w:rPr>
      <w:t>Č.sml</w:t>
    </w:r>
    <w:proofErr w:type="spellEnd"/>
    <w:r w:rsidRPr="0069320A">
      <w:rPr>
        <w:rFonts w:ascii="Arial" w:hAnsi="Arial" w:cs="Arial"/>
        <w:b/>
        <w:sz w:val="24"/>
        <w:szCs w:val="24"/>
      </w:rPr>
      <w:t>.:</w:t>
    </w:r>
    <w:r w:rsidRPr="001B6881">
      <w:t xml:space="preserve"> </w:t>
    </w:r>
    <w:r w:rsidRPr="001B6881">
      <w:rPr>
        <w:rFonts w:ascii="Arial" w:hAnsi="Arial" w:cs="Arial"/>
        <w:b/>
        <w:sz w:val="24"/>
        <w:szCs w:val="24"/>
      </w:rPr>
      <w:t>251634</w:t>
    </w:r>
  </w:p>
  <w:p w14:paraId="2BEAA86F" w14:textId="77777777" w:rsidR="001B6881" w:rsidRDefault="001B6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A2B7A"/>
    <w:rsid w:val="001B6881"/>
    <w:rsid w:val="001C586C"/>
    <w:rsid w:val="001D0730"/>
    <w:rsid w:val="001D40F1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42820"/>
    <w:rsid w:val="00363809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6CA"/>
    <w:rsid w:val="005E3F58"/>
    <w:rsid w:val="0063432E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4392A"/>
    <w:rsid w:val="008566E7"/>
    <w:rsid w:val="00866BCE"/>
    <w:rsid w:val="0087702E"/>
    <w:rsid w:val="008872C1"/>
    <w:rsid w:val="008A289C"/>
    <w:rsid w:val="008B65C0"/>
    <w:rsid w:val="008C12BB"/>
    <w:rsid w:val="008D28E2"/>
    <w:rsid w:val="008E0B43"/>
    <w:rsid w:val="00930F9F"/>
    <w:rsid w:val="0093262F"/>
    <w:rsid w:val="00957820"/>
    <w:rsid w:val="009933A0"/>
    <w:rsid w:val="00996521"/>
    <w:rsid w:val="009A6026"/>
    <w:rsid w:val="009F2B03"/>
    <w:rsid w:val="00A23393"/>
    <w:rsid w:val="00A34FC3"/>
    <w:rsid w:val="00A54F5A"/>
    <w:rsid w:val="00A55667"/>
    <w:rsid w:val="00AA51BA"/>
    <w:rsid w:val="00AB7062"/>
    <w:rsid w:val="00AD1433"/>
    <w:rsid w:val="00AE50A2"/>
    <w:rsid w:val="00B07093"/>
    <w:rsid w:val="00B2055B"/>
    <w:rsid w:val="00B40E70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88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81E60-E513-4BE3-B4C4-1CB78BBA9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2025-11-21T12:30:00Z</dcterms:created>
  <dcterms:modified xsi:type="dcterms:W3CDTF">2025-11-21T12:30:00Z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