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HOT JAZZ s.r.o.</w:t>
      </w:r>
      <w:proofErr w:type="gramEnd"/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se</w:t>
      </w:r>
      <w:proofErr w:type="gramEnd"/>
      <w:r>
        <w:rPr>
          <w:rFonts w:ascii="Helvetica" w:hAnsi="Helvetica"/>
          <w:sz w:val="20"/>
          <w:szCs w:val="20"/>
        </w:rPr>
        <w:t xml:space="preserve"> sídlem U Nikolajky 174, 150 00 Praha 5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IČ: 264 359 85, DIČ: CZ 264 359 85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Zastoupená: p. Ondřejem Havelkou, jednatelem společnosti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Zapsaná v obchodním rejstříku vedeném Městským soudem v Praze, oddíl C, vložka 82006</w:t>
      </w:r>
    </w:p>
    <w:p w:rsidR="009F6E67" w:rsidRDefault="00424144">
      <w:pPr>
        <w:pStyle w:val="Heading1A"/>
        <w:keepNext/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č.ú.</w:t>
      </w:r>
      <w:proofErr w:type="gramEnd"/>
      <w:r>
        <w:rPr>
          <w:rFonts w:ascii="Helvetica" w:hAnsi="Helvetica"/>
        </w:rPr>
        <w:t xml:space="preserve"> </w:t>
      </w:r>
      <w:r w:rsidR="00A92B5B">
        <w:rPr>
          <w:rFonts w:ascii="Helvetica" w:hAnsi="Helvetica"/>
        </w:rPr>
        <w:t>xxx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Pr="00A92B5B" w:rsidRDefault="00424144">
      <w:pPr>
        <w:pStyle w:val="Heading3A"/>
        <w:keepNext/>
        <w:rPr>
          <w:rFonts w:ascii="Helvetica" w:eastAsia="Helvetica" w:hAnsi="Helvetica" w:cs="Helvetica"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 xml:space="preserve">Korespondenční adresa: </w:t>
      </w:r>
      <w:r w:rsidR="00A92B5B">
        <w:rPr>
          <w:rFonts w:ascii="Helvetica" w:hAnsi="Helvetica"/>
          <w:bCs/>
          <w:sz w:val="26"/>
          <w:szCs w:val="26"/>
        </w:rPr>
        <w:t>xxx</w:t>
      </w:r>
    </w:p>
    <w:p w:rsidR="009F6E67" w:rsidRDefault="00A92B5B">
      <w:pPr>
        <w:rPr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xxx</w:t>
      </w:r>
      <w:proofErr w:type="gramEnd"/>
      <w:r w:rsidR="00424144">
        <w:rPr>
          <w:rFonts w:ascii="Helvetica" w:hAnsi="Helvetica"/>
          <w:sz w:val="20"/>
          <w:szCs w:val="20"/>
        </w:rPr>
        <w:t xml:space="preserve"> /</w:t>
      </w:r>
      <w:r>
        <w:rPr>
          <w:rFonts w:ascii="Helvetica" w:hAnsi="Helvetica"/>
          <w:sz w:val="20"/>
          <w:szCs w:val="20"/>
        </w:rPr>
        <w:t>xxx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</w:t>
      </w:r>
      <w:proofErr w:type="gramStart"/>
      <w:r>
        <w:rPr>
          <w:rFonts w:ascii="Helvetica" w:hAnsi="Helvetica"/>
          <w:sz w:val="20"/>
          <w:szCs w:val="20"/>
        </w:rPr>
        <w:t>dále</w:t>
      </w:r>
      <w:proofErr w:type="gramEnd"/>
      <w:r>
        <w:rPr>
          <w:rFonts w:ascii="Helvetica" w:hAnsi="Helvetica"/>
          <w:sz w:val="20"/>
          <w:szCs w:val="20"/>
        </w:rPr>
        <w:t xml:space="preserve"> jen „orchestr“)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pStyle w:val="Heading2AA"/>
        <w:rPr>
          <w:i/>
          <w:iCs/>
          <w:sz w:val="40"/>
          <w:szCs w:val="40"/>
          <w:u w:val="none"/>
        </w:rPr>
      </w:pPr>
      <w:r>
        <w:rPr>
          <w:i/>
          <w:iCs/>
          <w:sz w:val="40"/>
          <w:szCs w:val="40"/>
          <w:u w:val="none"/>
        </w:rPr>
        <w:t>Smlouva č. 4898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gramEnd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Beskydské divadlo Nový Jičín, příspěvková organizace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sídlo</w:t>
      </w:r>
      <w:proofErr w:type="gramEnd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Divadelní </w:t>
      </w:r>
      <w:r w:rsidR="008E5916"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873/</w:t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5, 741 01 Nový Jičín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IČ:</w:t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00096334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DIČ:</w:t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není plátcem DPH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zastoupení</w:t>
      </w:r>
      <w:proofErr w:type="gramEnd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  <w:t>Bc. Ji</w:t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ří Močička, ředitel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gramStart"/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gramEnd"/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jen „pořadatel“)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vyřizuje</w:t>
      </w:r>
      <w:proofErr w:type="gramEnd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92B5B" w:rsidRPr="00A92B5B">
        <w:rPr>
          <w:rFonts w:ascii="Helvetica" w:hAnsi="Helvetica"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xxx</w:t>
      </w:r>
      <w:r w:rsidRPr="00A92B5B"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/ </w:t>
      </w:r>
      <w:r w:rsidR="00A92B5B">
        <w:rPr>
          <w:rFonts w:ascii="Helvetica" w:hAnsi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xxx</w:t>
      </w:r>
    </w:p>
    <w:p w:rsidR="009F6E67" w:rsidRPr="00A92B5B" w:rsidRDefault="00424144">
      <w:pPr>
        <w:rPr>
          <w:rFonts w:ascii="Helvetica" w:eastAsia="Helvetica" w:hAnsi="Helvetica" w:cs="Helvetica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telefon</w:t>
      </w:r>
      <w:proofErr w:type="gramEnd"/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92B5B" w:rsidRPr="00A92B5B">
        <w:rPr>
          <w:rFonts w:ascii="Helvetica" w:hAnsi="Helvetica"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xxx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produkce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koncertu na místě: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dtto</w:t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</w:p>
    <w:p w:rsidR="009F6E67" w:rsidRDefault="00424144">
      <w:pPr>
        <w:ind w:left="2880" w:hanging="2880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účinkující</w:t>
      </w:r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Ondřej Havelka a jeho Melody Makers</w:t>
      </w:r>
    </w:p>
    <w:p w:rsidR="009F6E67" w:rsidRDefault="00424144">
      <w:pPr>
        <w:ind w:left="2880" w:hanging="2880"/>
        <w:rPr>
          <w:rFonts w:ascii="Helvetica" w:eastAsia="Helvetica" w:hAnsi="Helvetica" w:cs="Helvetica"/>
          <w:i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(</w:t>
      </w:r>
      <w:proofErr w:type="gramStart"/>
      <w:r>
        <w:rPr>
          <w:rFonts w:ascii="Helvetica" w:hAnsi="Helvetica"/>
          <w:sz w:val="20"/>
          <w:szCs w:val="20"/>
        </w:rPr>
        <w:t>prosíme</w:t>
      </w:r>
      <w:proofErr w:type="gramEnd"/>
      <w:r>
        <w:rPr>
          <w:rFonts w:ascii="Helvetica" w:hAnsi="Helvetica"/>
          <w:sz w:val="20"/>
          <w:szCs w:val="20"/>
        </w:rPr>
        <w:t>, uvádějte název bandu pouze ve výše uvedeném tvaru!)</w:t>
      </w:r>
    </w:p>
    <w:p w:rsidR="009F6E67" w:rsidRDefault="00424144">
      <w:pPr>
        <w:ind w:left="2880" w:hanging="2880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program</w:t>
      </w:r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eastAsia="Helvetica" w:hAnsi="Helvetica" w:cs="Helvetica"/>
          <w:i/>
          <w:iCs/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Swing! Swing! Swing! 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vystoupení: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5. 12. 2025 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místo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vystoupení: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Nový Jičín, Beskydské divadlo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předpokládané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začátky: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19.00 hodin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ukončení</w:t>
      </w:r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21.30 hodin 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délka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vystoupení: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cca 2 hodiny s přestávkou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příjezd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/ technická příprava: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1</w:t>
      </w:r>
      <w:r w:rsidR="008E5916">
        <w:rPr>
          <w:rFonts w:ascii="Helvetica" w:hAnsi="Helvetica"/>
          <w:sz w:val="20"/>
          <w:szCs w:val="20"/>
        </w:rPr>
        <w:t>4</w:t>
      </w:r>
      <w:r>
        <w:rPr>
          <w:rFonts w:ascii="Helvetica" w:hAnsi="Helvetica"/>
          <w:sz w:val="20"/>
          <w:szCs w:val="20"/>
        </w:rPr>
        <w:t>.00 - 17.30 hodin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zvuková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zkouška: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17.30 - 18.00 hodin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Technické podmínky: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Jsou uvedeny v „Dalších smluvních podmínkách“, které tvoří nedílnou součást této smlouvy jako její příloha č. 1.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Základ vybavení pódiového ozvučení zajišťuje orchestr, objednatel zajistí PA systém potřebný pro daný prostor vystoupení.</w:t>
      </w:r>
      <w:proofErr w:type="gramEnd"/>
      <w:r>
        <w:rPr>
          <w:rFonts w:ascii="Helvetica" w:hAnsi="Helvetica"/>
          <w:sz w:val="20"/>
          <w:szCs w:val="20"/>
        </w:rPr>
        <w:t xml:space="preserve"> Klavír naladěný </w:t>
      </w:r>
      <w:proofErr w:type="gramStart"/>
      <w:r>
        <w:rPr>
          <w:rFonts w:ascii="Helvetica" w:hAnsi="Helvetica"/>
          <w:sz w:val="20"/>
          <w:szCs w:val="20"/>
        </w:rPr>
        <w:t>na</w:t>
      </w:r>
      <w:proofErr w:type="gramEnd"/>
      <w:r>
        <w:rPr>
          <w:rFonts w:ascii="Helvetica" w:hAnsi="Helvetica"/>
          <w:sz w:val="20"/>
          <w:szCs w:val="20"/>
        </w:rPr>
        <w:t xml:space="preserve"> 441 Hz zajišťuje objednatel (</w:t>
      </w:r>
      <w:r>
        <w:rPr>
          <w:rFonts w:ascii="Helvetica" w:hAnsi="Helvetica"/>
          <w:b/>
          <w:bCs/>
          <w:sz w:val="20"/>
          <w:szCs w:val="20"/>
        </w:rPr>
        <w:t>žádáme o naladění klavíru v den koncertu!</w:t>
      </w:r>
      <w:r>
        <w:rPr>
          <w:rFonts w:ascii="Helvetica" w:hAnsi="Helvetica"/>
          <w:sz w:val="20"/>
          <w:szCs w:val="20"/>
        </w:rPr>
        <w:t>).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 xml:space="preserve">Autorská práva </w:t>
      </w:r>
      <w:r>
        <w:rPr>
          <w:rFonts w:ascii="Helvetica" w:hAnsi="Helvetica"/>
          <w:sz w:val="20"/>
          <w:szCs w:val="20"/>
        </w:rPr>
        <w:t>zastupuje OSA, repertoárový list předá orchestr pořadateli včas před vystoupením.</w:t>
      </w:r>
      <w:proofErr w:type="gramEnd"/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Platební podmínky: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Smluvní odměna bude uhrazena </w:t>
      </w:r>
      <w:proofErr w:type="gramStart"/>
      <w:r>
        <w:rPr>
          <w:rFonts w:ascii="Helvetica" w:hAnsi="Helvetica"/>
          <w:sz w:val="20"/>
          <w:szCs w:val="20"/>
        </w:rPr>
        <w:t>na</w:t>
      </w:r>
      <w:proofErr w:type="gramEnd"/>
      <w:r>
        <w:rPr>
          <w:rFonts w:ascii="Helvetica" w:hAnsi="Helvetica"/>
          <w:sz w:val="20"/>
          <w:szCs w:val="20"/>
        </w:rPr>
        <w:t xml:space="preserve"> základě konečného vyúčtování předaného objednateli společností HOT JAZZ s.r.o. (dále jen orchestr) s náležitostmi daňového dokladu. Pokud odměna nebude uhrazena do 14 dnů po termínu vystoupení, činí úrok z prodlení 0</w:t>
      </w:r>
      <w:proofErr w:type="gramStart"/>
      <w:r>
        <w:rPr>
          <w:rFonts w:ascii="Helvetica" w:hAnsi="Helvetica"/>
          <w:sz w:val="20"/>
          <w:szCs w:val="20"/>
        </w:rPr>
        <w:t>,1</w:t>
      </w:r>
      <w:proofErr w:type="gramEnd"/>
      <w:r>
        <w:rPr>
          <w:rFonts w:ascii="Helvetica" w:hAnsi="Helvetica"/>
          <w:sz w:val="20"/>
          <w:szCs w:val="20"/>
        </w:rPr>
        <w:t>% částky za každý den prodlení.</w:t>
      </w:r>
    </w:p>
    <w:p w:rsidR="009F6E67" w:rsidRDefault="009F6E67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Smluvní odměna za vystoupení činí: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150.000</w:t>
      </w:r>
      <w:proofErr w:type="gramStart"/>
      <w:r>
        <w:rPr>
          <w:rFonts w:ascii="Helvetica" w:hAnsi="Helvetica"/>
          <w:sz w:val="20"/>
          <w:szCs w:val="20"/>
        </w:rPr>
        <w:t>,-</w:t>
      </w:r>
      <w:proofErr w:type="gramEnd"/>
      <w:r>
        <w:rPr>
          <w:rFonts w:ascii="Helvetica" w:hAnsi="Helvetica"/>
          <w:sz w:val="20"/>
          <w:szCs w:val="20"/>
        </w:rPr>
        <w:t xml:space="preserve"> Kč + alikvot dopravy (autobus + 1 os. vůz) a ubytování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Slovy: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jednostopadesáttisíc Korun českých + alikvot dopravy </w:t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proofErr w:type="gramStart"/>
      <w:r>
        <w:rPr>
          <w:rFonts w:ascii="Helvetica" w:eastAsia="Helvetica" w:hAnsi="Helvetica" w:cs="Helvetica"/>
          <w:sz w:val="20"/>
          <w:szCs w:val="20"/>
        </w:rPr>
        <w:t>a</w:t>
      </w:r>
      <w:proofErr w:type="gramEnd"/>
      <w:r>
        <w:rPr>
          <w:rFonts w:ascii="Helvetica" w:eastAsia="Helvetica" w:hAnsi="Helvetica" w:cs="Helvetica"/>
          <w:sz w:val="20"/>
          <w:szCs w:val="20"/>
        </w:rPr>
        <w:t xml:space="preserve"> ubytov</w:t>
      </w:r>
      <w:r>
        <w:rPr>
          <w:rFonts w:ascii="Helvetica" w:hAnsi="Helvetica"/>
          <w:sz w:val="20"/>
          <w:szCs w:val="20"/>
        </w:rPr>
        <w:t>ání</w:t>
      </w:r>
      <w:r>
        <w:rPr>
          <w:rFonts w:ascii="Helvetica" w:eastAsia="Helvetica" w:hAnsi="Helvetica" w:cs="Helvetica"/>
          <w:sz w:val="20"/>
          <w:szCs w:val="20"/>
        </w:rPr>
        <w:tab/>
      </w: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DPH: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21% /</w:t>
      </w:r>
      <w:r>
        <w:rPr>
          <w:rFonts w:ascii="Helvetica" w:hAnsi="Helvetica"/>
          <w:b/>
          <w:bCs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není započteno v ceně vystoupení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Nedílnou součástí této smlouvy jsou „Další smluvní podmínky“, uvedené v příloze č. 1, „Technické podmínky</w:t>
      </w:r>
      <w:proofErr w:type="gramStart"/>
      <w:r>
        <w:rPr>
          <w:rFonts w:ascii="Helvetica" w:hAnsi="Helvetica"/>
          <w:sz w:val="20"/>
          <w:szCs w:val="20"/>
        </w:rPr>
        <w:t>“ uvedené</w:t>
      </w:r>
      <w:proofErr w:type="gramEnd"/>
      <w:r>
        <w:rPr>
          <w:rFonts w:ascii="Helvetica" w:hAnsi="Helvetica"/>
          <w:sz w:val="20"/>
          <w:szCs w:val="20"/>
        </w:rPr>
        <w:t xml:space="preserve"> v příloze č. 2 a “Plánek pódia” jako příloha č. 3 této smlouvy.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Tato smlouva je vyhotovena ve dvou vyhotoveních s platností originálu, a to pro každou ze smluvních stran jedno.</w:t>
      </w:r>
      <w:proofErr w:type="gramEnd"/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V Praze; dne</w:t>
      </w:r>
      <w:r>
        <w:rPr>
          <w:rFonts w:ascii="Helvetica" w:hAnsi="Helvetica"/>
          <w:sz w:val="20"/>
          <w:szCs w:val="20"/>
        </w:rPr>
        <w:tab/>
      </w:r>
      <w:r w:rsidR="00A92B5B">
        <w:rPr>
          <w:rFonts w:ascii="Helvetica" w:hAnsi="Helvetica"/>
          <w:sz w:val="20"/>
          <w:szCs w:val="20"/>
        </w:rPr>
        <w:t>14.11.2025</w:t>
      </w:r>
      <w:r w:rsidR="00A92B5B">
        <w:rPr>
          <w:rFonts w:ascii="Helvetica" w:hAnsi="Helvetica"/>
          <w:sz w:val="20"/>
          <w:szCs w:val="20"/>
        </w:rPr>
        <w:tab/>
      </w:r>
      <w:r w:rsidR="00A92B5B">
        <w:rPr>
          <w:rFonts w:ascii="Helvetica" w:hAnsi="Helvetica"/>
          <w:sz w:val="20"/>
          <w:szCs w:val="20"/>
        </w:rPr>
        <w:tab/>
      </w:r>
      <w:r w:rsidR="00A92B5B">
        <w:rPr>
          <w:rFonts w:ascii="Helvetica" w:hAnsi="Helvetica"/>
          <w:sz w:val="20"/>
          <w:szCs w:val="20"/>
        </w:rPr>
        <w:tab/>
      </w:r>
      <w:r w:rsidR="00A92B5B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V Novém Jičíně; dne </w:t>
      </w:r>
      <w:r w:rsidR="00A92B5B">
        <w:rPr>
          <w:rFonts w:ascii="Helvetica" w:hAnsi="Helvetica"/>
          <w:sz w:val="20"/>
          <w:szCs w:val="20"/>
        </w:rPr>
        <w:t>14.11.2025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HOT JAZZ s.r.o.</w:t>
      </w:r>
      <w:proofErr w:type="gram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Beskydské divadlo Nový Jičín, příspěvková organizace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………………………………………….........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………………………………………………….</w:t>
      </w:r>
    </w:p>
    <w:p w:rsidR="009F6E67" w:rsidRDefault="00424144">
      <w:pPr>
        <w:rPr>
          <w:rFonts w:ascii="Helvetica" w:eastAsia="Helvetica" w:hAnsi="Helvetica" w:cs="Helvetica"/>
        </w:rPr>
      </w:pPr>
      <w:r>
        <w:rPr>
          <w:rFonts w:ascii="Helvetica" w:hAnsi="Helvetica"/>
          <w:sz w:val="20"/>
          <w:szCs w:val="20"/>
        </w:rPr>
        <w:t>Mgr. Ondřej Havelka, jednatel společnosti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Bc. Jiří Močička, ředitel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9F6E6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424144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8"/>
          <w:szCs w:val="28"/>
        </w:rPr>
        <w:t xml:space="preserve">Další smluvní podmínky </w:t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hAnsi="Helvetica"/>
          <w:sz w:val="18"/>
          <w:szCs w:val="18"/>
        </w:rPr>
        <w:t>příloha č. 1</w:t>
      </w:r>
    </w:p>
    <w:p w:rsidR="009F6E67" w:rsidRDefault="009F6E67">
      <w:pPr>
        <w:rPr>
          <w:rFonts w:ascii="Helvetica" w:eastAsia="Helvetica" w:hAnsi="Helvetica" w:cs="Helvetica"/>
          <w:sz w:val="20"/>
          <w:szCs w:val="20"/>
        </w:rPr>
      </w:pPr>
    </w:p>
    <w:p w:rsidR="009F6E67" w:rsidRPr="00A43165" w:rsidRDefault="00424144" w:rsidP="00A43165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A43165">
        <w:rPr>
          <w:rFonts w:ascii="Helvetica" w:hAnsi="Helvetica"/>
          <w:sz w:val="20"/>
          <w:szCs w:val="20"/>
        </w:rPr>
        <w:t xml:space="preserve">Orchestr </w:t>
      </w:r>
      <w:proofErr w:type="gramStart"/>
      <w:r w:rsidRPr="00A43165">
        <w:rPr>
          <w:rFonts w:ascii="Helvetica" w:hAnsi="Helvetica"/>
          <w:sz w:val="20"/>
          <w:szCs w:val="20"/>
        </w:rPr>
        <w:t>na</w:t>
      </w:r>
      <w:proofErr w:type="gramEnd"/>
      <w:r w:rsidRPr="00A43165">
        <w:rPr>
          <w:rFonts w:ascii="Helvetica" w:hAnsi="Helvetica"/>
          <w:sz w:val="20"/>
          <w:szCs w:val="20"/>
        </w:rPr>
        <w:t xml:space="preserve"> straně jedné a objednatel na straně druhé uzavřeli smlouvu o uměleckém výkonu za po</w:t>
      </w:r>
      <w:r w:rsidRPr="00A43165">
        <w:rPr>
          <w:rFonts w:ascii="Helvetica" w:hAnsi="Helvetica"/>
          <w:sz w:val="20"/>
          <w:szCs w:val="20"/>
        </w:rPr>
        <w:t>d</w:t>
      </w:r>
      <w:r w:rsidRPr="00A43165">
        <w:rPr>
          <w:rFonts w:ascii="Helvetica" w:hAnsi="Helvetica"/>
          <w:sz w:val="20"/>
          <w:szCs w:val="20"/>
        </w:rPr>
        <w:t>mínek uvedených na první a druhé straně této smlouvy. Tuto smlouvu je možné měnit pouze písemnou formou.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Nedílnou součástí této smlouvy je příloha č. 2 upřesňující technické podmínky, za jejichž dodržení o</w:t>
      </w:r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povídá objednatel. V případě jejich nedodržení, porušení či nedostatečném splnění se vystoupení neuskuteční, objednatel je však povinen uhradit orchestru sjednanou cenu.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Jednotlivé podmínky této smlouvy považují všechny strany za důvěrné a zavazují se, že je neprozradí další straně.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Pokud je vystoupení objednatelem zrušeno, uhradí tento v období </w:t>
      </w:r>
      <w:proofErr w:type="gramStart"/>
      <w:r>
        <w:rPr>
          <w:rFonts w:ascii="Helvetica" w:hAnsi="Helvetica"/>
          <w:sz w:val="20"/>
          <w:szCs w:val="20"/>
        </w:rPr>
        <w:t>od</w:t>
      </w:r>
      <w:proofErr w:type="gramEnd"/>
      <w:r>
        <w:rPr>
          <w:rFonts w:ascii="Helvetica" w:hAnsi="Helvetica"/>
          <w:sz w:val="20"/>
          <w:szCs w:val="20"/>
        </w:rPr>
        <w:t xml:space="preserve"> data podpisu smlouvy do 7. </w:t>
      </w:r>
      <w:proofErr w:type="gramStart"/>
      <w:r>
        <w:rPr>
          <w:rFonts w:ascii="Helvetica" w:hAnsi="Helvetica"/>
          <w:sz w:val="20"/>
          <w:szCs w:val="20"/>
        </w:rPr>
        <w:t>dne</w:t>
      </w:r>
      <w:proofErr w:type="gramEnd"/>
      <w:r>
        <w:rPr>
          <w:rFonts w:ascii="Helvetica" w:hAnsi="Helvetica"/>
          <w:sz w:val="20"/>
          <w:szCs w:val="20"/>
        </w:rPr>
        <w:t xml:space="preserve"> před vystoupením 50% smluvené odměny včetně dohodnutých nákladů, v rozmezí od 7 dnů do 1 dne před jeho termínem uhradí objednatel 75% smluvené ceny včetně dohodnutých nákladů. Je-li vystoupení zrušeno v den, kdy se má uskutečnit, uhradí objednatel 100% smluvené ceny včetně dohodnutých nákladů.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Bude-li vystoupení znemožněno v důsledku vyšší moci bez zavinění smluvních partnerů (např. přírodní katastrofy, požár, úmrtí, úraz, náhlé onemocnění nezastupitelných umělců apod.), mají obě strany nárok odstoupit </w:t>
      </w:r>
      <w:proofErr w:type="gramStart"/>
      <w:r>
        <w:rPr>
          <w:rFonts w:ascii="Helvetica" w:hAnsi="Helvetica"/>
          <w:sz w:val="20"/>
          <w:szCs w:val="20"/>
        </w:rPr>
        <w:t>od</w:t>
      </w:r>
      <w:proofErr w:type="gramEnd"/>
      <w:r>
        <w:rPr>
          <w:rFonts w:ascii="Helvetica" w:hAnsi="Helvetica"/>
          <w:sz w:val="20"/>
          <w:szCs w:val="20"/>
        </w:rPr>
        <w:t xml:space="preserve"> smlouvy bez dalších nároků s tím, že si vzájemně vrátí již poskytnuté plnění. Důvodem k odstoupení </w:t>
      </w:r>
      <w:proofErr w:type="gramStart"/>
      <w:r>
        <w:rPr>
          <w:rFonts w:ascii="Helvetica" w:hAnsi="Helvetica"/>
          <w:sz w:val="20"/>
          <w:szCs w:val="20"/>
        </w:rPr>
        <w:t>od</w:t>
      </w:r>
      <w:proofErr w:type="gramEnd"/>
      <w:r>
        <w:rPr>
          <w:rFonts w:ascii="Helvetica" w:hAnsi="Helvetica"/>
          <w:sz w:val="20"/>
          <w:szCs w:val="20"/>
        </w:rPr>
        <w:t xml:space="preserve"> smlouvy bez nároku na zaplacení smluvené odměny však nejsou skutečnosti, které jsou součástí podnikatelského rizika (např. malý zájem o vstupenky). Odstoupení musí být učiněno vždy písemnou formou a neprodleně doručeno druhé straně.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Při nedodržení smluvních podmínek, jež jsou zmíněny v bodě 2 těchto podmínek, mají účinkující právo odmítnout vystoupení, objednatel však uhradí 100% smluvené odměny včetně dohodnutých nákladů.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Objednatel zaručí, aby představení bylo technicky i organizačně dobře zajištěno včetně technického pe</w:t>
      </w:r>
      <w:r>
        <w:rPr>
          <w:rFonts w:ascii="Helvetica" w:hAnsi="Helvetica"/>
          <w:sz w:val="20"/>
          <w:szCs w:val="20"/>
        </w:rPr>
        <w:t>r</w:t>
      </w:r>
      <w:r>
        <w:rPr>
          <w:rFonts w:ascii="Helvetica" w:hAnsi="Helvetica"/>
          <w:sz w:val="20"/>
          <w:szCs w:val="20"/>
        </w:rPr>
        <w:t>sonálu a dalších podmínek, vyplývajících z této smlouvy, ze zákoníku práce a dalších obecně závazných předpisů (např. minimálně 20° C teplota v sále a dalších prostorách dle technických norem atd.).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Objednatel odpovídá za případné úrazy a majetkové škody vzniklé v souvislosti vystoupením, pokud n</w:t>
      </w:r>
      <w:r>
        <w:rPr>
          <w:rFonts w:ascii="Helvetica" w:hAnsi="Helvetica"/>
          <w:sz w:val="20"/>
          <w:szCs w:val="20"/>
        </w:rPr>
        <w:t>e</w:t>
      </w:r>
      <w:r>
        <w:rPr>
          <w:rFonts w:ascii="Helvetica" w:hAnsi="Helvetica"/>
          <w:sz w:val="20"/>
          <w:szCs w:val="20"/>
        </w:rPr>
        <w:t>byly průkazně zaviněny účinkujícími a jejich doprovodem.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Orchestr zajistí svolení k užití prezentovaných </w:t>
      </w:r>
      <w:proofErr w:type="gramStart"/>
      <w:r>
        <w:rPr>
          <w:rFonts w:ascii="Helvetica" w:hAnsi="Helvetica"/>
          <w:sz w:val="20"/>
          <w:szCs w:val="20"/>
        </w:rPr>
        <w:t>děl</w:t>
      </w:r>
      <w:proofErr w:type="gramEnd"/>
      <w:r>
        <w:rPr>
          <w:rFonts w:ascii="Helvetica" w:hAnsi="Helvetica"/>
          <w:sz w:val="20"/>
          <w:szCs w:val="20"/>
        </w:rPr>
        <w:t>, pořadatel zaplatí autorské odměny.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Objednatel zajistí, aby bez předchozího souhlasu účinkujících nebyly během vystoupení pořizovány obr</w:t>
      </w:r>
      <w:r>
        <w:rPr>
          <w:rFonts w:ascii="Helvetica" w:hAnsi="Helvetica"/>
          <w:sz w:val="20"/>
          <w:szCs w:val="20"/>
        </w:rPr>
        <w:t>a</w:t>
      </w:r>
      <w:r>
        <w:rPr>
          <w:rFonts w:ascii="Helvetica" w:hAnsi="Helvetica"/>
          <w:sz w:val="20"/>
          <w:szCs w:val="20"/>
        </w:rPr>
        <w:t>zové a zvukové záznamy včetně fotografování nebo prováděny přenosy s výjimkou případů dovolených zákonem.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Objednatel má povinnost hlásit, respektive žádat o povolení k vystoupení příslušné úřady podle obecně platných předpisů.</w:t>
      </w:r>
    </w:p>
    <w:p w:rsidR="009F6E67" w:rsidRDefault="00424144" w:rsidP="00A43165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Objednatel prohlašuje, že vystoupení, jež je předmětem této smlouvy, není žádným způsobem spojeno s propagací jakékoliv politické strany nebo politického hnutí. Pokud se toto prohlášení pořadatele ukáže být nepravdivým, má orchestr právo odstoupit </w:t>
      </w:r>
      <w:proofErr w:type="gramStart"/>
      <w:r>
        <w:rPr>
          <w:rFonts w:ascii="Helvetica" w:hAnsi="Helvetica"/>
          <w:sz w:val="20"/>
          <w:szCs w:val="20"/>
        </w:rPr>
        <w:t>od</w:t>
      </w:r>
      <w:proofErr w:type="gramEnd"/>
      <w:r>
        <w:rPr>
          <w:rFonts w:ascii="Helvetica" w:hAnsi="Helvetica"/>
          <w:sz w:val="20"/>
          <w:szCs w:val="20"/>
        </w:rPr>
        <w:t xml:space="preserve"> této smlouvy a právo požadovat po objednateli smluvní pokutu ve výši smluvené odměny za vystoupení. V ustanovení o smluvní pokutě není dotčeno právo požadovat po pořadateli škody v plné výši.</w:t>
      </w:r>
    </w:p>
    <w:p w:rsidR="009F6E67" w:rsidRDefault="009F6E6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9F6E6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9F6E6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9F6E6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9F6E6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424144">
      <w:pPr>
        <w:jc w:val="both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hAnsi="Helvetica"/>
          <w:b/>
          <w:bCs/>
          <w:sz w:val="28"/>
          <w:szCs w:val="28"/>
        </w:rPr>
        <w:lastRenderedPageBreak/>
        <w:t>Technické podmínky</w:t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 w:rsidR="00A92B5B">
        <w:rPr>
          <w:rFonts w:ascii="Helvetica" w:eastAsia="Helvetica" w:hAnsi="Helvetica" w:cs="Helvetica"/>
          <w:b/>
          <w:bCs/>
          <w:sz w:val="20"/>
          <w:szCs w:val="20"/>
        </w:rPr>
        <w:t xml:space="preserve">          </w:t>
      </w:r>
      <w:bookmarkStart w:id="0" w:name="_GoBack"/>
      <w:bookmarkEnd w:id="0"/>
      <w:r>
        <w:rPr>
          <w:rFonts w:ascii="Helvetica" w:hAnsi="Helvetica"/>
          <w:sz w:val="18"/>
          <w:szCs w:val="18"/>
        </w:rPr>
        <w:t>příloha č. 2</w:t>
      </w:r>
    </w:p>
    <w:p w:rsidR="009F6E67" w:rsidRPr="00A92B5B" w:rsidRDefault="00A92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</w:rPr>
      </w:pPr>
      <w:proofErr w:type="gramStart"/>
      <w:r>
        <w:t>xxx</w:t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>Plánek</w:t>
      </w:r>
      <w:proofErr w:type="gramEnd"/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 xml:space="preserve"> pódia</w:t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  <w:lang w:val="fr-FR"/>
        </w:rPr>
        <w:t xml:space="preserve"> orchestru</w:t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 xml:space="preserve"> </w:t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b/>
          <w:bCs/>
          <w:kern w:val="2"/>
          <w:sz w:val="28"/>
          <w:szCs w:val="28"/>
        </w:rPr>
        <w:tab/>
      </w:r>
      <w:r w:rsidR="00424144">
        <w:rPr>
          <w:rStyle w:val="dn"/>
          <w:rFonts w:ascii="Helvetica" w:hAnsi="Helvetica"/>
          <w:kern w:val="2"/>
          <w:sz w:val="18"/>
          <w:szCs w:val="18"/>
        </w:rPr>
        <w:t>příloha č. 3</w:t>
      </w:r>
      <w:r w:rsidR="00424144">
        <w:rPr>
          <w:rStyle w:val="dn"/>
          <w:rFonts w:ascii="Helvetica" w:eastAsia="Helvetica" w:hAnsi="Helvetica" w:cs="Helvetica"/>
          <w:noProof/>
          <w:kern w:val="2"/>
          <w:sz w:val="18"/>
          <w:szCs w:val="18"/>
          <w:lang w:val="cs-CZ"/>
        </w:rPr>
        <w:drawing>
          <wp:anchor distT="152400" distB="152400" distL="152400" distR="152400" simplePos="0" relativeHeight="251659264" behindDoc="0" locked="0" layoutInCell="1" allowOverlap="1" wp14:anchorId="3406FB78" wp14:editId="0AE9ED49">
            <wp:simplePos x="0" y="0"/>
            <wp:positionH relativeFrom="margin">
              <wp:posOffset>1170147</wp:posOffset>
            </wp:positionH>
            <wp:positionV relativeFrom="line">
              <wp:posOffset>283101</wp:posOffset>
            </wp:positionV>
            <wp:extent cx="4676003" cy="83128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agePlan_MM_2023v3B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gePlan_MM_2023v3B.pdf" descr="StagePlan_MM_2023v3B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003" cy="83128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F6E67" w:rsidRDefault="009F6E67">
      <w:pPr>
        <w:jc w:val="both"/>
        <w:rPr>
          <w:rStyle w:val="dn"/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jc w:val="both"/>
        <w:rPr>
          <w:rStyle w:val="dn"/>
          <w:rFonts w:ascii="Helvetica" w:eastAsia="Helvetica" w:hAnsi="Helvetica" w:cs="Helvetica"/>
          <w:b/>
          <w:bCs/>
          <w:sz w:val="20"/>
          <w:szCs w:val="20"/>
        </w:rPr>
      </w:pPr>
    </w:p>
    <w:p w:rsidR="009F6E67" w:rsidRDefault="009F6E67">
      <w:pPr>
        <w:jc w:val="both"/>
        <w:rPr>
          <w:rStyle w:val="dn"/>
          <w:rFonts w:ascii="Helvetica" w:eastAsia="Helvetica" w:hAnsi="Helvetica" w:cs="Helvetica"/>
          <w:sz w:val="20"/>
          <w:szCs w:val="20"/>
        </w:rPr>
      </w:pPr>
    </w:p>
    <w:p w:rsidR="009F6E67" w:rsidRDefault="009F6E67">
      <w:pPr>
        <w:tabs>
          <w:tab w:val="left" w:pos="360"/>
        </w:tabs>
        <w:jc w:val="both"/>
      </w:pPr>
    </w:p>
    <w:sectPr w:rsidR="009F6E6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AB" w:rsidRDefault="00400BAB">
      <w:r>
        <w:separator/>
      </w:r>
    </w:p>
  </w:endnote>
  <w:endnote w:type="continuationSeparator" w:id="0">
    <w:p w:rsidR="00400BAB" w:rsidRDefault="0040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ヒラギノ角ゴ Pro W6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67" w:rsidRDefault="009F6E67">
    <w:pPr>
      <w:pStyle w:val="Zhlava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67" w:rsidRDefault="009F6E67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AB" w:rsidRDefault="00400BAB">
      <w:r>
        <w:separator/>
      </w:r>
    </w:p>
  </w:footnote>
  <w:footnote w:type="continuationSeparator" w:id="0">
    <w:p w:rsidR="00400BAB" w:rsidRDefault="00400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67" w:rsidRDefault="009F6E67">
    <w:pPr>
      <w:pStyle w:val="Zhlava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67" w:rsidRDefault="009F6E67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875"/>
    <w:multiLevelType w:val="hybridMultilevel"/>
    <w:tmpl w:val="81C60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1E00"/>
    <w:multiLevelType w:val="hybridMultilevel"/>
    <w:tmpl w:val="5AE0BBFC"/>
    <w:styleLink w:val="Odrky"/>
    <w:lvl w:ilvl="0" w:tplc="35E4ECE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5A13C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2E48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1AB29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FED04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25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BE269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3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ED6D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3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43C5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4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E3B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4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41A7912"/>
    <w:multiLevelType w:val="hybridMultilevel"/>
    <w:tmpl w:val="96CC7A1A"/>
    <w:numStyleLink w:val="List1"/>
  </w:abstractNum>
  <w:abstractNum w:abstractNumId="3">
    <w:nsid w:val="692038B2"/>
    <w:multiLevelType w:val="hybridMultilevel"/>
    <w:tmpl w:val="96CC7A1A"/>
    <w:styleLink w:val="List1"/>
    <w:lvl w:ilvl="0" w:tplc="B1D0F308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DE562A">
      <w:start w:val="1"/>
      <w:numFmt w:val="lowerLetter"/>
      <w:suff w:val="nothing"/>
      <w:lvlText w:val="%2."/>
      <w:lvlJc w:val="left"/>
      <w:pPr>
        <w:ind w:left="180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6838E8">
      <w:start w:val="1"/>
      <w:numFmt w:val="lowerRoman"/>
      <w:suff w:val="nothing"/>
      <w:lvlText w:val="%3."/>
      <w:lvlJc w:val="left"/>
      <w:pPr>
        <w:ind w:left="252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9A3E64">
      <w:start w:val="1"/>
      <w:numFmt w:val="decimal"/>
      <w:suff w:val="nothing"/>
      <w:lvlText w:val="%4."/>
      <w:lvlJc w:val="left"/>
      <w:pPr>
        <w:ind w:left="324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E658C6">
      <w:start w:val="1"/>
      <w:numFmt w:val="lowerLetter"/>
      <w:suff w:val="nothing"/>
      <w:lvlText w:val="%5."/>
      <w:lvlJc w:val="left"/>
      <w:pPr>
        <w:ind w:left="396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84C2BA">
      <w:start w:val="1"/>
      <w:numFmt w:val="lowerRoman"/>
      <w:suff w:val="nothing"/>
      <w:lvlText w:val="%6."/>
      <w:lvlJc w:val="left"/>
      <w:pPr>
        <w:ind w:left="468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5067CA">
      <w:start w:val="1"/>
      <w:numFmt w:val="decimal"/>
      <w:suff w:val="nothing"/>
      <w:lvlText w:val="%7."/>
      <w:lvlJc w:val="left"/>
      <w:pPr>
        <w:ind w:left="540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2C3630">
      <w:start w:val="1"/>
      <w:numFmt w:val="lowerLetter"/>
      <w:suff w:val="nothing"/>
      <w:lvlText w:val="%8."/>
      <w:lvlJc w:val="left"/>
      <w:pPr>
        <w:ind w:left="612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B669F8">
      <w:start w:val="1"/>
      <w:numFmt w:val="lowerRoman"/>
      <w:suff w:val="nothing"/>
      <w:lvlText w:val="%9."/>
      <w:lvlJc w:val="left"/>
      <w:pPr>
        <w:ind w:left="684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7E438E2"/>
    <w:multiLevelType w:val="hybridMultilevel"/>
    <w:tmpl w:val="5AE0BBFC"/>
    <w:numStyleLink w:val="Odrky"/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grammar="clean"/>
  <w:revisionView w:inkAnnotations="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6E67"/>
    <w:rsid w:val="001520EC"/>
    <w:rsid w:val="00400BAB"/>
    <w:rsid w:val="00424144"/>
    <w:rsid w:val="008E5916"/>
    <w:rsid w:val="00967A66"/>
    <w:rsid w:val="009F6E67"/>
    <w:rsid w:val="00A43165"/>
    <w:rsid w:val="00A92B5B"/>
    <w:rsid w:val="00C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Roman" w:eastAsia="Times Roman" w:hAnsi="Times Roman" w:cs="Times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1A">
    <w:name w:val="Heading 1 A"/>
    <w:pPr>
      <w:outlineLvl w:val="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  <w:lang w:val="en-US"/>
    </w:rPr>
  </w:style>
  <w:style w:type="character" w:customStyle="1" w:styleId="Hyperlink0">
    <w:name w:val="Hyperlink.0"/>
    <w:basedOn w:val="Odkaz"/>
    <w:rPr>
      <w:outline w:val="0"/>
      <w:color w:val="000000"/>
      <w:sz w:val="20"/>
      <w:szCs w:val="20"/>
      <w:u w:val="none" w:color="0000FF"/>
      <w:lang w:val="en-US"/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eastAsia="ヒラギノ角ゴ Pro W6" w:hAnsi="ヒラギノ角ゴ Pro W6" w:cs="ヒラギノ角ゴ Pro W6"/>
      <w:b/>
      <w:bCs/>
      <w:color w:val="000000"/>
      <w:sz w:val="48"/>
      <w:szCs w:val="48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Odrky">
    <w:name w:val="Odrážky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outline w:val="0"/>
      <w:color w:val="000000"/>
      <w:kern w:val="2"/>
      <w:sz w:val="20"/>
      <w:szCs w:val="20"/>
      <w:u w:val="none" w:color="000000"/>
      <w:lang w:val="en-US"/>
    </w:rPr>
  </w:style>
  <w:style w:type="character" w:customStyle="1" w:styleId="Hyperlink2">
    <w:name w:val="Hyperlink.2"/>
    <w:basedOn w:val="dn"/>
    <w:rPr>
      <w:outline w:val="0"/>
      <w:color w:val="000000"/>
      <w:kern w:val="2"/>
      <w:sz w:val="20"/>
      <w:szCs w:val="20"/>
      <w:u w:val="none" w:color="0563C1"/>
    </w:rPr>
  </w:style>
  <w:style w:type="paragraph" w:styleId="Odstavecseseznamem">
    <w:name w:val="List Paragraph"/>
    <w:basedOn w:val="Normln"/>
    <w:uiPriority w:val="34"/>
    <w:qFormat/>
    <w:rsid w:val="00A4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Roman" w:eastAsia="Times Roman" w:hAnsi="Times Roman" w:cs="Times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1A">
    <w:name w:val="Heading 1 A"/>
    <w:pPr>
      <w:outlineLvl w:val="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  <w:lang w:val="en-US"/>
    </w:rPr>
  </w:style>
  <w:style w:type="character" w:customStyle="1" w:styleId="Hyperlink0">
    <w:name w:val="Hyperlink.0"/>
    <w:basedOn w:val="Odkaz"/>
    <w:rPr>
      <w:outline w:val="0"/>
      <w:color w:val="000000"/>
      <w:sz w:val="20"/>
      <w:szCs w:val="20"/>
      <w:u w:val="none" w:color="0000FF"/>
      <w:lang w:val="en-US"/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eastAsia="ヒラギノ角ゴ Pro W6" w:hAnsi="ヒラギノ角ゴ Pro W6" w:cs="ヒラギノ角ゴ Pro W6"/>
      <w:b/>
      <w:bCs/>
      <w:color w:val="000000"/>
      <w:sz w:val="48"/>
      <w:szCs w:val="48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Odrky">
    <w:name w:val="Odrážky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outline w:val="0"/>
      <w:color w:val="000000"/>
      <w:kern w:val="2"/>
      <w:sz w:val="20"/>
      <w:szCs w:val="20"/>
      <w:u w:val="none" w:color="000000"/>
      <w:lang w:val="en-US"/>
    </w:rPr>
  </w:style>
  <w:style w:type="character" w:customStyle="1" w:styleId="Hyperlink2">
    <w:name w:val="Hyperlink.2"/>
    <w:basedOn w:val="dn"/>
    <w:rPr>
      <w:outline w:val="0"/>
      <w:color w:val="000000"/>
      <w:kern w:val="2"/>
      <w:sz w:val="20"/>
      <w:szCs w:val="20"/>
      <w:u w:val="none" w:color="0563C1"/>
    </w:rPr>
  </w:style>
  <w:style w:type="paragraph" w:styleId="Odstavecseseznamem">
    <w:name w:val="List Paragraph"/>
    <w:basedOn w:val="Normln"/>
    <w:uiPriority w:val="34"/>
    <w:qFormat/>
    <w:rsid w:val="00A4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2</cp:revision>
  <cp:lastPrinted>2025-11-14T08:16:00Z</cp:lastPrinted>
  <dcterms:created xsi:type="dcterms:W3CDTF">2025-11-24T07:32:00Z</dcterms:created>
  <dcterms:modified xsi:type="dcterms:W3CDTF">2025-11-24T07:32:00Z</dcterms:modified>
</cp:coreProperties>
</file>