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lČ</w:t>
      </w:r>
      <w:r w:rsidR="00FE55B3" w:rsidRPr="00696B82">
        <w:rPr>
          <w:rFonts w:asciiTheme="minorHAnsi" w:hAnsiTheme="minorHAnsi" w:cstheme="minorHAnsi"/>
        </w:rPr>
        <w:t>O</w:t>
      </w:r>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3CBBCA43"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2C295825"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Komerční banka, a.s.</w:t>
      </w:r>
    </w:p>
    <w:p w14:paraId="3C8BCD3D" w14:textId="0F83D1B1"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131-1962180297/0100</w:t>
      </w:r>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544A8C63" w14:textId="4A9CBDD4" w:rsidR="00B75D61" w:rsidRDefault="00E26C9F" w:rsidP="00B75D61">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F33FB5" w:rsidRPr="00F33FB5">
        <w:rPr>
          <w:rFonts w:asciiTheme="minorHAnsi" w:hAnsiTheme="minorHAnsi" w:cstheme="minorHAnsi"/>
          <w:b/>
          <w:bCs/>
        </w:rPr>
        <w:t>OVANET a.s.</w:t>
      </w:r>
    </w:p>
    <w:p w14:paraId="293950AC" w14:textId="14344A64" w:rsidR="00E26C9F" w:rsidRPr="00696B82" w:rsidRDefault="00E26C9F" w:rsidP="00B75D61">
      <w:pPr>
        <w:autoSpaceDE w:val="0"/>
        <w:autoSpaceDN w:val="0"/>
        <w:adjustRightInd w:val="0"/>
        <w:spacing w:after="120"/>
        <w:ind w:left="3543" w:hanging="2976"/>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00F33FB5" w:rsidRPr="00F33FB5">
        <w:rPr>
          <w:rFonts w:asciiTheme="minorHAnsi" w:hAnsiTheme="minorHAnsi" w:cstheme="minorHAnsi"/>
          <w:b/>
          <w:bCs/>
        </w:rPr>
        <w:t>Hájkova 1100/13, Přívoz, 70200 Ostrava</w:t>
      </w:r>
    </w:p>
    <w:p w14:paraId="205D8B61" w14:textId="0E602161" w:rsidR="00235B27"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lČO: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F33FB5" w:rsidRPr="00F33FB5">
        <w:rPr>
          <w:rFonts w:asciiTheme="minorHAnsi" w:hAnsiTheme="minorHAnsi" w:cstheme="minorHAnsi"/>
          <w:b/>
          <w:bCs/>
        </w:rPr>
        <w:t>25857568</w:t>
      </w:r>
    </w:p>
    <w:p w14:paraId="10A6A0B3" w14:textId="708F30C8"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F33FB5" w:rsidRPr="00F33FB5">
        <w:rPr>
          <w:rFonts w:asciiTheme="minorHAnsi" w:hAnsiTheme="minorHAnsi" w:cstheme="minorHAnsi"/>
          <w:b/>
          <w:bCs/>
        </w:rPr>
        <w:t>CZ25857568</w:t>
      </w:r>
    </w:p>
    <w:p w14:paraId="6F9E6ABB" w14:textId="0BDAF1AB" w:rsidR="00DA165C"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Zapsaná v obchodním rejstříku:</w:t>
      </w:r>
      <w:r w:rsidRPr="00696B82">
        <w:rPr>
          <w:rFonts w:asciiTheme="minorHAnsi" w:hAnsiTheme="minorHAnsi" w:cstheme="minorHAnsi"/>
        </w:rPr>
        <w:tab/>
      </w:r>
      <w:r w:rsidR="00227776" w:rsidRPr="001911E3">
        <w:rPr>
          <w:rFonts w:asciiTheme="minorHAnsi" w:hAnsiTheme="minorHAnsi" w:cstheme="minorHAnsi"/>
          <w:b/>
          <w:bCs/>
        </w:rPr>
        <w:t xml:space="preserve">Krajský soud v Ostravě, </w:t>
      </w:r>
      <w:r w:rsidR="00F33FB5">
        <w:rPr>
          <w:rFonts w:asciiTheme="minorHAnsi" w:hAnsiTheme="minorHAnsi" w:cstheme="minorHAnsi"/>
          <w:b/>
          <w:bCs/>
        </w:rPr>
        <w:t>B 2335</w:t>
      </w:r>
    </w:p>
    <w:p w14:paraId="34393DA7" w14:textId="2B7BD8BF" w:rsidR="00235B27"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F33FB5" w:rsidRPr="00F33FB5">
        <w:rPr>
          <w:rFonts w:asciiTheme="minorHAnsi" w:hAnsiTheme="minorHAnsi" w:cstheme="minorHAnsi"/>
          <w:b/>
          <w:bCs/>
        </w:rPr>
        <w:t>Československá obchodní banka, a. s.</w:t>
      </w:r>
    </w:p>
    <w:p w14:paraId="5A4AC07D" w14:textId="0C924249" w:rsidR="00EE666E"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F33FB5" w:rsidRPr="00F33FB5">
        <w:rPr>
          <w:rFonts w:asciiTheme="minorHAnsi" w:hAnsiTheme="minorHAnsi" w:cstheme="minorHAnsi"/>
          <w:b/>
          <w:bCs/>
        </w:rPr>
        <w:t>8010-0209268403/0300</w:t>
      </w:r>
    </w:p>
    <w:p w14:paraId="3190C1FA" w14:textId="5DDF9927" w:rsidR="00E26C9F" w:rsidRPr="005268FC" w:rsidRDefault="00E26C9F" w:rsidP="00E26C9F">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Pr="00F36891">
        <w:rPr>
          <w:rFonts w:asciiTheme="minorHAnsi" w:hAnsiTheme="minorHAnsi" w:cstheme="minorHAnsi"/>
        </w:rPr>
        <w:tab/>
      </w:r>
      <w:r>
        <w:rPr>
          <w:rFonts w:asciiTheme="minorHAnsi" w:hAnsiTheme="minorHAnsi" w:cstheme="minorHAnsi"/>
        </w:rPr>
        <w:tab/>
      </w:r>
      <w:r w:rsidR="00F33FB5" w:rsidRPr="00F33FB5">
        <w:rPr>
          <w:rFonts w:asciiTheme="minorHAnsi" w:hAnsiTheme="minorHAnsi" w:cstheme="minorHAnsi"/>
          <w:b/>
          <w:bCs/>
        </w:rPr>
        <w:t>a7cfi46</w:t>
      </w:r>
    </w:p>
    <w:p w14:paraId="1C58A975" w14:textId="3C3DE995" w:rsidR="007F2E7A" w:rsidRPr="007F2E7A" w:rsidRDefault="00E26C9F" w:rsidP="00B75D61">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00F33FB5" w:rsidRPr="00F33FB5">
        <w:rPr>
          <w:rFonts w:asciiTheme="minorHAnsi" w:hAnsiTheme="minorHAnsi" w:cstheme="minorHAnsi"/>
          <w:b/>
          <w:bCs/>
        </w:rPr>
        <w:t>Ing. Michal Hrotík</w:t>
      </w:r>
      <w:r w:rsidR="00F33FB5">
        <w:rPr>
          <w:rFonts w:asciiTheme="minorHAnsi" w:hAnsiTheme="minorHAnsi" w:cstheme="minorHAnsi"/>
          <w:b/>
          <w:bCs/>
        </w:rPr>
        <w:t>, člen představenstva</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Pr="00696B82" w:rsidRDefault="00FB631B"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680A86F3" w14:textId="77777777" w:rsidR="003B1887" w:rsidRDefault="003B1887" w:rsidP="000B4ABE">
      <w:pPr>
        <w:autoSpaceDE w:val="0"/>
        <w:autoSpaceDN w:val="0"/>
        <w:adjustRightInd w:val="0"/>
        <w:spacing w:after="120"/>
        <w:ind w:left="567"/>
        <w:rPr>
          <w:rFonts w:asciiTheme="minorHAnsi" w:hAnsiTheme="minorHAnsi" w:cstheme="minorHAnsi"/>
        </w:rPr>
      </w:pPr>
    </w:p>
    <w:p w14:paraId="0E223973" w14:textId="77777777" w:rsidR="00A5419D" w:rsidRPr="00696B82" w:rsidRDefault="00A5419D"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r w:rsidR="002D7137" w:rsidRPr="00865E64">
        <w:rPr>
          <w:rFonts w:asciiTheme="minorHAnsi" w:eastAsia="Arial Unicode MS" w:hAnsiTheme="minorHAnsi" w:cstheme="minorHAnsi"/>
        </w:rPr>
        <w:t>této</w:t>
      </w:r>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r w:rsidR="00833597" w:rsidRPr="00833597">
        <w:rPr>
          <w:rFonts w:asciiTheme="minorHAnsi" w:eastAsia="Arial Unicode MS" w:hAnsiTheme="minorHAnsi" w:cstheme="minorHAnsi"/>
        </w:rPr>
        <w:t>této</w:t>
      </w:r>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4.2. jednotlivých smluv v </w:t>
      </w:r>
      <w:r w:rsidR="00113F50" w:rsidRPr="00B313D1">
        <w:rPr>
          <w:rFonts w:asciiTheme="minorHAnsi" w:hAnsiTheme="minorHAnsi"/>
        </w:rPr>
        <w:t>MWh</w:t>
      </w:r>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Příloze č. 2</w:t>
      </w:r>
      <w:r w:rsidRPr="00696B82">
        <w:rPr>
          <w:rFonts w:asciiTheme="minorHAnsi" w:hAnsiTheme="minorHAnsi" w:cstheme="minorHAnsi"/>
          <w:color w:val="auto"/>
          <w:sz w:val="20"/>
        </w:rPr>
        <w:t xml:space="preserve"> této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r w:rsidR="002D7137" w:rsidRPr="00EC76BD">
        <w:rPr>
          <w:rFonts w:asciiTheme="minorHAnsi" w:hAnsiTheme="minorHAnsi" w:cstheme="minorHAnsi"/>
        </w:rPr>
        <w:t>této</w:t>
      </w:r>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ERÚ,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3D1BB028"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bookmarkStart w:id="6" w:name="_Hlk202261480"/>
      <w:r w:rsidR="00DC095C">
        <w:rPr>
          <w:rFonts w:asciiTheme="minorHAnsi" w:hAnsiTheme="minorHAnsi" w:cstheme="minorHAnsi"/>
        </w:rPr>
        <w:fldChar w:fldCharType="begin"/>
      </w:r>
      <w:r w:rsidR="00DC095C">
        <w:rPr>
          <w:rFonts w:asciiTheme="minorHAnsi" w:hAnsiTheme="minorHAnsi" w:cstheme="minorHAnsi"/>
        </w:rPr>
        <w:instrText>HYPERLINK "mailto:info@inenergie.cz"</w:instrText>
      </w:r>
      <w:r w:rsidR="00DC095C">
        <w:rPr>
          <w:rFonts w:asciiTheme="minorHAnsi" w:hAnsiTheme="minorHAnsi" w:cstheme="minorHAnsi"/>
        </w:rPr>
      </w:r>
      <w:r w:rsidR="00DC095C">
        <w:rPr>
          <w:rFonts w:asciiTheme="minorHAnsi" w:hAnsiTheme="minorHAnsi" w:cstheme="minorHAnsi"/>
        </w:rPr>
        <w:fldChar w:fldCharType="separate"/>
      </w:r>
      <w:r w:rsidR="00DC095C" w:rsidRPr="000A583C">
        <w:rPr>
          <w:rStyle w:val="Hypertextovodkaz"/>
          <w:rFonts w:asciiTheme="minorHAnsi" w:hAnsiTheme="minorHAnsi" w:cstheme="minorHAnsi"/>
        </w:rPr>
        <w:t>info@inenergie.cz</w:t>
      </w:r>
      <w:r w:rsidR="00DC095C">
        <w:rPr>
          <w:rFonts w:asciiTheme="minorHAnsi" w:hAnsiTheme="minorHAnsi" w:cstheme="minorHAnsi"/>
        </w:rPr>
        <w:fldChar w:fldCharType="end"/>
      </w:r>
      <w:bookmarkEnd w:id="6"/>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7777777"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7" w:history="1">
        <w:r w:rsidRPr="00E40848">
          <w:rPr>
            <w:rStyle w:val="Hypertextovodkaz"/>
            <w:rFonts w:asciiTheme="minorHAnsi" w:hAnsiTheme="minorHAnsi" w:cstheme="minorHAnsi"/>
          </w:rPr>
          <w:t>ssn@tendersystems.cz</w:t>
        </w:r>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r w:rsidR="009542AB">
        <w:rPr>
          <w:rFonts w:asciiTheme="minorHAnsi" w:hAnsiTheme="minorHAnsi" w:cstheme="minorHAnsi"/>
        </w:rPr>
        <w:t xml:space="preserve">ust.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usnesením č. 07788/RM2226/109 ze dne 22.07.2025</w:t>
      </w:r>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029D26A7" w14:textId="77777777" w:rsidR="002D7137" w:rsidRPr="00227776" w:rsidRDefault="002D7137" w:rsidP="00227776">
      <w:pPr>
        <w:spacing w:after="120" w:line="276" w:lineRule="auto"/>
        <w:rPr>
          <w:rFonts w:asciiTheme="minorHAnsi" w:hAnsiTheme="minorHAnsi" w:cstheme="minorHAnsi"/>
          <w:szCs w:val="22"/>
        </w:rPr>
      </w:pPr>
    </w:p>
    <w:p w14:paraId="61E0848C" w14:textId="13A9199E"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583DB7" w:rsidRPr="00696B82">
        <w:rPr>
          <w:rFonts w:asciiTheme="minorHAnsi" w:hAnsiTheme="minorHAnsi" w:cstheme="minorHAnsi"/>
        </w:rPr>
        <w:t>......</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5D235490"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8" w:name="_Hlk202261525"/>
      <w:r w:rsidRPr="001911E3">
        <w:rPr>
          <w:rFonts w:asciiTheme="minorHAnsi" w:hAnsiTheme="minorHAnsi" w:cstheme="minorHAnsi"/>
        </w:rPr>
        <w:t>Ing. Břetislav Novosad, Ph.D., jednatel</w:t>
      </w:r>
      <w:bookmarkEnd w:id="8"/>
      <w:r>
        <w:rPr>
          <w:rFonts w:asciiTheme="minorHAnsi" w:hAnsiTheme="minorHAnsi" w:cstheme="minorHAnsi"/>
        </w:rPr>
        <w:tab/>
      </w:r>
      <w:r w:rsidR="00F33FB5" w:rsidRPr="00F33FB5">
        <w:rPr>
          <w:rFonts w:asciiTheme="minorHAnsi" w:hAnsiTheme="minorHAnsi" w:cstheme="minorHAnsi"/>
        </w:rPr>
        <w:t>Ing. Michal Hrotík, člen představenstva</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77DD0A38" w14:textId="03FC5949" w:rsidR="009C66DF" w:rsidRPr="00227776" w:rsidRDefault="00910B50" w:rsidP="00227776">
      <w:pPr>
        <w:pStyle w:val="Odstavecseseznamem"/>
        <w:spacing w:after="120" w:line="276" w:lineRule="auto"/>
        <w:ind w:left="426"/>
        <w:contextualSpacing w:val="0"/>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t>„podepsáno elektronicky“</w:t>
      </w:r>
      <w:r w:rsidR="009C66DF">
        <w:rPr>
          <w:rFonts w:asciiTheme="minorHAnsi" w:eastAsia="ヒラギノ角ゴ Pro W3" w:hAnsiTheme="minorHAnsi" w:cstheme="minorHAnsi"/>
          <w:sz w:val="22"/>
          <w:szCs w:val="22"/>
          <w:lang w:eastAsia="cs-CZ"/>
        </w:rPr>
        <w:br w:type="page"/>
      </w:r>
    </w:p>
    <w:p w14:paraId="3126B3A9" w14:textId="38F7D51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 xml:space="preserve">Příloha č. </w:t>
      </w:r>
      <w:r w:rsidR="00150455">
        <w:rPr>
          <w:rFonts w:asciiTheme="minorHAnsi" w:eastAsia="Arial Unicode MS" w:hAnsiTheme="minorHAnsi" w:cstheme="minorHAnsi"/>
          <w:b/>
          <w:sz w:val="32"/>
          <w:szCs w:val="32"/>
        </w:rPr>
        <w:t>1</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 18 místný číselný kód sloužící jednoznačné identifikaci odběrného předacího místa (Europen Article Number)</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9"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9"/>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 nízké napětí (do 1 kV).</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lastRenderedPageBreak/>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0" w:name="_Hlk192662129"/>
      <w:r>
        <w:rPr>
          <w:rFonts w:cs="Arial"/>
          <w:sz w:val="16"/>
          <w:szCs w:val="16"/>
        </w:rPr>
        <w:t xml:space="preserve">a Zákazník splní veškeré nutné podmínky pro přenesení odpovědnosti za odchylku na Obchodníka, zejm. podle čl. III. odst. 4. OPD. </w:t>
      </w:r>
      <w:bookmarkEnd w:id="10"/>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1"/>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2"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lastRenderedPageBreak/>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r>
        <w:rPr>
          <w:color w:val="000000"/>
          <w:sz w:val="16"/>
          <w:szCs w:val="16"/>
        </w:rPr>
        <w:t xml:space="preserve">aa)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r>
        <w:rPr>
          <w:color w:val="000000"/>
          <w:sz w:val="16"/>
          <w:szCs w:val="16"/>
        </w:rPr>
        <w:t>ac)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r>
        <w:rPr>
          <w:color w:val="000000"/>
          <w:sz w:val="16"/>
          <w:szCs w:val="16"/>
        </w:rPr>
        <w:t>bb) zasílacích adres,</w:t>
      </w:r>
    </w:p>
    <w:p w14:paraId="2CDCA238" w14:textId="77777777" w:rsidR="00B84179" w:rsidRDefault="00B84179" w:rsidP="00B84179">
      <w:pPr>
        <w:pStyle w:val="Pa11"/>
        <w:spacing w:before="40"/>
        <w:ind w:left="993"/>
        <w:jc w:val="both"/>
        <w:rPr>
          <w:color w:val="000000"/>
          <w:sz w:val="16"/>
          <w:szCs w:val="16"/>
        </w:rPr>
      </w:pPr>
      <w:r>
        <w:rPr>
          <w:color w:val="000000"/>
          <w:sz w:val="16"/>
          <w:szCs w:val="16"/>
        </w:rPr>
        <w:t>bc) bankovních spojení,</w:t>
      </w:r>
    </w:p>
    <w:p w14:paraId="274806CD" w14:textId="77777777" w:rsidR="00B84179" w:rsidRDefault="00B84179" w:rsidP="00B84179">
      <w:pPr>
        <w:pStyle w:val="Pa11"/>
        <w:spacing w:before="40"/>
        <w:ind w:left="993"/>
        <w:jc w:val="both"/>
        <w:rPr>
          <w:color w:val="000000"/>
          <w:sz w:val="16"/>
          <w:szCs w:val="16"/>
        </w:rPr>
      </w:pPr>
      <w:r>
        <w:rPr>
          <w:color w:val="000000"/>
          <w:sz w:val="16"/>
          <w:szCs w:val="16"/>
        </w:rPr>
        <w:t>bd)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2"/>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r>
        <w:rPr>
          <w:color w:val="000000"/>
          <w:sz w:val="16"/>
          <w:szCs w:val="16"/>
        </w:rPr>
        <w:t xml:space="preserve">aa)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Nebude-li SMO umožněn přístup do Zákaznického portálu Obchodníka dle vymezení v odst. 12 tohoto článku, má SMO nárok na smluvní pokutu ve výši 500 Kč za každý kalendářní den, kdy mu nebyl takový přístup umožněn, pokud se </w:t>
      </w:r>
      <w:r>
        <w:rPr>
          <w:color w:val="000000"/>
          <w:sz w:val="16"/>
          <w:szCs w:val="16"/>
        </w:rPr>
        <w:lastRenderedPageBreak/>
        <w:t>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3" w:name="_Hlk200533000"/>
      <w:r>
        <w:rPr>
          <w:rFonts w:cs="Arial"/>
          <w:sz w:val="16"/>
          <w:szCs w:val="16"/>
        </w:rPr>
        <w:t>Pokud se stane Obchodník nespolehlivým plátcem daně dle ust. § 106a zákona o DPH, je Zákazník oprávněn uhradit Obchodníkovi za zdanitelné plnění částku bez DPH a úhradu samotné DPH provést přímo na příslušný účet daného finančního úřadu dle ust. § 109a zákona o DPH. Zaplacením částky ve výši daně na účet správce daně a zaplacením ceny bez DPH Obchodníkovi je splněn závazek Zákazníka uhradit sjednanou cenu.</w:t>
      </w:r>
    </w:p>
    <w:bookmarkEnd w:id="13"/>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4"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Zákazník je povinen informovat Obchodníka s dostatečným předstihem (nejpozději před uzavřením Smlouvy, aby bylo možno toto informování zohlednit v Obchodníkově nabídce adresované Zákazníkovi pro uzavření Smlouvy) o tom, že se:</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4"/>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5" w:name="_Hlk192662417"/>
      <w:r>
        <w:rPr>
          <w:rFonts w:cs="Arial"/>
          <w:sz w:val="16"/>
          <w:szCs w:val="16"/>
        </w:rPr>
        <w:t>podle příslušného právního předpisu.</w:t>
      </w:r>
    </w:p>
    <w:bookmarkEnd w:id="15"/>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Dodávky elektřiny a zajištění distribuce a souvisejících služeb dle Smlouvy, jakož i další případné poplatky dle Smlouvy, hradí Zákazník, který není plátce DPH, na základě platebního předpisu (dále jen „faktura“) a Zákazník, který je plátcem DPH, na základě </w:t>
      </w:r>
      <w:r>
        <w:rPr>
          <w:rFonts w:cs="Arial"/>
          <w:sz w:val="16"/>
          <w:szCs w:val="16"/>
        </w:rPr>
        <w:lastRenderedPageBreak/>
        <w:t>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budou provedeny na číslo bankovního účtu uvedené Obchodníkem ve faktuře, bez ohledu na číslo účtu uvedené v záhlaví Smlouvy. Účet musí být veden v tuzemsku a musí umožňovat dálkový přístup podle ust.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Vyhl.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100%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Vyhl.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6" w:name="_Hlk192662687"/>
      <w:r>
        <w:rPr>
          <w:rFonts w:cs="Arial"/>
          <w:sz w:val="16"/>
          <w:szCs w:val="16"/>
        </w:rPr>
        <w:t>č. 235/2004Sb</w:t>
      </w:r>
      <w:bookmarkEnd w:id="16"/>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provede bezplatné mimořádné vyúčtování k 31.12. kalendářního roku, nebo po ukončení dodávek dle Smlouvy, na základě samoodečtu provedeném Zákazníkem ve smyslu čl. IV. odst. 3. těchto OPD a ve smyslu ust.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w:t>
      </w:r>
      <w:r>
        <w:rPr>
          <w:rFonts w:cs="Arial"/>
          <w:sz w:val="16"/>
          <w:szCs w:val="16"/>
        </w:rPr>
        <w:lastRenderedPageBreak/>
        <w:t>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7"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7"/>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 OPD.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a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8" w:name="_Hlk192663022"/>
      <w:r>
        <w:rPr>
          <w:rFonts w:cs="Arial"/>
          <w:sz w:val="16"/>
          <w:szCs w:val="16"/>
        </w:rPr>
        <w:t>příslušných</w:t>
      </w:r>
      <w:bookmarkEnd w:id="18"/>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že se Zákazník dostane do úpadku ve smyslu ust.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w:t>
      </w:r>
      <w:r>
        <w:rPr>
          <w:rFonts w:cs="Arial"/>
          <w:sz w:val="16"/>
          <w:szCs w:val="16"/>
        </w:rPr>
        <w:lastRenderedPageBreak/>
        <w:t>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ust.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Pro případ porušení některé z povinností sjednaných v čl. X. OPD, Smluvní strany sjednávají smluvní pokutu ve výši 10.000,-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19" w:name="_Hlk192663458"/>
      <w:r>
        <w:rPr>
          <w:sz w:val="16"/>
          <w:szCs w:val="16"/>
        </w:rPr>
        <w:t>Rozhodným právem je právo České republiky.</w:t>
      </w:r>
      <w:bookmarkEnd w:id="19"/>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0" w:name="_Hlk192663508"/>
      <w:r>
        <w:rPr>
          <w:sz w:val="16"/>
          <w:szCs w:val="16"/>
        </w:rPr>
        <w:t>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straně pokud se provede elektronicky emailem na adresu elektronické podatelny Zákazníka nebo do datové schránky Zákazníka nebo ve formě, která je v souladu s ust. § 221 zákona č. 134/2016 Sb., o zadávání veřejných zakázek, v platném znění.</w:t>
      </w:r>
      <w:bookmarkEnd w:id="20"/>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Kč/MWh</w:t>
            </w:r>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Kč/MWh</w:t>
            </w:r>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01d, C 02d, C 03d            </w:t>
            </w:r>
          </w:p>
        </w:tc>
        <w:tc>
          <w:tcPr>
            <w:tcW w:w="1282" w:type="pct"/>
            <w:vAlign w:val="center"/>
          </w:tcPr>
          <w:p w14:paraId="551DD3E5" w14:textId="3B429402" w:rsidR="00F8232C" w:rsidRPr="00F8232C" w:rsidRDefault="00AB3A59"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xxx</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2BFFD1F4" w:rsidR="00C74671" w:rsidRPr="00696B82" w:rsidRDefault="00AB3A59"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xxx</w:t>
            </w:r>
          </w:p>
        </w:tc>
      </w:tr>
      <w:tr w:rsidR="00AB3A59" w:rsidRPr="00696B82" w14:paraId="0D12FA5E" w14:textId="77777777" w:rsidTr="009F40F5">
        <w:tc>
          <w:tcPr>
            <w:tcW w:w="1180" w:type="pct"/>
            <w:vAlign w:val="center"/>
          </w:tcPr>
          <w:p w14:paraId="704EE533" w14:textId="68580D52" w:rsidR="00AB3A59" w:rsidRPr="00696B82" w:rsidRDefault="00AB3A59" w:rsidP="00AB3A59">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25d, C 26d                 </w:t>
            </w:r>
          </w:p>
        </w:tc>
        <w:tc>
          <w:tcPr>
            <w:tcW w:w="1282" w:type="pct"/>
          </w:tcPr>
          <w:p w14:paraId="1DBBDBBA" w14:textId="1BB01BE0"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tcPr>
          <w:p w14:paraId="4AE92E55" w14:textId="7FC504F9"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3A6C0C">
              <w:rPr>
                <w:rFonts w:asciiTheme="minorHAnsi" w:hAnsiTheme="minorHAnsi" w:cstheme="minorHAnsi"/>
                <w:lang w:val="en-GB"/>
              </w:rPr>
              <w:t>xxx</w:t>
            </w:r>
          </w:p>
        </w:tc>
        <w:tc>
          <w:tcPr>
            <w:tcW w:w="1269" w:type="pct"/>
            <w:vMerge/>
            <w:vAlign w:val="center"/>
          </w:tcPr>
          <w:p w14:paraId="6EA362D2" w14:textId="1EB24DD9"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2C1878E5" w14:textId="77777777" w:rsidTr="009F40F5">
        <w:tc>
          <w:tcPr>
            <w:tcW w:w="1180" w:type="pct"/>
            <w:vAlign w:val="center"/>
          </w:tcPr>
          <w:p w14:paraId="625B7B6B" w14:textId="41E2B073" w:rsidR="00AB3A59" w:rsidRPr="00116E6D" w:rsidRDefault="00AB3A59" w:rsidP="00AB3A59">
            <w:pPr>
              <w:autoSpaceDE w:val="0"/>
              <w:autoSpaceDN w:val="0"/>
              <w:adjustRightInd w:val="0"/>
              <w:spacing w:after="120"/>
              <w:rPr>
                <w:rFonts w:ascii="Calibri" w:hAnsi="Calibri" w:cs="Calibri"/>
                <w:b/>
                <w:bCs/>
              </w:rPr>
            </w:pPr>
            <w:r w:rsidRPr="00116E6D">
              <w:rPr>
                <w:rFonts w:ascii="Calibri" w:hAnsi="Calibri" w:cs="Calibri"/>
                <w:b/>
                <w:bCs/>
              </w:rPr>
              <w:t>C 27d</w:t>
            </w:r>
          </w:p>
        </w:tc>
        <w:tc>
          <w:tcPr>
            <w:tcW w:w="1282" w:type="pct"/>
          </w:tcPr>
          <w:p w14:paraId="6A9AAB1C" w14:textId="3EEC6802" w:rsidR="00AB3A59" w:rsidRPr="00696B82" w:rsidRDefault="00AB3A59" w:rsidP="00AB3A59">
            <w:pPr>
              <w:autoSpaceDE w:val="0"/>
              <w:autoSpaceDN w:val="0"/>
              <w:adjustRightInd w:val="0"/>
              <w:spacing w:after="120"/>
              <w:jc w:val="center"/>
              <w:rPr>
                <w:rFonts w:asciiTheme="minorHAnsi" w:hAnsiTheme="minorHAnsi" w:cstheme="minorHAnsi"/>
                <w:highlight w:val="yellow"/>
                <w:lang w:val="en-GB"/>
              </w:rPr>
            </w:pPr>
            <w:r w:rsidRPr="00103326">
              <w:rPr>
                <w:rFonts w:asciiTheme="minorHAnsi" w:hAnsiTheme="minorHAnsi" w:cstheme="minorHAnsi"/>
                <w:lang w:val="en-GB"/>
              </w:rPr>
              <w:t>xxx</w:t>
            </w:r>
          </w:p>
        </w:tc>
        <w:tc>
          <w:tcPr>
            <w:tcW w:w="1269" w:type="pct"/>
          </w:tcPr>
          <w:p w14:paraId="4AA338F2" w14:textId="367B52EF" w:rsidR="00AB3A59" w:rsidRPr="00696B82" w:rsidRDefault="00AB3A59" w:rsidP="00AB3A59">
            <w:pPr>
              <w:autoSpaceDE w:val="0"/>
              <w:autoSpaceDN w:val="0"/>
              <w:adjustRightInd w:val="0"/>
              <w:spacing w:after="120"/>
              <w:jc w:val="center"/>
              <w:rPr>
                <w:rFonts w:asciiTheme="minorHAnsi" w:hAnsiTheme="minorHAnsi" w:cstheme="minorHAnsi"/>
                <w:highlight w:val="yellow"/>
                <w:lang w:val="en-GB"/>
              </w:rPr>
            </w:pPr>
            <w:r w:rsidRPr="003A6C0C">
              <w:rPr>
                <w:rFonts w:asciiTheme="minorHAnsi" w:hAnsiTheme="minorHAnsi" w:cstheme="minorHAnsi"/>
                <w:lang w:val="en-GB"/>
              </w:rPr>
              <w:t>xxx</w:t>
            </w:r>
          </w:p>
        </w:tc>
        <w:tc>
          <w:tcPr>
            <w:tcW w:w="1269" w:type="pct"/>
            <w:vMerge/>
            <w:vAlign w:val="center"/>
          </w:tcPr>
          <w:p w14:paraId="72CC8BB4" w14:textId="77777777"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7F3D4B4B" w14:textId="77777777" w:rsidTr="009F40F5">
        <w:tc>
          <w:tcPr>
            <w:tcW w:w="1180" w:type="pct"/>
            <w:vAlign w:val="center"/>
          </w:tcPr>
          <w:p w14:paraId="2C1BA72A" w14:textId="5178C68C" w:rsidR="00AB3A59" w:rsidRPr="00116E6D" w:rsidRDefault="00AB3A59" w:rsidP="00AB3A59">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35d</w:t>
            </w:r>
          </w:p>
        </w:tc>
        <w:tc>
          <w:tcPr>
            <w:tcW w:w="1282" w:type="pct"/>
          </w:tcPr>
          <w:p w14:paraId="3BE8C6E2" w14:textId="67A5E85E"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tcPr>
          <w:p w14:paraId="6C2290A9" w14:textId="35818E86"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3A6C0C">
              <w:rPr>
                <w:rFonts w:asciiTheme="minorHAnsi" w:hAnsiTheme="minorHAnsi" w:cstheme="minorHAnsi"/>
                <w:lang w:val="en-GB"/>
              </w:rPr>
              <w:t>xxx</w:t>
            </w:r>
          </w:p>
        </w:tc>
        <w:tc>
          <w:tcPr>
            <w:tcW w:w="1269" w:type="pct"/>
            <w:vMerge/>
            <w:vAlign w:val="center"/>
          </w:tcPr>
          <w:p w14:paraId="051484F5" w14:textId="39613428"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3BC4E320" w14:textId="77777777" w:rsidTr="009F40F5">
        <w:tc>
          <w:tcPr>
            <w:tcW w:w="1180" w:type="pct"/>
            <w:vAlign w:val="center"/>
          </w:tcPr>
          <w:p w14:paraId="6D7E8776" w14:textId="6C212E9E" w:rsidR="00AB3A59" w:rsidRPr="00116E6D" w:rsidRDefault="00AB3A59" w:rsidP="00AB3A59">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45d, C 46d</w:t>
            </w:r>
          </w:p>
        </w:tc>
        <w:tc>
          <w:tcPr>
            <w:tcW w:w="1282" w:type="pct"/>
          </w:tcPr>
          <w:p w14:paraId="2A1FA697" w14:textId="6C4810D1"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tcPr>
          <w:p w14:paraId="1B46B7EA" w14:textId="75558456"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3A6C0C">
              <w:rPr>
                <w:rFonts w:asciiTheme="minorHAnsi" w:hAnsiTheme="minorHAnsi" w:cstheme="minorHAnsi"/>
                <w:lang w:val="en-GB"/>
              </w:rPr>
              <w:t>xxx</w:t>
            </w:r>
          </w:p>
        </w:tc>
        <w:tc>
          <w:tcPr>
            <w:tcW w:w="1269" w:type="pct"/>
            <w:vMerge/>
            <w:vAlign w:val="center"/>
          </w:tcPr>
          <w:p w14:paraId="030A434F" w14:textId="611AB074"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107A717C" w14:textId="77777777" w:rsidTr="009F40F5">
        <w:tc>
          <w:tcPr>
            <w:tcW w:w="1180" w:type="pct"/>
            <w:vAlign w:val="center"/>
          </w:tcPr>
          <w:p w14:paraId="0B4A09AA" w14:textId="2C96D4AF" w:rsidR="00AB3A59" w:rsidRPr="00696B82" w:rsidRDefault="00AB3A59" w:rsidP="00AB3A59">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55d, C 56d</w:t>
            </w:r>
          </w:p>
        </w:tc>
        <w:tc>
          <w:tcPr>
            <w:tcW w:w="1282" w:type="pct"/>
          </w:tcPr>
          <w:p w14:paraId="32616A5E" w14:textId="348E76D3"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tcPr>
          <w:p w14:paraId="5E3A670C" w14:textId="09C1A2E3"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3A6C0C">
              <w:rPr>
                <w:rFonts w:asciiTheme="minorHAnsi" w:hAnsiTheme="minorHAnsi" w:cstheme="minorHAnsi"/>
                <w:lang w:val="en-GB"/>
              </w:rPr>
              <w:t>xxx</w:t>
            </w:r>
          </w:p>
        </w:tc>
        <w:tc>
          <w:tcPr>
            <w:tcW w:w="1269" w:type="pct"/>
            <w:vMerge/>
            <w:vAlign w:val="center"/>
          </w:tcPr>
          <w:p w14:paraId="01901B78" w14:textId="57F04EBF"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43DD4788" w14:textId="77777777" w:rsidTr="00116353">
        <w:tc>
          <w:tcPr>
            <w:tcW w:w="1180" w:type="pct"/>
            <w:vAlign w:val="center"/>
          </w:tcPr>
          <w:p w14:paraId="44605FF0" w14:textId="2E21CA19" w:rsidR="00AB3A59" w:rsidRPr="00696B82" w:rsidRDefault="00AB3A59" w:rsidP="00AB3A59">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62d</w:t>
            </w:r>
          </w:p>
        </w:tc>
        <w:tc>
          <w:tcPr>
            <w:tcW w:w="1282" w:type="pct"/>
          </w:tcPr>
          <w:p w14:paraId="404D60E1" w14:textId="0F1E50CD"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shd w:val="clear" w:color="auto" w:fill="808080" w:themeFill="background1" w:themeFillShade="80"/>
            <w:vAlign w:val="center"/>
          </w:tcPr>
          <w:p w14:paraId="738A5C12" w14:textId="4634E61A"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2D2B9086" w14:textId="77777777" w:rsidTr="00116353">
        <w:tc>
          <w:tcPr>
            <w:tcW w:w="1180" w:type="pct"/>
            <w:vAlign w:val="center"/>
          </w:tcPr>
          <w:p w14:paraId="1B0E092C" w14:textId="315BCB7A" w:rsidR="00AB3A59" w:rsidRPr="00696B82" w:rsidRDefault="00AB3A59" w:rsidP="00AB3A59">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01d, D 02d</w:t>
            </w:r>
          </w:p>
        </w:tc>
        <w:tc>
          <w:tcPr>
            <w:tcW w:w="1282" w:type="pct"/>
          </w:tcPr>
          <w:p w14:paraId="04828B85" w14:textId="5E4DED13"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sidRPr="00103326">
              <w:rPr>
                <w:rFonts w:asciiTheme="minorHAnsi" w:hAnsiTheme="minorHAnsi" w:cstheme="minorHAnsi"/>
                <w:lang w:val="en-GB"/>
              </w:rPr>
              <w:t>xxx</w:t>
            </w:r>
          </w:p>
        </w:tc>
        <w:tc>
          <w:tcPr>
            <w:tcW w:w="1269" w:type="pct"/>
            <w:shd w:val="clear" w:color="auto" w:fill="7F7F7F" w:themeFill="text1" w:themeFillTint="80"/>
            <w:vAlign w:val="center"/>
          </w:tcPr>
          <w:p w14:paraId="1F2F1914" w14:textId="77777777"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p>
        </w:tc>
      </w:tr>
      <w:tr w:rsidR="00AB3A59" w:rsidRPr="00696B82" w14:paraId="2B368873" w14:textId="77777777" w:rsidTr="00116353">
        <w:tc>
          <w:tcPr>
            <w:tcW w:w="1180" w:type="pct"/>
            <w:vAlign w:val="center"/>
          </w:tcPr>
          <w:p w14:paraId="11921D13" w14:textId="6152F513" w:rsidR="00AB3A59" w:rsidRPr="00696B82" w:rsidRDefault="00AB3A59" w:rsidP="00AB3A59">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25d</w:t>
            </w:r>
          </w:p>
        </w:tc>
        <w:tc>
          <w:tcPr>
            <w:tcW w:w="1282" w:type="pct"/>
          </w:tcPr>
          <w:p w14:paraId="2D721EF8" w14:textId="2B70DE30" w:rsidR="00AB3A59" w:rsidRPr="00B11CC9" w:rsidRDefault="00AB3A59" w:rsidP="00AB3A59">
            <w:pPr>
              <w:autoSpaceDE w:val="0"/>
              <w:autoSpaceDN w:val="0"/>
              <w:adjustRightInd w:val="0"/>
              <w:spacing w:after="120"/>
              <w:jc w:val="center"/>
              <w:rPr>
                <w:rFonts w:asciiTheme="minorHAnsi" w:hAnsiTheme="minorHAnsi"/>
                <w:highlight w:val="yellow"/>
                <w:lang w:val="en-GB"/>
              </w:rPr>
            </w:pPr>
            <w:r w:rsidRPr="00103326">
              <w:rPr>
                <w:rFonts w:asciiTheme="minorHAnsi" w:hAnsiTheme="minorHAnsi" w:cstheme="minorHAnsi"/>
                <w:lang w:val="en-GB"/>
              </w:rPr>
              <w:t>xxx</w:t>
            </w:r>
          </w:p>
        </w:tc>
        <w:tc>
          <w:tcPr>
            <w:tcW w:w="1269" w:type="pct"/>
            <w:vAlign w:val="center"/>
          </w:tcPr>
          <w:p w14:paraId="0E1AEB5C" w14:textId="6554A377" w:rsidR="00AB3A59" w:rsidRPr="00696B82" w:rsidRDefault="00AB3A59" w:rsidP="00AB3A59">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xxx</w:t>
            </w:r>
          </w:p>
        </w:tc>
        <w:tc>
          <w:tcPr>
            <w:tcW w:w="1269" w:type="pct"/>
            <w:vMerge/>
            <w:vAlign w:val="center"/>
          </w:tcPr>
          <w:p w14:paraId="39C3E50A" w14:textId="77777777" w:rsidR="00AB3A59" w:rsidRPr="00B11CC9" w:rsidRDefault="00AB3A59" w:rsidP="00AB3A59">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even" r:id="rId8"/>
          <w:headerReference w:type="default" r:id="rId9"/>
          <w:footerReference w:type="even" r:id="rId10"/>
          <w:footerReference w:type="default" r:id="rId11"/>
          <w:headerReference w:type="first" r:id="rId12"/>
          <w:footerReference w:type="first" r:id="rId13"/>
          <w:pgSz w:w="11906" w:h="16838" w:code="9"/>
          <w:pgMar w:top="1667" w:right="1418" w:bottom="1418" w:left="1418" w:header="709" w:footer="709" w:gutter="0"/>
          <w:pgNumType w:chapStyle="1"/>
          <w:cols w:space="708"/>
          <w:docGrid w:linePitch="360"/>
        </w:sectPr>
      </w:pPr>
    </w:p>
    <w:p w14:paraId="0F386FAC" w14:textId="1C66AAEA"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1C2E619D" w14:textId="32B42B64"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416C44">
        <w:rPr>
          <w:rFonts w:asciiTheme="minorHAnsi" w:eastAsia="Arial Unicode MS" w:hAnsiTheme="minorHAnsi" w:cstheme="minorHAnsi"/>
          <w:b/>
          <w:sz w:val="32"/>
          <w:szCs w:val="32"/>
        </w:rPr>
        <w:t>Seznam odběrných míst z nízkého napětí</w:t>
      </w:r>
    </w:p>
    <w:p w14:paraId="186D85EA" w14:textId="44F174DE" w:rsidR="00416C44" w:rsidRDefault="00F33FB5"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F33FB5">
        <w:rPr>
          <w:noProof/>
          <w:lang w:eastAsia="cs-CZ"/>
        </w:rPr>
        <w:drawing>
          <wp:anchor distT="0" distB="0" distL="114300" distR="114300" simplePos="0" relativeHeight="251658240" behindDoc="0" locked="0" layoutInCell="1" allowOverlap="1" wp14:anchorId="772BEA5C" wp14:editId="7E1D44CF">
            <wp:simplePos x="0" y="0"/>
            <wp:positionH relativeFrom="page">
              <wp:align>center</wp:align>
            </wp:positionH>
            <wp:positionV relativeFrom="paragraph">
              <wp:posOffset>283845</wp:posOffset>
            </wp:positionV>
            <wp:extent cx="10323830" cy="1190625"/>
            <wp:effectExtent l="0" t="0" r="1270" b="9525"/>
            <wp:wrapThrough wrapText="bothSides">
              <wp:wrapPolygon edited="0">
                <wp:start x="0" y="0"/>
                <wp:lineTo x="0" y="14861"/>
                <wp:lineTo x="3149" y="16589"/>
                <wp:lineTo x="0" y="16589"/>
                <wp:lineTo x="0" y="21427"/>
                <wp:lineTo x="21563" y="21427"/>
                <wp:lineTo x="21563" y="0"/>
                <wp:lineTo x="0" y="0"/>
              </wp:wrapPolygon>
            </wp:wrapThrough>
            <wp:docPr id="172510163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2383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189FF" w14:textId="5BA7F3C4" w:rsidR="002D6B99" w:rsidRPr="002D6B99" w:rsidRDefault="002D6B99" w:rsidP="002D6B99">
      <w:pPr>
        <w:tabs>
          <w:tab w:val="left" w:pos="8496"/>
        </w:tabs>
        <w:rPr>
          <w:rFonts w:asciiTheme="minorHAnsi" w:eastAsia="Arial Unicode MS" w:hAnsiTheme="minorHAnsi" w:cstheme="minorHAnsi"/>
          <w:sz w:val="32"/>
          <w:szCs w:val="32"/>
        </w:rPr>
        <w:sectPr w:rsidR="002D6B99" w:rsidRPr="002D6B99" w:rsidSect="00416C44">
          <w:pgSz w:w="16838" w:h="11906" w:orient="landscape" w:code="9"/>
          <w:pgMar w:top="1418" w:right="1667" w:bottom="1418" w:left="1418" w:header="709" w:footer="709" w:gutter="0"/>
          <w:pgNumType w:chapStyle="1"/>
          <w:cols w:space="708"/>
          <w:docGrid w:linePitch="360"/>
        </w:sectPr>
      </w:pPr>
      <w:r>
        <w:rPr>
          <w:rFonts w:asciiTheme="minorHAnsi" w:eastAsia="Arial Unicode MS" w:hAnsiTheme="minorHAnsi" w:cstheme="minorHAnsi"/>
          <w:sz w:val="32"/>
          <w:szCs w:val="32"/>
        </w:rPr>
        <w:tab/>
      </w: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15045920" w:rsidR="00DC095C" w:rsidRPr="00696B82" w:rsidRDefault="00AB3A59" w:rsidP="00DC095C">
            <w:pPr>
              <w:pStyle w:val="Zkladntext2"/>
              <w:spacing w:after="0" w:line="360" w:lineRule="auto"/>
              <w:rPr>
                <w:rFonts w:asciiTheme="minorHAnsi" w:hAnsiTheme="minorHAnsi" w:cstheme="minorHAnsi"/>
                <w:b/>
              </w:rPr>
            </w:pPr>
            <w:r>
              <w:rPr>
                <w:rFonts w:asciiTheme="minorHAnsi" w:hAnsiTheme="minorHAnsi" w:cstheme="minorHAnsi"/>
                <w:lang w:val="en-GB"/>
              </w:rPr>
              <w:t>xxx</w:t>
            </w: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431B1034" w:rsidR="00DC095C" w:rsidRPr="00696B82" w:rsidRDefault="00AB3A59" w:rsidP="00DC095C">
            <w:pPr>
              <w:pStyle w:val="Zkladntext2"/>
              <w:spacing w:after="0" w:line="360" w:lineRule="auto"/>
              <w:rPr>
                <w:rFonts w:asciiTheme="minorHAnsi" w:hAnsiTheme="minorHAnsi" w:cstheme="minorHAnsi"/>
              </w:rPr>
            </w:pPr>
            <w:r>
              <w:rPr>
                <w:rFonts w:asciiTheme="minorHAnsi" w:hAnsiTheme="minorHAnsi" w:cstheme="minorHAnsi"/>
              </w:rPr>
              <w:t>xxx</w:t>
            </w:r>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65729627" w:rsidR="00DC095C" w:rsidRPr="00696B82" w:rsidRDefault="00AB3A59" w:rsidP="00DC095C">
            <w:pPr>
              <w:pStyle w:val="Zkladntext2"/>
              <w:spacing w:after="0" w:line="360" w:lineRule="auto"/>
              <w:rPr>
                <w:rFonts w:asciiTheme="minorHAnsi" w:hAnsiTheme="minorHAnsi" w:cstheme="minorHAnsi"/>
              </w:rPr>
            </w:pPr>
            <w:r>
              <w:rPr>
                <w:rFonts w:asciiTheme="minorHAnsi" w:hAnsiTheme="minorHAnsi" w:cstheme="minorHAnsi"/>
                <w:lang w:val="en-GB"/>
              </w:rPr>
              <w:t>xxx</w:t>
            </w: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7B9BE31F" w:rsidR="00DC095C" w:rsidRPr="00696B82" w:rsidRDefault="00AB3A59" w:rsidP="00DC095C">
            <w:pPr>
              <w:pStyle w:val="Zkladntext2"/>
              <w:spacing w:after="0" w:line="360" w:lineRule="auto"/>
              <w:rPr>
                <w:rFonts w:asciiTheme="minorHAnsi" w:hAnsiTheme="minorHAnsi" w:cstheme="minorHAnsi"/>
              </w:rPr>
            </w:pPr>
            <w:r>
              <w:rPr>
                <w:rFonts w:asciiTheme="minorHAnsi" w:hAnsiTheme="minorHAnsi" w:cstheme="minorHAnsi"/>
                <w:lang w:val="en-GB"/>
              </w:rPr>
              <w:t>xxx</w:t>
            </w: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45987351" w:rsidR="00DC095C" w:rsidRPr="00696B82" w:rsidRDefault="00AB3A59" w:rsidP="00DC095C">
            <w:pPr>
              <w:pStyle w:val="Zkladntext2"/>
              <w:spacing w:after="0" w:line="360" w:lineRule="auto"/>
              <w:rPr>
                <w:rFonts w:asciiTheme="minorHAnsi" w:hAnsiTheme="minorHAnsi" w:cstheme="minorHAnsi"/>
              </w:rPr>
            </w:pPr>
            <w:r>
              <w:rPr>
                <w:rFonts w:asciiTheme="minorHAnsi" w:hAnsiTheme="minorHAnsi" w:cstheme="minorHAnsi"/>
                <w:lang w:val="en-GB"/>
              </w:rPr>
              <w:t>xxx</w:t>
            </w:r>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698B5220" w:rsidR="00DC095C" w:rsidRPr="00696B82" w:rsidRDefault="00AB3A59" w:rsidP="00DC095C">
            <w:pPr>
              <w:pStyle w:val="Zkladntext2"/>
              <w:spacing w:after="0" w:line="360" w:lineRule="auto"/>
              <w:rPr>
                <w:rFonts w:asciiTheme="minorHAnsi" w:hAnsiTheme="minorHAnsi" w:cstheme="minorHAnsi"/>
              </w:rPr>
            </w:pPr>
            <w:r>
              <w:rPr>
                <w:rFonts w:asciiTheme="minorHAnsi" w:hAnsiTheme="minorHAnsi" w:cstheme="minorHAnsi"/>
              </w:rPr>
              <w:t>xxx</w:t>
            </w:r>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4894F399" w:rsidR="00DC095C" w:rsidRPr="00696B82" w:rsidRDefault="00DC095C" w:rsidP="00DC095C">
            <w:pPr>
              <w:pStyle w:val="Zkladntext2"/>
              <w:spacing w:after="0" w:line="360" w:lineRule="auto"/>
              <w:rPr>
                <w:rFonts w:asciiTheme="minorHAnsi" w:hAnsiTheme="minorHAnsi" w:cstheme="minorHAnsi"/>
              </w:rPr>
            </w:pPr>
            <w:r w:rsidRPr="001911E3">
              <w:rPr>
                <w:rFonts w:asciiTheme="minorHAnsi" w:hAnsiTheme="minorHAnsi" w:cstheme="minorHAnsi"/>
                <w:lang w:val="en-GB"/>
              </w:rPr>
              <w:t>+420</w:t>
            </w:r>
            <w:r w:rsidR="00B84179">
              <w:rPr>
                <w:rFonts w:asciiTheme="minorHAnsi" w:hAnsiTheme="minorHAnsi" w:cstheme="minorHAnsi"/>
                <w:lang w:val="en-GB"/>
              </w:rPr>
              <w:t> </w:t>
            </w:r>
            <w:r w:rsidR="00AB3A59">
              <w:rPr>
                <w:rFonts w:asciiTheme="minorHAnsi" w:hAnsiTheme="minorHAnsi" w:cstheme="minorHAnsi"/>
                <w:lang w:val="en-GB"/>
              </w:rPr>
              <w:t>xxx</w:t>
            </w:r>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4F67F54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+420</w:t>
            </w:r>
            <w:r w:rsidR="00B84179">
              <w:rPr>
                <w:rFonts w:asciiTheme="minorHAnsi" w:hAnsiTheme="minorHAnsi" w:cstheme="minorHAnsi"/>
                <w:lang w:val="en-GB"/>
              </w:rPr>
              <w:t> </w:t>
            </w:r>
            <w:r w:rsidRPr="00DC095C">
              <w:rPr>
                <w:rFonts w:asciiTheme="minorHAnsi" w:hAnsiTheme="minorHAnsi" w:cstheme="minorHAnsi"/>
                <w:lang w:val="en-GB"/>
              </w:rPr>
              <w:t>7</w:t>
            </w:r>
            <w:r w:rsidR="00AB3A59">
              <w:rPr>
                <w:rFonts w:asciiTheme="minorHAnsi" w:hAnsiTheme="minorHAnsi" w:cstheme="minorHAnsi"/>
                <w:lang w:val="en-GB"/>
              </w:rPr>
              <w:t>xxx</w:t>
            </w:r>
            <w:r w:rsidRPr="00DC095C">
              <w:rPr>
                <w:rFonts w:asciiTheme="minorHAnsi" w:hAnsiTheme="minorHAnsi" w:cstheme="minorHAnsi"/>
                <w:lang w:val="en-GB"/>
              </w:rPr>
              <w:t>25</w:t>
            </w:r>
            <w:r w:rsidR="00B84179">
              <w:rPr>
                <w:rFonts w:asciiTheme="minorHAnsi" w:hAnsiTheme="minorHAnsi" w:cstheme="minorHAnsi"/>
                <w:lang w:val="en-GB"/>
              </w:rPr>
              <w:t xml:space="preserve"> </w:t>
            </w:r>
            <w:r w:rsidRPr="00DC095C">
              <w:rPr>
                <w:rFonts w:asciiTheme="minorHAnsi" w:hAnsiTheme="minorHAnsi" w:cstheme="minorHAnsi"/>
                <w:lang w:val="en-GB"/>
              </w:rPr>
              <w:t>445</w:t>
            </w:r>
            <w:r w:rsidR="00B84179">
              <w:rPr>
                <w:rFonts w:asciiTheme="minorHAnsi" w:hAnsiTheme="minorHAnsi" w:cstheme="minorHAnsi"/>
                <w:lang w:val="en-GB"/>
              </w:rPr>
              <w:t xml:space="preserve"> </w:t>
            </w:r>
            <w:r w:rsidRPr="00DC095C">
              <w:rPr>
                <w:rFonts w:asciiTheme="minorHAnsi" w:hAnsiTheme="minorHAnsi" w:cstheme="minorHAnsi"/>
                <w:lang w:val="en-GB"/>
              </w:rPr>
              <w:t>539</w:t>
            </w:r>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2764375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10EFF18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AB3A59" w:rsidRPr="00696B82" w14:paraId="34F81E70" w14:textId="77777777" w:rsidTr="002B42CD">
        <w:tc>
          <w:tcPr>
            <w:tcW w:w="919" w:type="dxa"/>
          </w:tcPr>
          <w:p w14:paraId="58D2460A"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40C1B458" w:rsidR="00AB3A59" w:rsidRPr="00696B82" w:rsidRDefault="00AB3A59" w:rsidP="00AB3A59">
            <w:pPr>
              <w:pStyle w:val="Zkladntext2"/>
              <w:spacing w:after="0" w:line="360" w:lineRule="auto"/>
              <w:rPr>
                <w:rFonts w:asciiTheme="minorHAnsi" w:hAnsiTheme="minorHAnsi" w:cstheme="minorHAnsi"/>
                <w:b/>
              </w:rPr>
            </w:pPr>
            <w:r>
              <w:rPr>
                <w:rFonts w:asciiTheme="minorHAnsi" w:hAnsiTheme="minorHAnsi" w:cstheme="minorHAnsi"/>
                <w:lang w:val="en-GB"/>
              </w:rPr>
              <w:t>xxx</w:t>
            </w:r>
          </w:p>
        </w:tc>
        <w:tc>
          <w:tcPr>
            <w:tcW w:w="919" w:type="dxa"/>
          </w:tcPr>
          <w:p w14:paraId="459FDB23" w14:textId="5A1D8670"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0A6AAEE" w14:textId="333291C8"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r>
      <w:tr w:rsidR="00AB3A59" w:rsidRPr="00696B82" w14:paraId="1BA8A30F" w14:textId="77777777" w:rsidTr="002B42CD">
        <w:tc>
          <w:tcPr>
            <w:tcW w:w="919" w:type="dxa"/>
          </w:tcPr>
          <w:p w14:paraId="2DB48E73"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74568DDF"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c>
          <w:tcPr>
            <w:tcW w:w="919" w:type="dxa"/>
          </w:tcPr>
          <w:p w14:paraId="08D3173C" w14:textId="5D7FDEFB"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252F1E42" w14:textId="082B6463"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r>
      <w:tr w:rsidR="00AB3A59" w:rsidRPr="00696B82" w14:paraId="1DA41ECB" w14:textId="77777777" w:rsidTr="002B42CD">
        <w:tc>
          <w:tcPr>
            <w:tcW w:w="919" w:type="dxa"/>
          </w:tcPr>
          <w:p w14:paraId="2F843FEB"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4F5D69AD"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c>
          <w:tcPr>
            <w:tcW w:w="919" w:type="dxa"/>
          </w:tcPr>
          <w:p w14:paraId="0E1AD7DE" w14:textId="4CB25C83"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6D828DB" w14:textId="188B1309"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r>
      <w:tr w:rsidR="00AB3A59" w:rsidRPr="00696B82" w14:paraId="73989329" w14:textId="77777777" w:rsidTr="002B42CD">
        <w:tc>
          <w:tcPr>
            <w:tcW w:w="919" w:type="dxa"/>
          </w:tcPr>
          <w:p w14:paraId="3C3E254B"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5821693D" w:rsidR="00AB3A59" w:rsidRPr="00696B82" w:rsidRDefault="00AB3A59" w:rsidP="00AB3A59">
            <w:pPr>
              <w:pStyle w:val="Zkladntext2"/>
              <w:spacing w:after="0" w:line="360" w:lineRule="auto"/>
              <w:rPr>
                <w:rFonts w:asciiTheme="minorHAnsi" w:hAnsiTheme="minorHAnsi" w:cstheme="minorHAnsi"/>
              </w:rPr>
            </w:pPr>
            <w:r w:rsidRPr="001911E3">
              <w:rPr>
                <w:rFonts w:asciiTheme="minorHAnsi" w:hAnsiTheme="minorHAnsi" w:cstheme="minorHAnsi"/>
                <w:lang w:val="en-GB"/>
              </w:rPr>
              <w:t>+420</w:t>
            </w:r>
            <w:r>
              <w:rPr>
                <w:rFonts w:asciiTheme="minorHAnsi" w:hAnsiTheme="minorHAnsi" w:cstheme="minorHAnsi"/>
                <w:lang w:val="en-GB"/>
              </w:rPr>
              <w:t> xxx</w:t>
            </w:r>
          </w:p>
        </w:tc>
        <w:tc>
          <w:tcPr>
            <w:tcW w:w="919" w:type="dxa"/>
          </w:tcPr>
          <w:p w14:paraId="4CA1C4D5" w14:textId="1CAD7133"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508F47F" w14:textId="286C4836" w:rsidR="00AB3A59" w:rsidRPr="00696B82" w:rsidRDefault="00AB3A59" w:rsidP="00AB3A59">
            <w:pPr>
              <w:pStyle w:val="Zkladntext2"/>
              <w:spacing w:after="0" w:line="360" w:lineRule="auto"/>
              <w:rPr>
                <w:rFonts w:asciiTheme="minorHAnsi" w:hAnsiTheme="minorHAnsi" w:cstheme="minorHAnsi"/>
              </w:rPr>
            </w:pPr>
            <w:r w:rsidRPr="001911E3">
              <w:rPr>
                <w:rFonts w:asciiTheme="minorHAnsi" w:hAnsiTheme="minorHAnsi" w:cstheme="minorHAnsi"/>
                <w:lang w:val="en-GB"/>
              </w:rPr>
              <w:t>+420</w:t>
            </w:r>
            <w:r>
              <w:rPr>
                <w:rFonts w:asciiTheme="minorHAnsi" w:hAnsiTheme="minorHAnsi" w:cstheme="minorHAnsi"/>
                <w:lang w:val="en-GB"/>
              </w:rPr>
              <w:t> xxx</w:t>
            </w:r>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AB3A59" w:rsidRPr="00696B82" w14:paraId="09AAE040" w14:textId="77777777" w:rsidTr="00291D1E">
        <w:tc>
          <w:tcPr>
            <w:tcW w:w="919" w:type="dxa"/>
          </w:tcPr>
          <w:p w14:paraId="20EB5624"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77FCE63D" w:rsidR="00AB3A59" w:rsidRPr="00696B82" w:rsidRDefault="00AB3A59" w:rsidP="00AB3A59">
            <w:pPr>
              <w:pStyle w:val="Zkladntext2"/>
              <w:spacing w:after="0" w:line="360" w:lineRule="auto"/>
              <w:rPr>
                <w:rFonts w:asciiTheme="minorHAnsi" w:hAnsiTheme="minorHAnsi" w:cstheme="minorHAnsi"/>
                <w:b/>
              </w:rPr>
            </w:pPr>
            <w:r>
              <w:rPr>
                <w:rFonts w:asciiTheme="minorHAnsi" w:hAnsiTheme="minorHAnsi" w:cstheme="minorHAnsi"/>
                <w:lang w:val="en-GB"/>
              </w:rPr>
              <w:t>xxx</w:t>
            </w:r>
          </w:p>
        </w:tc>
        <w:tc>
          <w:tcPr>
            <w:tcW w:w="919" w:type="dxa"/>
          </w:tcPr>
          <w:p w14:paraId="654F2BCD"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AB3A59" w:rsidRPr="00696B82" w14:paraId="6492201B" w14:textId="77777777" w:rsidTr="00291D1E">
        <w:tc>
          <w:tcPr>
            <w:tcW w:w="919" w:type="dxa"/>
          </w:tcPr>
          <w:p w14:paraId="7B699A63"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40806FAC"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xxx</w:t>
            </w:r>
          </w:p>
        </w:tc>
        <w:tc>
          <w:tcPr>
            <w:tcW w:w="919" w:type="dxa"/>
          </w:tcPr>
          <w:p w14:paraId="59A6BEBF"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07042D00"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info@inenergie.cz</w:t>
            </w:r>
          </w:p>
        </w:tc>
      </w:tr>
      <w:tr w:rsidR="00AB3A59" w:rsidRPr="00696B82" w14:paraId="7707D939" w14:textId="77777777" w:rsidTr="00291D1E">
        <w:tc>
          <w:tcPr>
            <w:tcW w:w="919" w:type="dxa"/>
          </w:tcPr>
          <w:p w14:paraId="54E6A1AB"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7969C2D1" w:rsidR="00AB3A59" w:rsidRPr="00696B82" w:rsidRDefault="00AB3A59" w:rsidP="00AB3A59">
            <w:pPr>
              <w:pStyle w:val="Zkladntext2"/>
              <w:spacing w:after="0" w:line="360" w:lineRule="auto"/>
              <w:rPr>
                <w:rFonts w:asciiTheme="minorHAnsi" w:hAnsiTheme="minorHAnsi" w:cstheme="minorHAnsi"/>
              </w:rPr>
            </w:pPr>
            <w:r w:rsidRPr="001911E3">
              <w:rPr>
                <w:rFonts w:asciiTheme="minorHAnsi" w:hAnsiTheme="minorHAnsi" w:cstheme="minorHAnsi"/>
                <w:lang w:val="en-GB"/>
              </w:rPr>
              <w:t>+420</w:t>
            </w:r>
            <w:r>
              <w:rPr>
                <w:rFonts w:asciiTheme="minorHAnsi" w:hAnsiTheme="minorHAnsi" w:cstheme="minorHAnsi"/>
                <w:lang w:val="en-GB"/>
              </w:rPr>
              <w:t> xxx</w:t>
            </w:r>
          </w:p>
        </w:tc>
        <w:tc>
          <w:tcPr>
            <w:tcW w:w="919" w:type="dxa"/>
          </w:tcPr>
          <w:p w14:paraId="3F37BD51"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02FB4F84"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7B2D53F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16B9873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00A91">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lastRenderedPageBreak/>
              <w:t>Osoby oprávněné k jednání ve věcech smluvních</w:t>
            </w:r>
          </w:p>
        </w:tc>
      </w:tr>
      <w:tr w:rsidR="0079060A" w:rsidRPr="00696B82" w14:paraId="4850ED0A" w14:textId="77777777" w:rsidTr="00100A91">
        <w:tc>
          <w:tcPr>
            <w:tcW w:w="919" w:type="dxa"/>
          </w:tcPr>
          <w:p w14:paraId="1F0F7CA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62B5A4A6" w:rsidR="0079060A" w:rsidRPr="00B84179" w:rsidRDefault="00AB3A59" w:rsidP="00846F16">
            <w:pPr>
              <w:pStyle w:val="Zkladntext2"/>
              <w:spacing w:after="0" w:line="360" w:lineRule="auto"/>
              <w:rPr>
                <w:rFonts w:asciiTheme="minorHAnsi" w:hAnsiTheme="minorHAnsi" w:cstheme="minorHAnsi"/>
                <w:bCs/>
              </w:rPr>
            </w:pPr>
            <w:r>
              <w:rPr>
                <w:rFonts w:asciiTheme="minorHAnsi" w:hAnsiTheme="minorHAnsi" w:cstheme="minorHAnsi"/>
              </w:rPr>
              <w:t>xxx</w:t>
            </w:r>
          </w:p>
        </w:tc>
        <w:tc>
          <w:tcPr>
            <w:tcW w:w="919" w:type="dxa"/>
          </w:tcPr>
          <w:p w14:paraId="0326A7E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251F587A"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D9A18BF" w14:textId="77777777" w:rsidTr="00100A91">
        <w:tc>
          <w:tcPr>
            <w:tcW w:w="919" w:type="dxa"/>
          </w:tcPr>
          <w:p w14:paraId="63A26C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366E6E6C" w:rsidR="0079060A" w:rsidRPr="00696B82" w:rsidRDefault="00AB3A59" w:rsidP="00B84179">
            <w:pPr>
              <w:pStyle w:val="Zkladntext2"/>
              <w:spacing w:after="0" w:line="240" w:lineRule="auto"/>
              <w:rPr>
                <w:rFonts w:asciiTheme="minorHAnsi" w:hAnsiTheme="minorHAnsi" w:cstheme="minorHAnsi"/>
              </w:rPr>
            </w:pPr>
            <w:r>
              <w:rPr>
                <w:rFonts w:asciiTheme="minorHAnsi" w:hAnsiTheme="minorHAnsi" w:cstheme="minorHAnsi"/>
              </w:rPr>
              <w:t>xxx</w:t>
            </w:r>
          </w:p>
        </w:tc>
        <w:tc>
          <w:tcPr>
            <w:tcW w:w="919" w:type="dxa"/>
          </w:tcPr>
          <w:p w14:paraId="38833048"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3E91F61F"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38A209C" w14:textId="77777777" w:rsidTr="00100A91">
        <w:tc>
          <w:tcPr>
            <w:tcW w:w="919" w:type="dxa"/>
          </w:tcPr>
          <w:p w14:paraId="1BB4511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7CA90F67" w:rsidR="0079060A" w:rsidRPr="00696B82" w:rsidRDefault="00AB3A59" w:rsidP="00100A91">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0DD2D0F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009BC6C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3F6830A" w14:textId="77777777" w:rsidTr="00100A91">
        <w:tc>
          <w:tcPr>
            <w:tcW w:w="919" w:type="dxa"/>
          </w:tcPr>
          <w:p w14:paraId="151206D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2BC41BD5" w:rsidR="0079060A" w:rsidRPr="00696B82" w:rsidRDefault="00A5419D" w:rsidP="003B1887">
            <w:pPr>
              <w:pStyle w:val="Zkladntext2"/>
              <w:spacing w:after="0" w:line="360" w:lineRule="auto"/>
              <w:rPr>
                <w:rFonts w:asciiTheme="minorHAnsi" w:hAnsiTheme="minorHAnsi" w:cstheme="minorHAnsi"/>
              </w:rPr>
            </w:pPr>
            <w:r w:rsidRPr="00A5419D">
              <w:rPr>
                <w:rFonts w:asciiTheme="minorHAnsi" w:hAnsiTheme="minorHAnsi" w:cstheme="minorHAnsi"/>
              </w:rPr>
              <w:t>+</w:t>
            </w:r>
            <w:r w:rsidR="006C0927" w:rsidRPr="006C0927">
              <w:rPr>
                <w:rFonts w:asciiTheme="minorHAnsi" w:hAnsiTheme="minorHAnsi" w:cstheme="minorHAnsi"/>
              </w:rPr>
              <w:t>420</w:t>
            </w:r>
            <w:r w:rsidR="00F33FB5">
              <w:rPr>
                <w:rFonts w:asciiTheme="minorHAnsi" w:hAnsiTheme="minorHAnsi" w:cstheme="minorHAnsi"/>
              </w:rPr>
              <w:t> </w:t>
            </w:r>
            <w:r w:rsidR="00AB3A59">
              <w:rPr>
                <w:rFonts w:asciiTheme="minorHAnsi" w:hAnsiTheme="minorHAnsi" w:cstheme="minorHAnsi"/>
              </w:rPr>
              <w:t>xxx</w:t>
            </w:r>
          </w:p>
        </w:tc>
        <w:tc>
          <w:tcPr>
            <w:tcW w:w="919" w:type="dxa"/>
          </w:tcPr>
          <w:p w14:paraId="28C093E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732566A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0A85BCEF" w14:textId="77777777" w:rsidTr="00100A91">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2196192B" w:rsidR="0079060A" w:rsidRPr="00696B82" w:rsidRDefault="00B84179" w:rsidP="00100A91">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AB3A59" w:rsidRPr="00696B82" w14:paraId="20623687" w14:textId="77777777" w:rsidTr="00100A91">
        <w:tc>
          <w:tcPr>
            <w:tcW w:w="919" w:type="dxa"/>
          </w:tcPr>
          <w:p w14:paraId="18334207"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5CCE9557" w:rsidR="00AB3A59" w:rsidRPr="004963C9" w:rsidRDefault="00AB3A59" w:rsidP="00AB3A59">
            <w:pPr>
              <w:pStyle w:val="Zkladntext2"/>
              <w:spacing w:after="0" w:line="360" w:lineRule="auto"/>
              <w:rPr>
                <w:rFonts w:asciiTheme="minorHAnsi" w:hAnsiTheme="minorHAnsi" w:cstheme="minorHAnsi"/>
                <w:bCs/>
              </w:rPr>
            </w:pPr>
            <w:r>
              <w:rPr>
                <w:rFonts w:asciiTheme="minorHAnsi" w:hAnsiTheme="minorHAnsi" w:cstheme="minorHAnsi"/>
              </w:rPr>
              <w:t>xxx</w:t>
            </w:r>
          </w:p>
        </w:tc>
        <w:tc>
          <w:tcPr>
            <w:tcW w:w="919" w:type="dxa"/>
          </w:tcPr>
          <w:p w14:paraId="1279217B"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57109BE4" w:rsidR="00AB3A59" w:rsidRPr="00696B82" w:rsidRDefault="00AB3A59" w:rsidP="00AB3A59">
            <w:pPr>
              <w:pStyle w:val="Zkladntext2"/>
              <w:spacing w:after="0" w:line="360" w:lineRule="auto"/>
              <w:rPr>
                <w:rFonts w:asciiTheme="minorHAnsi" w:hAnsiTheme="minorHAnsi" w:cstheme="minorHAnsi"/>
              </w:rPr>
            </w:pPr>
          </w:p>
        </w:tc>
      </w:tr>
      <w:tr w:rsidR="00AB3A59" w:rsidRPr="00696B82" w14:paraId="6101021C" w14:textId="77777777" w:rsidTr="00100A91">
        <w:tc>
          <w:tcPr>
            <w:tcW w:w="919" w:type="dxa"/>
          </w:tcPr>
          <w:p w14:paraId="72D2AE02"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57FE2000"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6C10F780"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33394F8C" w:rsidR="00AB3A59" w:rsidRPr="00696B82" w:rsidRDefault="00AB3A59" w:rsidP="00AB3A59">
            <w:pPr>
              <w:pStyle w:val="Zkladntext2"/>
              <w:spacing w:after="0" w:line="360" w:lineRule="auto"/>
              <w:rPr>
                <w:rFonts w:asciiTheme="minorHAnsi" w:hAnsiTheme="minorHAnsi" w:cstheme="minorHAnsi"/>
              </w:rPr>
            </w:pPr>
          </w:p>
        </w:tc>
      </w:tr>
      <w:tr w:rsidR="00AB3A59" w:rsidRPr="00696B82" w14:paraId="22F308F1" w14:textId="77777777" w:rsidTr="00100A91">
        <w:tc>
          <w:tcPr>
            <w:tcW w:w="919" w:type="dxa"/>
          </w:tcPr>
          <w:p w14:paraId="7EBADB83"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6B9C7A1F"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26D7F2ED"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38AD7FE8" w:rsidR="00AB3A59" w:rsidRPr="00696B82" w:rsidRDefault="00AB3A59" w:rsidP="00AB3A59">
            <w:pPr>
              <w:pStyle w:val="Zkladntext2"/>
              <w:spacing w:after="0" w:line="360" w:lineRule="auto"/>
              <w:rPr>
                <w:rFonts w:asciiTheme="minorHAnsi" w:hAnsiTheme="minorHAnsi" w:cstheme="minorHAnsi"/>
              </w:rPr>
            </w:pPr>
          </w:p>
        </w:tc>
      </w:tr>
      <w:tr w:rsidR="00AB3A59" w:rsidRPr="00696B82" w14:paraId="22BDB582" w14:textId="77777777" w:rsidTr="00100A91">
        <w:tc>
          <w:tcPr>
            <w:tcW w:w="919" w:type="dxa"/>
          </w:tcPr>
          <w:p w14:paraId="60AACC22"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13E5DC2D" w:rsidR="00AB3A59" w:rsidRPr="00696B82" w:rsidRDefault="00AB3A59" w:rsidP="00AB3A59">
            <w:pPr>
              <w:pStyle w:val="Zkladntext2"/>
              <w:spacing w:after="0" w:line="360" w:lineRule="auto"/>
              <w:rPr>
                <w:rFonts w:asciiTheme="minorHAnsi" w:hAnsiTheme="minorHAnsi" w:cstheme="minorHAnsi"/>
              </w:rPr>
            </w:pPr>
            <w:r w:rsidRPr="00A5419D">
              <w:rPr>
                <w:rFonts w:asciiTheme="minorHAnsi" w:hAnsiTheme="minorHAnsi" w:cstheme="minorHAnsi"/>
              </w:rPr>
              <w:t>+</w:t>
            </w:r>
            <w:r w:rsidRPr="006C0927">
              <w:rPr>
                <w:rFonts w:asciiTheme="minorHAnsi" w:hAnsiTheme="minorHAnsi" w:cstheme="minorHAnsi"/>
              </w:rPr>
              <w:t>420</w:t>
            </w:r>
            <w:r>
              <w:rPr>
                <w:rFonts w:asciiTheme="minorHAnsi" w:hAnsiTheme="minorHAnsi" w:cstheme="minorHAnsi"/>
              </w:rPr>
              <w:t> xxx</w:t>
            </w:r>
          </w:p>
        </w:tc>
        <w:tc>
          <w:tcPr>
            <w:tcW w:w="919" w:type="dxa"/>
          </w:tcPr>
          <w:p w14:paraId="4DD6787D"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7310BD25" w:rsidR="00AB3A59" w:rsidRPr="00696B82" w:rsidRDefault="00AB3A59" w:rsidP="00AB3A59">
            <w:pPr>
              <w:pStyle w:val="Zkladntext2"/>
              <w:spacing w:after="0" w:line="360" w:lineRule="auto"/>
              <w:rPr>
                <w:rFonts w:asciiTheme="minorHAnsi" w:hAnsiTheme="minorHAnsi" w:cstheme="minorHAnsi"/>
              </w:rPr>
            </w:pPr>
          </w:p>
        </w:tc>
      </w:tr>
      <w:tr w:rsidR="0079060A" w:rsidRPr="00696B82" w14:paraId="3ED48253" w14:textId="77777777" w:rsidTr="00100A91">
        <w:tc>
          <w:tcPr>
            <w:tcW w:w="919" w:type="dxa"/>
          </w:tcPr>
          <w:p w14:paraId="62E909A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5D63C1D9"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5E27C35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4353AC9" w:rsidR="0079060A" w:rsidRPr="00696B82" w:rsidRDefault="0079060A" w:rsidP="00100A91">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AB3A59" w:rsidRPr="00696B82" w14:paraId="2CDEB37A" w14:textId="77777777" w:rsidTr="00100A91">
        <w:tc>
          <w:tcPr>
            <w:tcW w:w="919" w:type="dxa"/>
          </w:tcPr>
          <w:p w14:paraId="3BEEDA8C" w14:textId="606D3B59"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55430619" w14:textId="5B977100"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074DD3BD"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FC0A74A" w14:textId="19CF239C" w:rsidR="00AB3A59" w:rsidRPr="00696B82" w:rsidRDefault="00AB3A59" w:rsidP="00AB3A59">
            <w:pPr>
              <w:pStyle w:val="Zkladntext2"/>
              <w:spacing w:after="0" w:line="360" w:lineRule="auto"/>
              <w:rPr>
                <w:rFonts w:asciiTheme="minorHAnsi" w:hAnsiTheme="minorHAnsi" w:cstheme="minorHAnsi"/>
              </w:rPr>
            </w:pPr>
          </w:p>
        </w:tc>
      </w:tr>
      <w:tr w:rsidR="00AB3A59" w:rsidRPr="00696B82" w14:paraId="74C11EBF" w14:textId="77777777" w:rsidTr="00100A91">
        <w:tc>
          <w:tcPr>
            <w:tcW w:w="919" w:type="dxa"/>
          </w:tcPr>
          <w:p w14:paraId="3A18BE05" w14:textId="6619A1D6"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23EA174" w14:textId="615F3560" w:rsidR="00AB3A59" w:rsidRPr="00A5419D" w:rsidRDefault="00AB3A59" w:rsidP="00AB3A59">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17C4BE9A" w14:textId="7DAFC5B5"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71D0DD27" w14:textId="77777777" w:rsidR="00AB3A59" w:rsidRPr="00696B82" w:rsidRDefault="00AB3A59" w:rsidP="00AB3A59">
            <w:pPr>
              <w:pStyle w:val="Zkladntext2"/>
              <w:spacing w:after="0" w:line="360" w:lineRule="auto"/>
              <w:rPr>
                <w:rFonts w:asciiTheme="minorHAnsi" w:hAnsiTheme="minorHAnsi" w:cstheme="minorHAnsi"/>
              </w:rPr>
            </w:pPr>
          </w:p>
        </w:tc>
      </w:tr>
      <w:tr w:rsidR="00AB3A59" w:rsidRPr="00696B82" w14:paraId="35B9A866" w14:textId="77777777" w:rsidTr="00100A91">
        <w:tc>
          <w:tcPr>
            <w:tcW w:w="919" w:type="dxa"/>
          </w:tcPr>
          <w:p w14:paraId="769810E1"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4A380BBC"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rPr>
              <w:t>xxx</w:t>
            </w:r>
          </w:p>
        </w:tc>
        <w:tc>
          <w:tcPr>
            <w:tcW w:w="919" w:type="dxa"/>
          </w:tcPr>
          <w:p w14:paraId="3B291EA4"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04E6662D" w:rsidR="00AB3A59" w:rsidRPr="00696B82" w:rsidRDefault="00AB3A59" w:rsidP="00AB3A59">
            <w:pPr>
              <w:pStyle w:val="Zkladntext2"/>
              <w:spacing w:after="0" w:line="360" w:lineRule="auto"/>
              <w:rPr>
                <w:rFonts w:asciiTheme="minorHAnsi" w:hAnsiTheme="minorHAnsi" w:cstheme="minorHAnsi"/>
              </w:rPr>
            </w:pPr>
            <w:r>
              <w:rPr>
                <w:rFonts w:asciiTheme="minorHAnsi" w:hAnsiTheme="minorHAnsi" w:cstheme="minorHAnsi"/>
              </w:rPr>
              <w:t>ovanet@ovanet.cz</w:t>
            </w:r>
          </w:p>
        </w:tc>
      </w:tr>
      <w:tr w:rsidR="00AB3A59" w:rsidRPr="00696B82" w14:paraId="674E5582" w14:textId="77777777" w:rsidTr="002D6B99">
        <w:trPr>
          <w:trHeight w:val="58"/>
        </w:trPr>
        <w:tc>
          <w:tcPr>
            <w:tcW w:w="919" w:type="dxa"/>
          </w:tcPr>
          <w:p w14:paraId="2E7E1EAF"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6C391329" w:rsidR="00AB3A59" w:rsidRPr="00696B82" w:rsidRDefault="00AB3A59" w:rsidP="00AB3A59">
            <w:pPr>
              <w:pStyle w:val="Zkladntext2"/>
              <w:spacing w:after="0" w:line="360" w:lineRule="auto"/>
              <w:rPr>
                <w:rFonts w:asciiTheme="minorHAnsi" w:hAnsiTheme="minorHAnsi" w:cstheme="minorHAnsi"/>
              </w:rPr>
            </w:pPr>
            <w:r w:rsidRPr="00A5419D">
              <w:rPr>
                <w:rFonts w:asciiTheme="minorHAnsi" w:hAnsiTheme="minorHAnsi" w:cstheme="minorHAnsi"/>
              </w:rPr>
              <w:t>+</w:t>
            </w:r>
            <w:r w:rsidRPr="006C0927">
              <w:rPr>
                <w:rFonts w:asciiTheme="minorHAnsi" w:hAnsiTheme="minorHAnsi" w:cstheme="minorHAnsi"/>
              </w:rPr>
              <w:t>420</w:t>
            </w:r>
            <w:r>
              <w:rPr>
                <w:rFonts w:asciiTheme="minorHAnsi" w:hAnsiTheme="minorHAnsi" w:cstheme="minorHAnsi"/>
              </w:rPr>
              <w:t> xxx</w:t>
            </w:r>
          </w:p>
        </w:tc>
        <w:tc>
          <w:tcPr>
            <w:tcW w:w="919" w:type="dxa"/>
          </w:tcPr>
          <w:p w14:paraId="3F94DF7F" w14:textId="77777777" w:rsidR="00AB3A59" w:rsidRPr="00696B82" w:rsidRDefault="00AB3A59" w:rsidP="00AB3A5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1FB36193" w:rsidR="00AB3A59" w:rsidRPr="00696B82" w:rsidRDefault="00AB3A59" w:rsidP="00AB3A59">
            <w:pPr>
              <w:pStyle w:val="Zkladntext2"/>
              <w:spacing w:after="0" w:line="360" w:lineRule="auto"/>
              <w:rPr>
                <w:rFonts w:asciiTheme="minorHAnsi" w:hAnsiTheme="minorHAnsi" w:cstheme="minorHAnsi"/>
              </w:rPr>
            </w:pPr>
          </w:p>
        </w:tc>
      </w:tr>
      <w:tr w:rsidR="00A5419D" w:rsidRPr="00696B82" w14:paraId="76D50CFF" w14:textId="77777777" w:rsidTr="00100A91">
        <w:tc>
          <w:tcPr>
            <w:tcW w:w="919" w:type="dxa"/>
          </w:tcPr>
          <w:p w14:paraId="43333D42"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59E3F8DD" w:rsidR="00A5419D" w:rsidRPr="00696B82" w:rsidRDefault="00A5419D" w:rsidP="00A5419D">
            <w:pPr>
              <w:pStyle w:val="Zkladntext2"/>
              <w:spacing w:after="0" w:line="360" w:lineRule="auto"/>
              <w:rPr>
                <w:rFonts w:asciiTheme="minorHAnsi" w:hAnsiTheme="minorHAnsi" w:cstheme="minorHAnsi"/>
              </w:rPr>
            </w:pPr>
          </w:p>
        </w:tc>
        <w:tc>
          <w:tcPr>
            <w:tcW w:w="919" w:type="dxa"/>
          </w:tcPr>
          <w:p w14:paraId="6E0B42B9"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3FB300F2" w:rsidR="00A5419D" w:rsidRPr="00696B82" w:rsidRDefault="00A5419D" w:rsidP="00A5419D">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46B8" w14:textId="77777777" w:rsidR="006C068F" w:rsidRDefault="006C068F" w:rsidP="005349E5">
      <w:r>
        <w:separator/>
      </w:r>
    </w:p>
  </w:endnote>
  <w:endnote w:type="continuationSeparator" w:id="0">
    <w:p w14:paraId="3A087643" w14:textId="77777777" w:rsidR="006C068F" w:rsidRDefault="006C068F" w:rsidP="005349E5">
      <w:r>
        <w:continuationSeparator/>
      </w:r>
    </w:p>
  </w:endnote>
  <w:endnote w:type="continuationNotice" w:id="1">
    <w:p w14:paraId="331323F8" w14:textId="77777777" w:rsidR="006C068F" w:rsidRDefault="006C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CBE" w14:textId="77777777" w:rsidR="00712649" w:rsidRDefault="007126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4069"/>
      <w:docPartObj>
        <w:docPartGallery w:val="Page Numbers (Bottom of Page)"/>
        <w:docPartUnique/>
      </w:docPartObj>
    </w:sdtPr>
    <w:sdtContent>
      <w:sdt>
        <w:sdtPr>
          <w:id w:val="1728636285"/>
          <w:docPartObj>
            <w:docPartGallery w:val="Page Numbers (Top of Page)"/>
            <w:docPartUnique/>
          </w:docPartObj>
        </w:sdtPr>
        <w:sdtContent>
          <w:p w14:paraId="1165F664" w14:textId="0A3491B6"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71264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12649">
              <w:rPr>
                <w:b/>
                <w:bCs/>
                <w:noProof/>
              </w:rPr>
              <w:t>18</w:t>
            </w:r>
            <w:r>
              <w:rPr>
                <w:b/>
                <w:bCs/>
                <w:sz w:val="24"/>
                <w:szCs w:val="24"/>
              </w:rPr>
              <w:fldChar w:fldCharType="end"/>
            </w:r>
          </w:p>
        </w:sdtContent>
      </w:sdt>
    </w:sdtContent>
  </w:sdt>
  <w:p w14:paraId="6CD7E21D" w14:textId="77777777" w:rsidR="00A6360D" w:rsidRDefault="00A636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E496" w14:textId="77777777" w:rsidR="00712649" w:rsidRDefault="007126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AC22" w14:textId="77777777" w:rsidR="006C068F" w:rsidRDefault="006C068F" w:rsidP="005349E5">
      <w:r>
        <w:separator/>
      </w:r>
    </w:p>
  </w:footnote>
  <w:footnote w:type="continuationSeparator" w:id="0">
    <w:p w14:paraId="27A61A5C" w14:textId="77777777" w:rsidR="006C068F" w:rsidRDefault="006C068F" w:rsidP="005349E5">
      <w:r>
        <w:continuationSeparator/>
      </w:r>
    </w:p>
  </w:footnote>
  <w:footnote w:type="continuationNotice" w:id="1">
    <w:p w14:paraId="0BBE74A0" w14:textId="77777777" w:rsidR="006C068F" w:rsidRDefault="006C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92C9" w14:textId="77777777" w:rsidR="00712649" w:rsidRDefault="007126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335E" w14:textId="45294755" w:rsidR="00261D12" w:rsidRDefault="007A3D7F" w:rsidP="007A3D7F">
    <w:pPr>
      <w:pStyle w:val="Zhlav"/>
      <w:tabs>
        <w:tab w:val="clear" w:pos="4536"/>
        <w:tab w:val="center" w:pos="2977"/>
      </w:tabs>
      <w:spacing w:after="120"/>
      <w:rPr>
        <w:sz w:val="16"/>
        <w:szCs w:val="16"/>
      </w:rPr>
    </w:pPr>
    <w:r>
      <w:rPr>
        <w:sz w:val="16"/>
        <w:szCs w:val="16"/>
      </w:rPr>
      <w:t>ČÍSLO SMLOUVY OBCHODNÍKA:</w:t>
    </w:r>
    <w:r w:rsidR="00045AAC" w:rsidRPr="00045AAC">
      <w:t xml:space="preserve"> </w:t>
    </w:r>
    <w:r w:rsidR="00B01E08" w:rsidRPr="00B01E08">
      <w:rPr>
        <w:sz w:val="16"/>
        <w:szCs w:val="16"/>
      </w:rPr>
      <w:t>0191</w:t>
    </w:r>
    <w:r w:rsidR="00F33FB5">
      <w:rPr>
        <w:sz w:val="16"/>
        <w:szCs w:val="16"/>
      </w:rPr>
      <w:t>97</w:t>
    </w:r>
    <w:r>
      <w:rPr>
        <w:sz w:val="16"/>
        <w:szCs w:val="16"/>
      </w:rPr>
      <w:tab/>
    </w:r>
  </w:p>
  <w:p w14:paraId="5051FF71" w14:textId="7D34F94A" w:rsidR="007A3D7F" w:rsidRPr="005349E5" w:rsidRDefault="007A3D7F" w:rsidP="007A3D7F">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00712649">
      <w:rPr>
        <w:sz w:val="16"/>
        <w:szCs w:val="16"/>
      </w:rPr>
      <w:t xml:space="preserve">    </w:t>
    </w:r>
    <w:r w:rsidR="00712649">
      <w:rPr>
        <w:rFonts w:ascii="Calibri" w:hAnsi="Calibri"/>
      </w:rPr>
      <w:t>SD/20250045</w:t>
    </w:r>
  </w:p>
  <w:p w14:paraId="6D3C05A5" w14:textId="77777777" w:rsidR="007A3D7F" w:rsidRDefault="007A3D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C4A4" w14:textId="77777777" w:rsidR="00712649" w:rsidRDefault="007126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2250172">
    <w:abstractNumId w:val="24"/>
  </w:num>
  <w:num w:numId="2" w16cid:durableId="1328090466">
    <w:abstractNumId w:val="4"/>
  </w:num>
  <w:num w:numId="3" w16cid:durableId="1180201202">
    <w:abstractNumId w:val="11"/>
  </w:num>
  <w:num w:numId="4" w16cid:durableId="1825009738">
    <w:abstractNumId w:val="16"/>
  </w:num>
  <w:num w:numId="5" w16cid:durableId="165824285">
    <w:abstractNumId w:val="7"/>
  </w:num>
  <w:num w:numId="6" w16cid:durableId="595215525">
    <w:abstractNumId w:val="0"/>
  </w:num>
  <w:num w:numId="7" w16cid:durableId="166412113">
    <w:abstractNumId w:val="20"/>
  </w:num>
  <w:num w:numId="8" w16cid:durableId="1152482776">
    <w:abstractNumId w:val="23"/>
  </w:num>
  <w:num w:numId="9" w16cid:durableId="938873669">
    <w:abstractNumId w:val="28"/>
  </w:num>
  <w:num w:numId="10" w16cid:durableId="169174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28510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78263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583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388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210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637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3954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034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529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410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98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140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4145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8780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190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19168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254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0862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2770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5850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D"/>
    <w:rsid w:val="00002D97"/>
    <w:rsid w:val="00006ABD"/>
    <w:rsid w:val="00007172"/>
    <w:rsid w:val="00007B90"/>
    <w:rsid w:val="00011FCF"/>
    <w:rsid w:val="0001273B"/>
    <w:rsid w:val="000145FF"/>
    <w:rsid w:val="00017877"/>
    <w:rsid w:val="00020175"/>
    <w:rsid w:val="00020D37"/>
    <w:rsid w:val="0002347F"/>
    <w:rsid w:val="00025DEE"/>
    <w:rsid w:val="000324EC"/>
    <w:rsid w:val="00034035"/>
    <w:rsid w:val="00040137"/>
    <w:rsid w:val="000416CF"/>
    <w:rsid w:val="00042FF2"/>
    <w:rsid w:val="00045AAC"/>
    <w:rsid w:val="00046257"/>
    <w:rsid w:val="00046BDD"/>
    <w:rsid w:val="00053D96"/>
    <w:rsid w:val="00060605"/>
    <w:rsid w:val="00067320"/>
    <w:rsid w:val="000712B3"/>
    <w:rsid w:val="000842A5"/>
    <w:rsid w:val="00086AB8"/>
    <w:rsid w:val="00087636"/>
    <w:rsid w:val="000A2478"/>
    <w:rsid w:val="000A3C75"/>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07F9"/>
    <w:rsid w:val="001010B5"/>
    <w:rsid w:val="00101763"/>
    <w:rsid w:val="00102E8C"/>
    <w:rsid w:val="0010535B"/>
    <w:rsid w:val="00105B9F"/>
    <w:rsid w:val="001117DE"/>
    <w:rsid w:val="00113F50"/>
    <w:rsid w:val="00114A97"/>
    <w:rsid w:val="0011529A"/>
    <w:rsid w:val="00116E6D"/>
    <w:rsid w:val="001255AB"/>
    <w:rsid w:val="00126309"/>
    <w:rsid w:val="00127B0C"/>
    <w:rsid w:val="0013231C"/>
    <w:rsid w:val="0014420F"/>
    <w:rsid w:val="0014557E"/>
    <w:rsid w:val="001503D9"/>
    <w:rsid w:val="00150408"/>
    <w:rsid w:val="00150455"/>
    <w:rsid w:val="00150B59"/>
    <w:rsid w:val="001632F6"/>
    <w:rsid w:val="00164221"/>
    <w:rsid w:val="00174A6D"/>
    <w:rsid w:val="00175351"/>
    <w:rsid w:val="001754D0"/>
    <w:rsid w:val="00180C89"/>
    <w:rsid w:val="00180E93"/>
    <w:rsid w:val="0018480F"/>
    <w:rsid w:val="00194657"/>
    <w:rsid w:val="00196C98"/>
    <w:rsid w:val="001A39F0"/>
    <w:rsid w:val="001C5A3C"/>
    <w:rsid w:val="001D194F"/>
    <w:rsid w:val="001E2022"/>
    <w:rsid w:val="001E4D41"/>
    <w:rsid w:val="001E74A1"/>
    <w:rsid w:val="001F1F0B"/>
    <w:rsid w:val="001F2DB9"/>
    <w:rsid w:val="001F3AF6"/>
    <w:rsid w:val="001F4C37"/>
    <w:rsid w:val="00200154"/>
    <w:rsid w:val="00202507"/>
    <w:rsid w:val="00203D04"/>
    <w:rsid w:val="00210413"/>
    <w:rsid w:val="00210AEB"/>
    <w:rsid w:val="00215997"/>
    <w:rsid w:val="00223DE3"/>
    <w:rsid w:val="0022646F"/>
    <w:rsid w:val="00227776"/>
    <w:rsid w:val="002342B8"/>
    <w:rsid w:val="00234783"/>
    <w:rsid w:val="00235B27"/>
    <w:rsid w:val="0025118D"/>
    <w:rsid w:val="00261D12"/>
    <w:rsid w:val="00273A9D"/>
    <w:rsid w:val="00281598"/>
    <w:rsid w:val="0028274E"/>
    <w:rsid w:val="00293D65"/>
    <w:rsid w:val="002946DD"/>
    <w:rsid w:val="002A2015"/>
    <w:rsid w:val="002A4467"/>
    <w:rsid w:val="002A6C07"/>
    <w:rsid w:val="002A79C8"/>
    <w:rsid w:val="002B5CD0"/>
    <w:rsid w:val="002C33EC"/>
    <w:rsid w:val="002C50B4"/>
    <w:rsid w:val="002C5FD7"/>
    <w:rsid w:val="002D3DBE"/>
    <w:rsid w:val="002D46D1"/>
    <w:rsid w:val="002D6B99"/>
    <w:rsid w:val="002D7137"/>
    <w:rsid w:val="002E1606"/>
    <w:rsid w:val="002E78F4"/>
    <w:rsid w:val="002F1948"/>
    <w:rsid w:val="00305753"/>
    <w:rsid w:val="003115AA"/>
    <w:rsid w:val="00314F38"/>
    <w:rsid w:val="00316367"/>
    <w:rsid w:val="0032342B"/>
    <w:rsid w:val="00324675"/>
    <w:rsid w:val="003358C8"/>
    <w:rsid w:val="00337C60"/>
    <w:rsid w:val="00341ADF"/>
    <w:rsid w:val="00350C83"/>
    <w:rsid w:val="00352F45"/>
    <w:rsid w:val="00355595"/>
    <w:rsid w:val="00356EA4"/>
    <w:rsid w:val="00364FFB"/>
    <w:rsid w:val="00372B4B"/>
    <w:rsid w:val="00373CD4"/>
    <w:rsid w:val="00383CED"/>
    <w:rsid w:val="003865F4"/>
    <w:rsid w:val="003A67DD"/>
    <w:rsid w:val="003A6ED0"/>
    <w:rsid w:val="003B1887"/>
    <w:rsid w:val="003B3851"/>
    <w:rsid w:val="003B6A28"/>
    <w:rsid w:val="003B6E70"/>
    <w:rsid w:val="003B7EFD"/>
    <w:rsid w:val="003C0906"/>
    <w:rsid w:val="003C3282"/>
    <w:rsid w:val="003D2E38"/>
    <w:rsid w:val="003D31FF"/>
    <w:rsid w:val="003D3E32"/>
    <w:rsid w:val="003D647D"/>
    <w:rsid w:val="003E01F2"/>
    <w:rsid w:val="003E1FA2"/>
    <w:rsid w:val="003E5EC6"/>
    <w:rsid w:val="003F2A0C"/>
    <w:rsid w:val="003F33F4"/>
    <w:rsid w:val="003F3FCA"/>
    <w:rsid w:val="003F6FDC"/>
    <w:rsid w:val="003F736C"/>
    <w:rsid w:val="00404087"/>
    <w:rsid w:val="004050BD"/>
    <w:rsid w:val="0041186A"/>
    <w:rsid w:val="00413AA2"/>
    <w:rsid w:val="00416C44"/>
    <w:rsid w:val="0042062E"/>
    <w:rsid w:val="00421EF1"/>
    <w:rsid w:val="004247D7"/>
    <w:rsid w:val="00431450"/>
    <w:rsid w:val="00450FAA"/>
    <w:rsid w:val="00453C95"/>
    <w:rsid w:val="00454FF5"/>
    <w:rsid w:val="00454FFB"/>
    <w:rsid w:val="00455D16"/>
    <w:rsid w:val="00455F7A"/>
    <w:rsid w:val="004673E9"/>
    <w:rsid w:val="004708DF"/>
    <w:rsid w:val="00475550"/>
    <w:rsid w:val="00476360"/>
    <w:rsid w:val="00483DAA"/>
    <w:rsid w:val="00485513"/>
    <w:rsid w:val="00487296"/>
    <w:rsid w:val="0049509F"/>
    <w:rsid w:val="00495ABE"/>
    <w:rsid w:val="004963C9"/>
    <w:rsid w:val="004A22C4"/>
    <w:rsid w:val="004A48E0"/>
    <w:rsid w:val="004A53ED"/>
    <w:rsid w:val="004B52C7"/>
    <w:rsid w:val="004C1AFF"/>
    <w:rsid w:val="004C2666"/>
    <w:rsid w:val="004C603C"/>
    <w:rsid w:val="004C7F9B"/>
    <w:rsid w:val="004D30EA"/>
    <w:rsid w:val="004D7C0B"/>
    <w:rsid w:val="004E04DF"/>
    <w:rsid w:val="004E3367"/>
    <w:rsid w:val="004E39F6"/>
    <w:rsid w:val="004F26BE"/>
    <w:rsid w:val="004F2806"/>
    <w:rsid w:val="004F3151"/>
    <w:rsid w:val="004F3DE5"/>
    <w:rsid w:val="004F4976"/>
    <w:rsid w:val="004F4BC6"/>
    <w:rsid w:val="004F56F9"/>
    <w:rsid w:val="00503AEF"/>
    <w:rsid w:val="00512079"/>
    <w:rsid w:val="00513614"/>
    <w:rsid w:val="00514166"/>
    <w:rsid w:val="00517902"/>
    <w:rsid w:val="005268FC"/>
    <w:rsid w:val="00526DC3"/>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B7CC6"/>
    <w:rsid w:val="005C0851"/>
    <w:rsid w:val="005C58D3"/>
    <w:rsid w:val="005C69FF"/>
    <w:rsid w:val="005D7084"/>
    <w:rsid w:val="005E411E"/>
    <w:rsid w:val="005E5B47"/>
    <w:rsid w:val="005E7E02"/>
    <w:rsid w:val="005F1276"/>
    <w:rsid w:val="005F7EDA"/>
    <w:rsid w:val="00603B04"/>
    <w:rsid w:val="00604B2B"/>
    <w:rsid w:val="0060615B"/>
    <w:rsid w:val="0061158E"/>
    <w:rsid w:val="00614995"/>
    <w:rsid w:val="0061509B"/>
    <w:rsid w:val="00617B40"/>
    <w:rsid w:val="0062206E"/>
    <w:rsid w:val="00625135"/>
    <w:rsid w:val="006262B2"/>
    <w:rsid w:val="0063017A"/>
    <w:rsid w:val="006307F5"/>
    <w:rsid w:val="006321E1"/>
    <w:rsid w:val="00634D85"/>
    <w:rsid w:val="00643D61"/>
    <w:rsid w:val="00644FC3"/>
    <w:rsid w:val="00651CE7"/>
    <w:rsid w:val="00653122"/>
    <w:rsid w:val="006567B0"/>
    <w:rsid w:val="00657E83"/>
    <w:rsid w:val="00660BBD"/>
    <w:rsid w:val="0066268F"/>
    <w:rsid w:val="00663D7C"/>
    <w:rsid w:val="00670E7D"/>
    <w:rsid w:val="006720AF"/>
    <w:rsid w:val="00680A5E"/>
    <w:rsid w:val="00683A1D"/>
    <w:rsid w:val="00684E00"/>
    <w:rsid w:val="00685B5B"/>
    <w:rsid w:val="00687456"/>
    <w:rsid w:val="00693439"/>
    <w:rsid w:val="00696B82"/>
    <w:rsid w:val="006A39C9"/>
    <w:rsid w:val="006A5F6D"/>
    <w:rsid w:val="006B1225"/>
    <w:rsid w:val="006B1B37"/>
    <w:rsid w:val="006B4E0D"/>
    <w:rsid w:val="006C068F"/>
    <w:rsid w:val="006C0927"/>
    <w:rsid w:val="006C4425"/>
    <w:rsid w:val="006D42CC"/>
    <w:rsid w:val="006D5D28"/>
    <w:rsid w:val="006F4694"/>
    <w:rsid w:val="006F7047"/>
    <w:rsid w:val="00706287"/>
    <w:rsid w:val="00712649"/>
    <w:rsid w:val="007170E1"/>
    <w:rsid w:val="007201EA"/>
    <w:rsid w:val="00720B35"/>
    <w:rsid w:val="00723A8E"/>
    <w:rsid w:val="00724BE2"/>
    <w:rsid w:val="00725123"/>
    <w:rsid w:val="00725B4E"/>
    <w:rsid w:val="00730CFD"/>
    <w:rsid w:val="0074183B"/>
    <w:rsid w:val="00743662"/>
    <w:rsid w:val="007469C7"/>
    <w:rsid w:val="00746A3C"/>
    <w:rsid w:val="00756ECC"/>
    <w:rsid w:val="00765200"/>
    <w:rsid w:val="00767F7E"/>
    <w:rsid w:val="00782861"/>
    <w:rsid w:val="00783004"/>
    <w:rsid w:val="0078495D"/>
    <w:rsid w:val="00785507"/>
    <w:rsid w:val="0079060A"/>
    <w:rsid w:val="00791D27"/>
    <w:rsid w:val="0079688B"/>
    <w:rsid w:val="007A20AE"/>
    <w:rsid w:val="007A26EC"/>
    <w:rsid w:val="007A3D7F"/>
    <w:rsid w:val="007A4B67"/>
    <w:rsid w:val="007A57BC"/>
    <w:rsid w:val="007A5ACA"/>
    <w:rsid w:val="007A5D02"/>
    <w:rsid w:val="007B056F"/>
    <w:rsid w:val="007B72D5"/>
    <w:rsid w:val="007C72EB"/>
    <w:rsid w:val="007D2026"/>
    <w:rsid w:val="007E1742"/>
    <w:rsid w:val="007F2A95"/>
    <w:rsid w:val="007F2E7A"/>
    <w:rsid w:val="00803F0F"/>
    <w:rsid w:val="008043DC"/>
    <w:rsid w:val="00812231"/>
    <w:rsid w:val="00814569"/>
    <w:rsid w:val="00820118"/>
    <w:rsid w:val="00824123"/>
    <w:rsid w:val="00833597"/>
    <w:rsid w:val="00841E1C"/>
    <w:rsid w:val="008430FF"/>
    <w:rsid w:val="0084392E"/>
    <w:rsid w:val="008462C6"/>
    <w:rsid w:val="0084666F"/>
    <w:rsid w:val="00846F16"/>
    <w:rsid w:val="008525C3"/>
    <w:rsid w:val="008542AE"/>
    <w:rsid w:val="00855C36"/>
    <w:rsid w:val="008603E3"/>
    <w:rsid w:val="00863BB4"/>
    <w:rsid w:val="00865D51"/>
    <w:rsid w:val="00865E64"/>
    <w:rsid w:val="00866401"/>
    <w:rsid w:val="00883164"/>
    <w:rsid w:val="008877E6"/>
    <w:rsid w:val="00890784"/>
    <w:rsid w:val="008A47C4"/>
    <w:rsid w:val="008A5B27"/>
    <w:rsid w:val="008B258F"/>
    <w:rsid w:val="008B333C"/>
    <w:rsid w:val="008C367E"/>
    <w:rsid w:val="008D223F"/>
    <w:rsid w:val="008D386C"/>
    <w:rsid w:val="008D7EF2"/>
    <w:rsid w:val="008E5EB5"/>
    <w:rsid w:val="008E65AF"/>
    <w:rsid w:val="008F10B4"/>
    <w:rsid w:val="009048C7"/>
    <w:rsid w:val="00910B50"/>
    <w:rsid w:val="009124EE"/>
    <w:rsid w:val="009131B6"/>
    <w:rsid w:val="00922503"/>
    <w:rsid w:val="0092318A"/>
    <w:rsid w:val="00926689"/>
    <w:rsid w:val="00926C62"/>
    <w:rsid w:val="0093028E"/>
    <w:rsid w:val="00930894"/>
    <w:rsid w:val="00930F68"/>
    <w:rsid w:val="009318E9"/>
    <w:rsid w:val="00934CA4"/>
    <w:rsid w:val="009373B9"/>
    <w:rsid w:val="00937916"/>
    <w:rsid w:val="00940EEB"/>
    <w:rsid w:val="009513B4"/>
    <w:rsid w:val="00951743"/>
    <w:rsid w:val="009542AB"/>
    <w:rsid w:val="0096007F"/>
    <w:rsid w:val="009628FA"/>
    <w:rsid w:val="00962DA8"/>
    <w:rsid w:val="00963CDE"/>
    <w:rsid w:val="00966B1F"/>
    <w:rsid w:val="00972AE7"/>
    <w:rsid w:val="0097349A"/>
    <w:rsid w:val="00986270"/>
    <w:rsid w:val="00992627"/>
    <w:rsid w:val="00995FC5"/>
    <w:rsid w:val="00996F8E"/>
    <w:rsid w:val="009A0C47"/>
    <w:rsid w:val="009A1E3E"/>
    <w:rsid w:val="009A2A85"/>
    <w:rsid w:val="009B5EDB"/>
    <w:rsid w:val="009C1FF9"/>
    <w:rsid w:val="009C2041"/>
    <w:rsid w:val="009C439A"/>
    <w:rsid w:val="009C66DF"/>
    <w:rsid w:val="009D0558"/>
    <w:rsid w:val="009D0787"/>
    <w:rsid w:val="009D0EEE"/>
    <w:rsid w:val="009D27E9"/>
    <w:rsid w:val="009D29B5"/>
    <w:rsid w:val="009D5950"/>
    <w:rsid w:val="009D60A1"/>
    <w:rsid w:val="009E4346"/>
    <w:rsid w:val="009F6FCA"/>
    <w:rsid w:val="00A11714"/>
    <w:rsid w:val="00A128DE"/>
    <w:rsid w:val="00A147DC"/>
    <w:rsid w:val="00A30099"/>
    <w:rsid w:val="00A44A94"/>
    <w:rsid w:val="00A47B06"/>
    <w:rsid w:val="00A50A93"/>
    <w:rsid w:val="00A5419D"/>
    <w:rsid w:val="00A5459A"/>
    <w:rsid w:val="00A57498"/>
    <w:rsid w:val="00A62B14"/>
    <w:rsid w:val="00A6360D"/>
    <w:rsid w:val="00A6451E"/>
    <w:rsid w:val="00A673DA"/>
    <w:rsid w:val="00A711C0"/>
    <w:rsid w:val="00A77EA0"/>
    <w:rsid w:val="00A84D34"/>
    <w:rsid w:val="00A851A6"/>
    <w:rsid w:val="00A94CEF"/>
    <w:rsid w:val="00A96161"/>
    <w:rsid w:val="00A97F7B"/>
    <w:rsid w:val="00AA0796"/>
    <w:rsid w:val="00AA3AA9"/>
    <w:rsid w:val="00AA4EE8"/>
    <w:rsid w:val="00AB2D93"/>
    <w:rsid w:val="00AB3A59"/>
    <w:rsid w:val="00AB65CE"/>
    <w:rsid w:val="00AC07EF"/>
    <w:rsid w:val="00AD0668"/>
    <w:rsid w:val="00AD6CE9"/>
    <w:rsid w:val="00AE05D5"/>
    <w:rsid w:val="00AE25C8"/>
    <w:rsid w:val="00AE6B28"/>
    <w:rsid w:val="00AF36AA"/>
    <w:rsid w:val="00AF69F2"/>
    <w:rsid w:val="00B0121A"/>
    <w:rsid w:val="00B01E08"/>
    <w:rsid w:val="00B05991"/>
    <w:rsid w:val="00B11BC7"/>
    <w:rsid w:val="00B11CC9"/>
    <w:rsid w:val="00B12385"/>
    <w:rsid w:val="00B21180"/>
    <w:rsid w:val="00B22F95"/>
    <w:rsid w:val="00B24B50"/>
    <w:rsid w:val="00B26FE3"/>
    <w:rsid w:val="00B273BF"/>
    <w:rsid w:val="00B362E7"/>
    <w:rsid w:val="00B44C62"/>
    <w:rsid w:val="00B51026"/>
    <w:rsid w:val="00B548C8"/>
    <w:rsid w:val="00B61B86"/>
    <w:rsid w:val="00B70355"/>
    <w:rsid w:val="00B70913"/>
    <w:rsid w:val="00B72731"/>
    <w:rsid w:val="00B72A57"/>
    <w:rsid w:val="00B75D61"/>
    <w:rsid w:val="00B84179"/>
    <w:rsid w:val="00B84D76"/>
    <w:rsid w:val="00B85513"/>
    <w:rsid w:val="00B87812"/>
    <w:rsid w:val="00BA31FE"/>
    <w:rsid w:val="00BA6626"/>
    <w:rsid w:val="00BB7CD2"/>
    <w:rsid w:val="00BC3E9A"/>
    <w:rsid w:val="00BC6021"/>
    <w:rsid w:val="00BD2F3A"/>
    <w:rsid w:val="00BD5188"/>
    <w:rsid w:val="00BD6D17"/>
    <w:rsid w:val="00BE0A70"/>
    <w:rsid w:val="00BE29CB"/>
    <w:rsid w:val="00BE32B4"/>
    <w:rsid w:val="00BE488A"/>
    <w:rsid w:val="00BE6388"/>
    <w:rsid w:val="00BE6C42"/>
    <w:rsid w:val="00BE7662"/>
    <w:rsid w:val="00BF09F9"/>
    <w:rsid w:val="00BF18D4"/>
    <w:rsid w:val="00BF5C88"/>
    <w:rsid w:val="00C04E24"/>
    <w:rsid w:val="00C068C3"/>
    <w:rsid w:val="00C134CF"/>
    <w:rsid w:val="00C17173"/>
    <w:rsid w:val="00C27564"/>
    <w:rsid w:val="00C323A4"/>
    <w:rsid w:val="00C35ADB"/>
    <w:rsid w:val="00C40F36"/>
    <w:rsid w:val="00C44327"/>
    <w:rsid w:val="00C54D03"/>
    <w:rsid w:val="00C60CEB"/>
    <w:rsid w:val="00C677D2"/>
    <w:rsid w:val="00C67A19"/>
    <w:rsid w:val="00C74671"/>
    <w:rsid w:val="00C75AD5"/>
    <w:rsid w:val="00C81346"/>
    <w:rsid w:val="00C82B64"/>
    <w:rsid w:val="00C94469"/>
    <w:rsid w:val="00CB65FA"/>
    <w:rsid w:val="00CB7E49"/>
    <w:rsid w:val="00CC1ED9"/>
    <w:rsid w:val="00CC51AE"/>
    <w:rsid w:val="00CC5EEC"/>
    <w:rsid w:val="00CC6974"/>
    <w:rsid w:val="00CD53D1"/>
    <w:rsid w:val="00CE65C3"/>
    <w:rsid w:val="00CF1B0A"/>
    <w:rsid w:val="00CF7264"/>
    <w:rsid w:val="00D00B0F"/>
    <w:rsid w:val="00D14418"/>
    <w:rsid w:val="00D14E82"/>
    <w:rsid w:val="00D20149"/>
    <w:rsid w:val="00D23017"/>
    <w:rsid w:val="00D26664"/>
    <w:rsid w:val="00D35D22"/>
    <w:rsid w:val="00D40326"/>
    <w:rsid w:val="00D4491B"/>
    <w:rsid w:val="00D44D66"/>
    <w:rsid w:val="00D455D7"/>
    <w:rsid w:val="00D512CD"/>
    <w:rsid w:val="00D51609"/>
    <w:rsid w:val="00D52CC0"/>
    <w:rsid w:val="00D60B2E"/>
    <w:rsid w:val="00D62CF1"/>
    <w:rsid w:val="00D7125D"/>
    <w:rsid w:val="00D71AD6"/>
    <w:rsid w:val="00D74285"/>
    <w:rsid w:val="00D769F6"/>
    <w:rsid w:val="00D773DB"/>
    <w:rsid w:val="00D917D2"/>
    <w:rsid w:val="00D941F1"/>
    <w:rsid w:val="00D97BD5"/>
    <w:rsid w:val="00DA0870"/>
    <w:rsid w:val="00DA165C"/>
    <w:rsid w:val="00DB0F8C"/>
    <w:rsid w:val="00DB5C40"/>
    <w:rsid w:val="00DB7154"/>
    <w:rsid w:val="00DB73F6"/>
    <w:rsid w:val="00DC084E"/>
    <w:rsid w:val="00DC095C"/>
    <w:rsid w:val="00DC09EC"/>
    <w:rsid w:val="00DC6BD7"/>
    <w:rsid w:val="00DD102E"/>
    <w:rsid w:val="00DD1249"/>
    <w:rsid w:val="00DD375B"/>
    <w:rsid w:val="00DD395F"/>
    <w:rsid w:val="00DD3D34"/>
    <w:rsid w:val="00DE36DE"/>
    <w:rsid w:val="00DE72B9"/>
    <w:rsid w:val="00DF0D22"/>
    <w:rsid w:val="00DF15B9"/>
    <w:rsid w:val="00DF4B26"/>
    <w:rsid w:val="00DF54AF"/>
    <w:rsid w:val="00DF628C"/>
    <w:rsid w:val="00E00154"/>
    <w:rsid w:val="00E05F73"/>
    <w:rsid w:val="00E101EA"/>
    <w:rsid w:val="00E104DF"/>
    <w:rsid w:val="00E12A01"/>
    <w:rsid w:val="00E13B21"/>
    <w:rsid w:val="00E14CEA"/>
    <w:rsid w:val="00E15380"/>
    <w:rsid w:val="00E21194"/>
    <w:rsid w:val="00E23806"/>
    <w:rsid w:val="00E25CC5"/>
    <w:rsid w:val="00E26C9F"/>
    <w:rsid w:val="00E32C5F"/>
    <w:rsid w:val="00E32D65"/>
    <w:rsid w:val="00E34B5B"/>
    <w:rsid w:val="00E377DF"/>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C04B8"/>
    <w:rsid w:val="00EC2236"/>
    <w:rsid w:val="00EC76BD"/>
    <w:rsid w:val="00ED112C"/>
    <w:rsid w:val="00ED6944"/>
    <w:rsid w:val="00EE0023"/>
    <w:rsid w:val="00EE0643"/>
    <w:rsid w:val="00EE5324"/>
    <w:rsid w:val="00EE666E"/>
    <w:rsid w:val="00EE7D52"/>
    <w:rsid w:val="00EF156F"/>
    <w:rsid w:val="00EF3247"/>
    <w:rsid w:val="00EF34E3"/>
    <w:rsid w:val="00EF43A4"/>
    <w:rsid w:val="00EF45A2"/>
    <w:rsid w:val="00F07CE9"/>
    <w:rsid w:val="00F13668"/>
    <w:rsid w:val="00F13AC5"/>
    <w:rsid w:val="00F14CBA"/>
    <w:rsid w:val="00F27128"/>
    <w:rsid w:val="00F271D9"/>
    <w:rsid w:val="00F2775F"/>
    <w:rsid w:val="00F27932"/>
    <w:rsid w:val="00F31183"/>
    <w:rsid w:val="00F32D2B"/>
    <w:rsid w:val="00F33FA4"/>
    <w:rsid w:val="00F33FB5"/>
    <w:rsid w:val="00F41D6F"/>
    <w:rsid w:val="00F421B4"/>
    <w:rsid w:val="00F53C62"/>
    <w:rsid w:val="00F5410A"/>
    <w:rsid w:val="00F55069"/>
    <w:rsid w:val="00F552A1"/>
    <w:rsid w:val="00F56F0C"/>
    <w:rsid w:val="00F6012D"/>
    <w:rsid w:val="00F72167"/>
    <w:rsid w:val="00F74367"/>
    <w:rsid w:val="00F74A9A"/>
    <w:rsid w:val="00F77FE8"/>
    <w:rsid w:val="00F8232C"/>
    <w:rsid w:val="00F83E4F"/>
    <w:rsid w:val="00F92491"/>
    <w:rsid w:val="00F93A80"/>
    <w:rsid w:val="00F958B2"/>
    <w:rsid w:val="00FA18E4"/>
    <w:rsid w:val="00FA3913"/>
    <w:rsid w:val="00FA61D3"/>
    <w:rsid w:val="00FB1C93"/>
    <w:rsid w:val="00FB21DD"/>
    <w:rsid w:val="00FB35A0"/>
    <w:rsid w:val="00FB448C"/>
    <w:rsid w:val="00FB631B"/>
    <w:rsid w:val="00FB79C7"/>
    <w:rsid w:val="00FC0F59"/>
    <w:rsid w:val="00FC5791"/>
    <w:rsid w:val="00FD0BE2"/>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customStyle="1" w:styleId="Nevyeenzmnka2">
    <w:name w:val="Nevyřešená zmínka2"/>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sn@tendersystems.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8904</Words>
  <Characters>52539</Characters>
  <Application>Microsoft Office Word</Application>
  <DocSecurity>0</DocSecurity>
  <Lines>437</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Volná Lenka</cp:lastModifiedBy>
  <cp:revision>3</cp:revision>
  <cp:lastPrinted>2025-10-10T05:04:00Z</cp:lastPrinted>
  <dcterms:created xsi:type="dcterms:W3CDTF">2025-10-31T12:20:00Z</dcterms:created>
  <dcterms:modified xsi:type="dcterms:W3CDTF">2025-11-21T13:08:00Z</dcterms:modified>
</cp:coreProperties>
</file>