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3386" w14:textId="147C7F4B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BE">
        <w:rPr>
          <w:rFonts w:ascii="Times New Roman" w:hAnsi="Times New Roman" w:cs="Times New Roman"/>
          <w:b/>
          <w:sz w:val="28"/>
          <w:szCs w:val="28"/>
        </w:rPr>
        <w:t>Dodatek č. 1 ke smlouvě o spolupráci</w:t>
      </w:r>
    </w:p>
    <w:p w14:paraId="072C0B42" w14:textId="3FB8A07E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F1E07C" w14:textId="370A7403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i/>
          <w:sz w:val="20"/>
          <w:szCs w:val="20"/>
        </w:rPr>
        <w:t>uzavřené dne 19. 2. 2021</w:t>
      </w:r>
    </w:p>
    <w:p w14:paraId="479B1EEA" w14:textId="24FDDC2A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9F3F2FA" w14:textId="10C8BE4D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i/>
          <w:sz w:val="20"/>
          <w:szCs w:val="20"/>
        </w:rPr>
        <w:t>číslo smlouvy NKPV: SJ/4/2021</w:t>
      </w:r>
    </w:p>
    <w:p w14:paraId="00394CBE" w14:textId="5C58845D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i/>
          <w:sz w:val="20"/>
          <w:szCs w:val="20"/>
        </w:rPr>
        <w:t>číslo smlouvy KKKV: VK-2021/0086</w:t>
      </w:r>
    </w:p>
    <w:p w14:paraId="4ADAC2F2" w14:textId="77777777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12470E4" w14:textId="218E2121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6499AE00" w14:textId="58A0A7FC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sz w:val="20"/>
          <w:szCs w:val="20"/>
        </w:rPr>
        <w:t>Smluvní strany</w:t>
      </w:r>
    </w:p>
    <w:p w14:paraId="2659593F" w14:textId="77777777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658C3E" w14:textId="69515B32" w:rsidR="007A5B2B" w:rsidRPr="00E054BE" w:rsidRDefault="007A5B2B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649DD05E" w14:textId="110FB4A3" w:rsidR="00F368DB" w:rsidRPr="00E054BE" w:rsidRDefault="00F368D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22918E22" w14:textId="31FF6F7D" w:rsidR="00F368DB" w:rsidRPr="00E054BE" w:rsidRDefault="00F368D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Zastoupená: Ing. arch. Petrem Kučerou, ředitelem</w:t>
      </w:r>
    </w:p>
    <w:p w14:paraId="6E638259" w14:textId="4F5B927D" w:rsidR="007A5B2B" w:rsidRPr="00E054BE" w:rsidRDefault="002E5A49" w:rsidP="007F30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S</w:t>
      </w:r>
      <w:r w:rsidR="007A5B2B" w:rsidRPr="00E054BE">
        <w:rPr>
          <w:rFonts w:ascii="Times New Roman" w:hAnsi="Times New Roman" w:cs="Times New Roman"/>
          <w:sz w:val="20"/>
          <w:szCs w:val="20"/>
        </w:rPr>
        <w:t>ídl</w:t>
      </w:r>
      <w:r w:rsidR="007F3028" w:rsidRPr="00E054BE">
        <w:rPr>
          <w:rFonts w:ascii="Times New Roman" w:hAnsi="Times New Roman" w:cs="Times New Roman"/>
          <w:sz w:val="20"/>
          <w:szCs w:val="20"/>
        </w:rPr>
        <w:t>o</w:t>
      </w:r>
      <w:r w:rsidR="007A5B2B" w:rsidRPr="00E054BE">
        <w:rPr>
          <w:rFonts w:ascii="Times New Roman" w:hAnsi="Times New Roman" w:cs="Times New Roman"/>
          <w:sz w:val="20"/>
          <w:szCs w:val="20"/>
        </w:rPr>
        <w:t>: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 </w:t>
      </w:r>
      <w:r w:rsidR="007A5B2B" w:rsidRPr="00E054BE">
        <w:rPr>
          <w:rFonts w:ascii="Times New Roman" w:hAnsi="Times New Roman" w:cs="Times New Roman"/>
          <w:sz w:val="20"/>
          <w:szCs w:val="20"/>
        </w:rPr>
        <w:t>V </w:t>
      </w:r>
      <w:r w:rsidR="00696657" w:rsidRPr="00E054BE">
        <w:rPr>
          <w:rFonts w:ascii="Times New Roman" w:hAnsi="Times New Roman" w:cs="Times New Roman"/>
          <w:sz w:val="20"/>
          <w:szCs w:val="20"/>
        </w:rPr>
        <w:t>P</w:t>
      </w:r>
      <w:r w:rsidR="007A5B2B" w:rsidRPr="00E054BE">
        <w:rPr>
          <w:rFonts w:ascii="Times New Roman" w:hAnsi="Times New Roman" w:cs="Times New Roman"/>
          <w:sz w:val="20"/>
          <w:szCs w:val="20"/>
        </w:rPr>
        <w:t>evnosti 159/5b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, </w:t>
      </w:r>
      <w:r w:rsidR="007A5B2B" w:rsidRPr="00E054BE">
        <w:rPr>
          <w:rFonts w:ascii="Times New Roman" w:hAnsi="Times New Roman" w:cs="Times New Roman"/>
          <w:sz w:val="20"/>
          <w:szCs w:val="20"/>
        </w:rPr>
        <w:t>128 00 Praha 2</w:t>
      </w:r>
    </w:p>
    <w:p w14:paraId="7D8BE9C6" w14:textId="7967C7EB" w:rsidR="007A5B2B" w:rsidRPr="00E054BE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IČ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O: </w:t>
      </w:r>
      <w:r w:rsidRPr="00E054BE">
        <w:rPr>
          <w:rFonts w:ascii="Times New Roman" w:hAnsi="Times New Roman" w:cs="Times New Roman"/>
          <w:sz w:val="20"/>
          <w:szCs w:val="20"/>
        </w:rPr>
        <w:t>00419745</w:t>
      </w:r>
      <w:r w:rsidR="000B2A73" w:rsidRPr="00E054BE">
        <w:rPr>
          <w:rFonts w:ascii="Times New Roman" w:hAnsi="Times New Roman" w:cs="Times New Roman"/>
          <w:sz w:val="20"/>
          <w:szCs w:val="20"/>
        </w:rPr>
        <w:t xml:space="preserve">, </w:t>
      </w:r>
      <w:r w:rsidRPr="00E054BE">
        <w:rPr>
          <w:rFonts w:ascii="Times New Roman" w:hAnsi="Times New Roman" w:cs="Times New Roman"/>
          <w:sz w:val="20"/>
          <w:szCs w:val="20"/>
        </w:rPr>
        <w:t>DIČ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: </w:t>
      </w:r>
      <w:r w:rsidRPr="00E054BE">
        <w:rPr>
          <w:rFonts w:ascii="Times New Roman" w:hAnsi="Times New Roman" w:cs="Times New Roman"/>
          <w:sz w:val="20"/>
          <w:szCs w:val="20"/>
        </w:rPr>
        <w:t>CZ00419745</w:t>
      </w:r>
    </w:p>
    <w:p w14:paraId="7B94399A" w14:textId="05047DB3" w:rsidR="007A5B2B" w:rsidRPr="00E054BE" w:rsidRDefault="002E5A49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Bankovní spojení</w:t>
      </w:r>
      <w:r w:rsidR="001728FE" w:rsidRPr="00E054BE">
        <w:rPr>
          <w:rFonts w:ascii="Times New Roman" w:hAnsi="Times New Roman" w:cs="Times New Roman"/>
          <w:sz w:val="20"/>
          <w:szCs w:val="20"/>
        </w:rPr>
        <w:t>: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 </w:t>
      </w:r>
      <w:r w:rsidR="00160597">
        <w:rPr>
          <w:rFonts w:ascii="Times New Roman" w:hAnsi="Times New Roman" w:cs="Times New Roman"/>
          <w:sz w:val="20"/>
          <w:szCs w:val="20"/>
        </w:rPr>
        <w:t>xxxxxxxxxxxxxxxxxx</w:t>
      </w:r>
    </w:p>
    <w:p w14:paraId="1AB3E300" w14:textId="1DB6C3A8" w:rsidR="001728FE" w:rsidRPr="00E054BE" w:rsidRDefault="001728FE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Číslo účtu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: </w:t>
      </w:r>
      <w:r w:rsidR="00160597">
        <w:rPr>
          <w:rFonts w:ascii="Times New Roman" w:hAnsi="Times New Roman" w:cs="Times New Roman"/>
          <w:sz w:val="20"/>
          <w:szCs w:val="20"/>
        </w:rPr>
        <w:t>xxxxxxxxxxxxxxxxxxxxxxxx</w:t>
      </w:r>
    </w:p>
    <w:p w14:paraId="0072BFB6" w14:textId="5CBF0EEB" w:rsidR="007A5B2B" w:rsidRPr="00E054BE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BD178D" w:rsidRPr="00E054BE">
        <w:rPr>
          <w:rFonts w:ascii="Times New Roman" w:hAnsi="Times New Roman" w:cs="Times New Roman"/>
          <w:sz w:val="20"/>
          <w:szCs w:val="20"/>
        </w:rPr>
        <w:t>„</w:t>
      </w:r>
      <w:r w:rsidRPr="00E054BE">
        <w:rPr>
          <w:rFonts w:ascii="Times New Roman" w:hAnsi="Times New Roman" w:cs="Times New Roman"/>
          <w:sz w:val="20"/>
          <w:szCs w:val="20"/>
        </w:rPr>
        <w:t>NKPV</w:t>
      </w:r>
      <w:r w:rsidR="00BD178D" w:rsidRPr="00E054BE">
        <w:rPr>
          <w:rFonts w:ascii="Times New Roman" w:hAnsi="Times New Roman" w:cs="Times New Roman"/>
          <w:sz w:val="20"/>
          <w:szCs w:val="20"/>
        </w:rPr>
        <w:t>“</w:t>
      </w:r>
      <w:r w:rsidRPr="00E054BE">
        <w:rPr>
          <w:rFonts w:ascii="Times New Roman" w:hAnsi="Times New Roman" w:cs="Times New Roman"/>
          <w:sz w:val="20"/>
          <w:szCs w:val="20"/>
        </w:rPr>
        <w:t>)</w:t>
      </w:r>
    </w:p>
    <w:p w14:paraId="59AFFD7A" w14:textId="4BA41F5B" w:rsidR="007A5B2B" w:rsidRPr="00E054BE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1FCD29" w14:textId="1238F52B" w:rsidR="007A5B2B" w:rsidRPr="00E054BE" w:rsidRDefault="00B02DD5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a</w:t>
      </w:r>
    </w:p>
    <w:p w14:paraId="306FBA25" w14:textId="77777777" w:rsidR="007A5B2B" w:rsidRPr="00E054BE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B4B7CD3" w14:textId="5B84BFE6" w:rsidR="00A716D9" w:rsidRPr="00E054BE" w:rsidRDefault="002E3964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E054BE">
        <w:rPr>
          <w:rFonts w:ascii="Times New Roman" w:hAnsi="Times New Roman" w:cs="Times New Roman"/>
          <w:b/>
          <w:bCs/>
          <w:sz w:val="20"/>
          <w:szCs w:val="20"/>
        </w:rPr>
        <w:t>Královská kolegiátní kapitula sv. Petra a Pavla na Vyšehradě</w:t>
      </w:r>
    </w:p>
    <w:p w14:paraId="54896BA2" w14:textId="57B22C11" w:rsidR="007F3028" w:rsidRPr="00E054BE" w:rsidRDefault="00FC3BE7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P</w:t>
      </w:r>
      <w:r w:rsidR="002E3964" w:rsidRPr="00E054BE">
        <w:rPr>
          <w:rFonts w:ascii="Times New Roman" w:hAnsi="Times New Roman" w:cs="Times New Roman"/>
          <w:sz w:val="20"/>
          <w:szCs w:val="20"/>
        </w:rPr>
        <w:t xml:space="preserve">rávnická osoba </w:t>
      </w:r>
      <w:r w:rsidRPr="00E054BE">
        <w:rPr>
          <w:rFonts w:ascii="Times New Roman" w:hAnsi="Times New Roman" w:cs="Times New Roman"/>
          <w:sz w:val="20"/>
          <w:szCs w:val="20"/>
        </w:rPr>
        <w:t>zapsaná v Rejstříku evidovaných právnických osob vedeném Ministerstvem kultury, číslo evidence 8/1-01-405/1994</w:t>
      </w:r>
    </w:p>
    <w:p w14:paraId="74DDB434" w14:textId="45B7F7F4" w:rsidR="007F3028" w:rsidRPr="00E054BE" w:rsidRDefault="007F3028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Zastoupená:</w:t>
      </w:r>
      <w:r w:rsidR="00376F7E" w:rsidRPr="00E054BE">
        <w:rPr>
          <w:rFonts w:ascii="Times New Roman" w:hAnsi="Times New Roman" w:cs="Times New Roman"/>
          <w:sz w:val="20"/>
          <w:szCs w:val="20"/>
        </w:rPr>
        <w:t xml:space="preserve"> </w:t>
      </w:r>
      <w:r w:rsidR="0056419E" w:rsidRPr="00E054BE">
        <w:rPr>
          <w:rFonts w:ascii="Times New Roman" w:hAnsi="Times New Roman" w:cs="Times New Roman"/>
          <w:sz w:val="20"/>
          <w:szCs w:val="20"/>
        </w:rPr>
        <w:t>Mgr. Ing. Michalem Němečkem, děkanem kapituly</w:t>
      </w:r>
    </w:p>
    <w:p w14:paraId="6B4E61B5" w14:textId="0B0AB149" w:rsidR="001728FE" w:rsidRPr="00E054BE" w:rsidRDefault="001728FE" w:rsidP="007F30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Sídl</w:t>
      </w:r>
      <w:r w:rsidR="007F3028" w:rsidRPr="00E054BE">
        <w:rPr>
          <w:rFonts w:ascii="Times New Roman" w:hAnsi="Times New Roman" w:cs="Times New Roman"/>
          <w:sz w:val="20"/>
          <w:szCs w:val="20"/>
        </w:rPr>
        <w:t>o</w:t>
      </w:r>
      <w:r w:rsidRPr="00E054BE">
        <w:rPr>
          <w:rFonts w:ascii="Times New Roman" w:hAnsi="Times New Roman" w:cs="Times New Roman"/>
          <w:sz w:val="20"/>
          <w:szCs w:val="20"/>
        </w:rPr>
        <w:t>: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 </w:t>
      </w:r>
      <w:r w:rsidR="002E3964" w:rsidRPr="00E054BE">
        <w:rPr>
          <w:rFonts w:ascii="Times New Roman" w:hAnsi="Times New Roman" w:cs="Times New Roman"/>
          <w:sz w:val="20"/>
          <w:szCs w:val="20"/>
        </w:rPr>
        <w:t>K </w:t>
      </w:r>
      <w:r w:rsidR="005B6A11" w:rsidRPr="00E054BE">
        <w:rPr>
          <w:rFonts w:ascii="Times New Roman" w:hAnsi="Times New Roman" w:cs="Times New Roman"/>
          <w:sz w:val="20"/>
          <w:szCs w:val="20"/>
        </w:rPr>
        <w:t>r</w:t>
      </w:r>
      <w:r w:rsidR="002E3964" w:rsidRPr="00E054BE">
        <w:rPr>
          <w:rFonts w:ascii="Times New Roman" w:hAnsi="Times New Roman" w:cs="Times New Roman"/>
          <w:sz w:val="20"/>
          <w:szCs w:val="20"/>
        </w:rPr>
        <w:t>otundě 100/10, 128 00 Praha 2</w:t>
      </w:r>
    </w:p>
    <w:p w14:paraId="010810EC" w14:textId="4071AA11" w:rsidR="00A716D9" w:rsidRPr="00E054BE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IČ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O: </w:t>
      </w:r>
      <w:r w:rsidR="002E3964" w:rsidRPr="00E054BE">
        <w:rPr>
          <w:rFonts w:ascii="Times New Roman" w:hAnsi="Times New Roman" w:cs="Times New Roman"/>
          <w:sz w:val="20"/>
          <w:szCs w:val="20"/>
        </w:rPr>
        <w:t>43005314</w:t>
      </w:r>
      <w:r w:rsidR="000B2A73" w:rsidRPr="00E054BE">
        <w:rPr>
          <w:rFonts w:ascii="Times New Roman" w:hAnsi="Times New Roman" w:cs="Times New Roman"/>
          <w:sz w:val="20"/>
          <w:szCs w:val="20"/>
        </w:rPr>
        <w:t xml:space="preserve">, </w:t>
      </w:r>
      <w:r w:rsidRPr="00E054BE">
        <w:rPr>
          <w:rFonts w:ascii="Times New Roman" w:hAnsi="Times New Roman" w:cs="Times New Roman"/>
          <w:sz w:val="20"/>
          <w:szCs w:val="20"/>
        </w:rPr>
        <w:t>DIČ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: </w:t>
      </w:r>
      <w:r w:rsidRPr="00E054BE">
        <w:rPr>
          <w:rFonts w:ascii="Times New Roman" w:hAnsi="Times New Roman" w:cs="Times New Roman"/>
          <w:sz w:val="20"/>
          <w:szCs w:val="20"/>
        </w:rPr>
        <w:t>CZ</w:t>
      </w:r>
      <w:r w:rsidR="002E3964" w:rsidRPr="00E054BE">
        <w:rPr>
          <w:rFonts w:ascii="Times New Roman" w:hAnsi="Times New Roman" w:cs="Times New Roman"/>
          <w:sz w:val="20"/>
          <w:szCs w:val="20"/>
        </w:rPr>
        <w:t>43005314</w:t>
      </w:r>
    </w:p>
    <w:p w14:paraId="754F98B6" w14:textId="6C795A2B" w:rsidR="001728FE" w:rsidRPr="00E054BE" w:rsidRDefault="001728FE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Bankovní spojení:</w:t>
      </w:r>
      <w:r w:rsidR="007F3028" w:rsidRPr="00E054BE">
        <w:rPr>
          <w:rFonts w:ascii="Times New Roman" w:hAnsi="Times New Roman" w:cs="Times New Roman"/>
          <w:sz w:val="20"/>
          <w:szCs w:val="20"/>
        </w:rPr>
        <w:t xml:space="preserve"> </w:t>
      </w:r>
      <w:r w:rsidR="00160597">
        <w:rPr>
          <w:rFonts w:ascii="Times New Roman" w:hAnsi="Times New Roman" w:cs="Times New Roman"/>
          <w:sz w:val="20"/>
          <w:szCs w:val="20"/>
        </w:rPr>
        <w:t>xxxxxxxxxxxxxxxxxx</w:t>
      </w:r>
    </w:p>
    <w:p w14:paraId="09A278DA" w14:textId="5A7D6B03" w:rsidR="001728FE" w:rsidRPr="00E054BE" w:rsidRDefault="001728FE" w:rsidP="007F3028">
      <w:pPr>
        <w:pStyle w:val="Bezmezer"/>
        <w:tabs>
          <w:tab w:val="left" w:pos="5280"/>
        </w:tabs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Číslo účtu:</w:t>
      </w:r>
      <w:r w:rsidR="00160597">
        <w:rPr>
          <w:rFonts w:ascii="Times New Roman" w:hAnsi="Times New Roman" w:cs="Times New Roman"/>
          <w:sz w:val="20"/>
          <w:szCs w:val="20"/>
        </w:rPr>
        <w:t xml:space="preserve"> xxxxxxxxxxxxxxxxxxxxxxxx</w:t>
      </w:r>
      <w:r w:rsidR="007F3028" w:rsidRPr="00E054BE">
        <w:rPr>
          <w:rFonts w:ascii="Times New Roman" w:hAnsi="Times New Roman" w:cs="Times New Roman"/>
          <w:sz w:val="20"/>
          <w:szCs w:val="20"/>
        </w:rPr>
        <w:tab/>
      </w:r>
    </w:p>
    <w:p w14:paraId="4F0DBF1F" w14:textId="7D9DA913" w:rsidR="00A716D9" w:rsidRPr="00E054BE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BD178D" w:rsidRPr="00E054BE">
        <w:rPr>
          <w:rFonts w:ascii="Times New Roman" w:hAnsi="Times New Roman" w:cs="Times New Roman"/>
          <w:sz w:val="20"/>
          <w:szCs w:val="20"/>
        </w:rPr>
        <w:t>„</w:t>
      </w:r>
      <w:r w:rsidR="002D631D" w:rsidRPr="00E054BE">
        <w:rPr>
          <w:rFonts w:ascii="Times New Roman" w:hAnsi="Times New Roman" w:cs="Times New Roman"/>
          <w:sz w:val="20"/>
          <w:szCs w:val="20"/>
        </w:rPr>
        <w:t>KKKV</w:t>
      </w:r>
      <w:r w:rsidR="00BD178D" w:rsidRPr="00E054BE">
        <w:rPr>
          <w:rFonts w:ascii="Times New Roman" w:hAnsi="Times New Roman" w:cs="Times New Roman"/>
          <w:sz w:val="20"/>
          <w:szCs w:val="20"/>
        </w:rPr>
        <w:t>“</w:t>
      </w:r>
      <w:r w:rsidRPr="00E054BE">
        <w:rPr>
          <w:rFonts w:ascii="Times New Roman" w:hAnsi="Times New Roman" w:cs="Times New Roman"/>
          <w:sz w:val="20"/>
          <w:szCs w:val="20"/>
        </w:rPr>
        <w:t>)</w:t>
      </w:r>
    </w:p>
    <w:p w14:paraId="67EEA4DA" w14:textId="7706FD97" w:rsidR="00A716D9" w:rsidRPr="00E054BE" w:rsidRDefault="00A716D9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B77B3" w14:textId="4CC1928A" w:rsidR="00195B8E" w:rsidRPr="00E054BE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54BE">
        <w:rPr>
          <w:rFonts w:ascii="Times New Roman" w:hAnsi="Times New Roman" w:cs="Times New Roman"/>
          <w:sz w:val="20"/>
          <w:szCs w:val="20"/>
        </w:rPr>
        <w:t>(společně též jako „smluvní strany“)</w:t>
      </w:r>
    </w:p>
    <w:p w14:paraId="391F8B01" w14:textId="0A247B29" w:rsidR="00FC3BE7" w:rsidRPr="00E054BE" w:rsidRDefault="00FC3BE7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495868C" w14:textId="0AE12EE7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4BE">
        <w:rPr>
          <w:rFonts w:ascii="Times New Roman" w:hAnsi="Times New Roman" w:cs="Times New Roman"/>
          <w:b/>
          <w:sz w:val="20"/>
          <w:szCs w:val="20"/>
        </w:rPr>
        <w:t>II.</w:t>
      </w:r>
    </w:p>
    <w:p w14:paraId="7BD10AE9" w14:textId="5B5AC6DC" w:rsidR="00FC3BE7" w:rsidRPr="00E054BE" w:rsidRDefault="00B83766" w:rsidP="00FC3BE7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4BE">
        <w:rPr>
          <w:rFonts w:ascii="Times New Roman" w:hAnsi="Times New Roman" w:cs="Times New Roman"/>
          <w:b/>
          <w:sz w:val="20"/>
          <w:szCs w:val="20"/>
        </w:rPr>
        <w:t>Preambule</w:t>
      </w:r>
    </w:p>
    <w:p w14:paraId="60612BFB" w14:textId="77777777" w:rsidR="00FC3BE7" w:rsidRPr="00E054BE" w:rsidRDefault="00FC3BE7" w:rsidP="00FC3BE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5A988214" w14:textId="0A703A67" w:rsidR="00A97714" w:rsidRPr="00E054BE" w:rsidRDefault="00FC3BE7" w:rsidP="00B83766">
      <w:pPr>
        <w:pStyle w:val="Bezmezer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054BE">
        <w:rPr>
          <w:rFonts w:ascii="Times New Roman" w:hAnsi="Times New Roman" w:cs="Times New Roman"/>
          <w:bCs/>
          <w:sz w:val="20"/>
          <w:szCs w:val="20"/>
        </w:rPr>
        <w:t>Smluvní strany se v souladu s čl. VIII., odst. 3</w:t>
      </w:r>
      <w:r w:rsidR="00A97714" w:rsidRPr="00E054BE">
        <w:rPr>
          <w:rFonts w:ascii="Times New Roman" w:hAnsi="Times New Roman" w:cs="Times New Roman"/>
          <w:bCs/>
          <w:sz w:val="20"/>
          <w:szCs w:val="20"/>
        </w:rPr>
        <w:t xml:space="preserve"> smlouvy o spolupráci uzavřené mezi smluvními stranami dne 19. 2. 2021, číslo smlouvy NKPV: SJ/4/2021, číslo smlouvy KKKV: VK-2021/0086 (dále je „smlouvy“), dohodly na tomto dodatku č. 1 ke smlouvě (dále jen „dodatek“).</w:t>
      </w:r>
    </w:p>
    <w:p w14:paraId="0E7D32CD" w14:textId="74128A7B" w:rsidR="00B83766" w:rsidRPr="00E054BE" w:rsidRDefault="00B83766" w:rsidP="00B83766">
      <w:pPr>
        <w:pStyle w:val="Bezmezer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8586678" w14:textId="55DB3185" w:rsidR="00B83766" w:rsidRPr="00E054BE" w:rsidRDefault="00B83766" w:rsidP="00B8376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4BE">
        <w:rPr>
          <w:rFonts w:ascii="Times New Roman" w:hAnsi="Times New Roman" w:cs="Times New Roman"/>
          <w:b/>
          <w:sz w:val="20"/>
          <w:szCs w:val="20"/>
        </w:rPr>
        <w:t>III.</w:t>
      </w:r>
    </w:p>
    <w:p w14:paraId="225FF232" w14:textId="32584122" w:rsidR="00B83766" w:rsidRPr="00E054BE" w:rsidRDefault="00B83766" w:rsidP="00B8376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4BE">
        <w:rPr>
          <w:rFonts w:ascii="Times New Roman" w:hAnsi="Times New Roman" w:cs="Times New Roman"/>
          <w:b/>
          <w:sz w:val="20"/>
          <w:szCs w:val="20"/>
        </w:rPr>
        <w:t>Obsah a povaha změn</w:t>
      </w:r>
    </w:p>
    <w:p w14:paraId="065790BD" w14:textId="77777777" w:rsidR="00B83766" w:rsidRPr="00E054BE" w:rsidRDefault="00B83766" w:rsidP="00B83766">
      <w:pPr>
        <w:pStyle w:val="Bezmezer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727422" w14:textId="5356033C" w:rsidR="00195B8E" w:rsidRPr="00E054BE" w:rsidRDefault="00195B8E" w:rsidP="00E076C1">
      <w:pPr>
        <w:pStyle w:val="Bezmezer"/>
        <w:ind w:left="567" w:hanging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C7B0CAD" w14:textId="47A24CF2" w:rsidR="00957DA2" w:rsidRDefault="00957DA2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</w:pPr>
      <w:r w:rsidRPr="00E054BE">
        <w:t>Článek III. odst. 1.1. se doplňuje o větu, která zní: Užití kaple KKKV dle tohoto článku nesmí kolidovat s prohlídkami konanými NKPV pro návštěvníky.</w:t>
      </w:r>
    </w:p>
    <w:p w14:paraId="386EC2BF" w14:textId="77777777" w:rsidR="00957DA2" w:rsidRPr="00E054BE" w:rsidRDefault="00957DA2" w:rsidP="00957DA2">
      <w:pPr>
        <w:pStyle w:val="Odstavecseseznamem"/>
        <w:widowControl w:val="0"/>
        <w:overflowPunct w:val="0"/>
        <w:autoSpaceDE w:val="0"/>
        <w:ind w:left="567" w:hanging="567"/>
        <w:jc w:val="both"/>
        <w:textAlignment w:val="baseline"/>
      </w:pPr>
    </w:p>
    <w:p w14:paraId="70E88549" w14:textId="234E3CB4" w:rsidR="00957DA2" w:rsidRDefault="00957DA2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</w:pPr>
      <w:r w:rsidRPr="00E054BE">
        <w:t>Článek III. odst. 1.2. Článek 1.2. se doplňuje o větu, která nově zní: Užití kostela Stětí sv. Jana Křtitele dle tohoto článku nesmí kolidovat s prohlídkami konanými NKPV pro návštěvníky.</w:t>
      </w:r>
    </w:p>
    <w:p w14:paraId="1E650575" w14:textId="77777777" w:rsidR="00957DA2" w:rsidRDefault="00957DA2" w:rsidP="00957DA2">
      <w:pPr>
        <w:pStyle w:val="Odstavecseseznamem"/>
        <w:ind w:left="567" w:hanging="567"/>
      </w:pPr>
    </w:p>
    <w:p w14:paraId="22868F4E" w14:textId="0F23BB66" w:rsidR="00957DA2" w:rsidRDefault="00957DA2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</w:pPr>
      <w:r>
        <w:t xml:space="preserve">Článek III. odst. 1.3. se mění: Poskytovatel zajistí prodloužený provoz veřejných toalet v ulici Štulcova nad rámec běžné otevírací doby uvedené v příloze č. 3 této smlouvy, a to pro návštěvníky baziliky sv. Petra a Pavla. KKKV bere na vědomí, že v této době budou toalety pro návštěvníky zpoplatněny. V případě, že KKKV požádá o bezplatné zpřístupnění toalet svým návštěvníkům, uhradí za tuto službu poplatek ve výši 250 Kč bez DPH za každou započatou hodinu prodlouženého provozu. K částce bude připočtena DPH v zákonné výši. Poplatek bude fakturován měsíčně. Požadavek na prodloužení provozní doby je KKKV povinna oznámit NKPV na e-mail: </w:t>
      </w:r>
      <w:r w:rsidR="00E90607">
        <w:t>xxxxxxxxxxxxxxxxxxxxxxxx</w:t>
      </w:r>
      <w:r>
        <w:t xml:space="preserve"> nejméně 14 dní před požadovaným termínem. Nebude-li tato lhůta dodržena, NKPV nezaručuje prodloužení provozní doby. Faktura za úhradu </w:t>
      </w:r>
      <w:r>
        <w:lastRenderedPageBreak/>
        <w:t>poplatku bude vystavena jako daňový doklad a zaslána na e-mail:</w:t>
      </w:r>
      <w:r w:rsidR="00E90607">
        <w:t xml:space="preserve"> xxxxxxxxxxx</w:t>
      </w:r>
      <w:r>
        <w:t>. Splatnost faktury činí 14 dní od data doručení. Prodloužení provozní doby je možné nejdéle do 22:00 hodin.</w:t>
      </w:r>
    </w:p>
    <w:p w14:paraId="1F3475D6" w14:textId="77777777" w:rsidR="00957DA2" w:rsidRDefault="00957DA2" w:rsidP="00957DA2">
      <w:pPr>
        <w:pStyle w:val="Odstavecseseznamem"/>
        <w:ind w:left="567" w:hanging="567"/>
      </w:pPr>
    </w:p>
    <w:p w14:paraId="0B7B908C" w14:textId="2B03159B" w:rsidR="00957DA2" w:rsidRPr="00E054BE" w:rsidRDefault="00957DA2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</w:pPr>
      <w:r w:rsidRPr="00E054BE">
        <w:t>Článek III. Vkládá se nový bod 1.6. NKPV se zavazuje zajišťovat běžnou údržbu pozemků ve vlastnictví KKKV v okolí Rotundy sv. Martina parc.č. 142, k.ú. Vyšehrad, a v okolí kaple Panny Marie Šancovské parc.č.  148, k.ú. Vyšehrad (viz. nákres v příloze). Údržba zahrnuje zejména provádění sečí travnatých ploch, shrabávání listí, odvoz a likvidaci biologického odpadu</w:t>
      </w:r>
      <w:r>
        <w:t>, odklízení sněhu a případný posyp</w:t>
      </w:r>
      <w:r w:rsidRPr="00E054BE">
        <w:t xml:space="preserve">. Údržba probíhá souběžně s prováděnou údržbou pozemků spravovaných NKPV. Za to KKKV strpí, že tyto pozemky jsou bez oplocení volně přístupné návštěvníkům areálu NKPV bez omezení. </w:t>
      </w:r>
    </w:p>
    <w:p w14:paraId="6E87D81F" w14:textId="77777777" w:rsidR="00957DA2" w:rsidRDefault="00957DA2" w:rsidP="00957DA2">
      <w:pPr>
        <w:pStyle w:val="Odstavecseseznamem"/>
        <w:widowControl w:val="0"/>
        <w:overflowPunct w:val="0"/>
        <w:autoSpaceDE w:val="0"/>
        <w:ind w:left="567" w:hanging="567"/>
        <w:jc w:val="both"/>
        <w:textAlignment w:val="baseline"/>
      </w:pPr>
    </w:p>
    <w:p w14:paraId="51EABE4C" w14:textId="06791F35" w:rsidR="00E076C1" w:rsidRPr="00E054BE" w:rsidRDefault="00D03990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</w:pPr>
      <w:r w:rsidRPr="00E054BE">
        <w:t xml:space="preserve">Článek </w:t>
      </w:r>
      <w:r w:rsidR="00776367" w:rsidRPr="00E054BE">
        <w:t xml:space="preserve">III., odst. </w:t>
      </w:r>
      <w:r w:rsidRPr="00E054BE">
        <w:t xml:space="preserve">2.1. nově zní takto: „Umožnit NKPV a jím pověřeným osobám vstup do objektu baziliky sv. Vavřince </w:t>
      </w:r>
      <w:r w:rsidRPr="00E054BE">
        <w:rPr>
          <w:rFonts w:eastAsiaTheme="minorHAnsi"/>
        </w:rPr>
        <w:t xml:space="preserve">za účelem uskutečnění komentovaných prohlídek pořádaných NKPV a předat NKPV náhradní klíč od objektu. Vstup bude umožněn prohlídkovým skupinám o maximální kapacitě návštěvníků </w:t>
      </w:r>
      <w:r w:rsidR="00A27D41" w:rsidRPr="00E054BE">
        <w:rPr>
          <w:rFonts w:eastAsiaTheme="minorHAnsi"/>
        </w:rPr>
        <w:t xml:space="preserve">30 </w:t>
      </w:r>
      <w:r w:rsidRPr="00E054BE">
        <w:rPr>
          <w:rFonts w:eastAsiaTheme="minorHAnsi"/>
        </w:rPr>
        <w:t xml:space="preserve">osob. 2 skupiny měsíčně budou </w:t>
      </w:r>
      <w:r w:rsidR="00957A8C" w:rsidRPr="00E054BE">
        <w:rPr>
          <w:rFonts w:eastAsiaTheme="minorHAnsi"/>
        </w:rPr>
        <w:t xml:space="preserve">mít umožněn vstup </w:t>
      </w:r>
      <w:r w:rsidRPr="00E054BE">
        <w:rPr>
          <w:rFonts w:eastAsiaTheme="minorHAnsi"/>
        </w:rPr>
        <w:t xml:space="preserve">bezplatně, každá další skupina bude zpoplatněna </w:t>
      </w:r>
      <w:r w:rsidR="002205BA" w:rsidRPr="00E054BE">
        <w:rPr>
          <w:rFonts w:eastAsiaTheme="minorHAnsi"/>
        </w:rPr>
        <w:t>částkou</w:t>
      </w:r>
      <w:r w:rsidR="00A02451" w:rsidRPr="00E054BE">
        <w:rPr>
          <w:rFonts w:eastAsiaTheme="minorHAnsi"/>
        </w:rPr>
        <w:t xml:space="preserve"> dle platného ceníku KKKV</w:t>
      </w:r>
      <w:r w:rsidR="0083431C" w:rsidRPr="00E054BE">
        <w:rPr>
          <w:rFonts w:eastAsiaTheme="minorHAnsi"/>
        </w:rPr>
        <w:t xml:space="preserve"> (</w:t>
      </w:r>
      <w:r w:rsidR="000A4244" w:rsidRPr="00E054BE">
        <w:rPr>
          <w:rFonts w:eastAsiaTheme="minorHAnsi"/>
        </w:rPr>
        <w:t xml:space="preserve">položka v ceníku </w:t>
      </w:r>
      <w:r w:rsidR="00E054BE" w:rsidRPr="00E054BE">
        <w:rPr>
          <w:rFonts w:eastAsiaTheme="minorHAnsi"/>
        </w:rPr>
        <w:t>bazilika s</w:t>
      </w:r>
      <w:r w:rsidR="000A4244" w:rsidRPr="00E054BE">
        <w:rPr>
          <w:rFonts w:eastAsiaTheme="minorHAnsi"/>
        </w:rPr>
        <w:t>v.</w:t>
      </w:r>
      <w:r w:rsidR="00E054BE" w:rsidRPr="00E054BE">
        <w:rPr>
          <w:rFonts w:eastAsiaTheme="minorHAnsi"/>
        </w:rPr>
        <w:t xml:space="preserve"> </w:t>
      </w:r>
      <w:r w:rsidR="000A4244" w:rsidRPr="00E054BE">
        <w:rPr>
          <w:rFonts w:eastAsiaTheme="minorHAnsi"/>
        </w:rPr>
        <w:t>Vavřinc</w:t>
      </w:r>
      <w:r w:rsidR="00E054BE" w:rsidRPr="00E054BE">
        <w:rPr>
          <w:rFonts w:eastAsiaTheme="minorHAnsi"/>
        </w:rPr>
        <w:t>e</w:t>
      </w:r>
      <w:r w:rsidR="00B46475" w:rsidRPr="00E054BE">
        <w:rPr>
          <w:rFonts w:eastAsiaTheme="minorHAnsi"/>
        </w:rPr>
        <w:t xml:space="preserve"> pro NKPV</w:t>
      </w:r>
      <w:r w:rsidR="00933DCE" w:rsidRPr="00E054BE">
        <w:rPr>
          <w:rFonts w:eastAsiaTheme="minorHAnsi"/>
        </w:rPr>
        <w:t>)</w:t>
      </w:r>
      <w:r w:rsidR="00B46475" w:rsidRPr="00E054BE">
        <w:rPr>
          <w:rFonts w:eastAsiaTheme="minorHAnsi"/>
        </w:rPr>
        <w:t xml:space="preserve"> pro tento objekt</w:t>
      </w:r>
      <w:r w:rsidR="002205BA" w:rsidRPr="00E054BE">
        <w:rPr>
          <w:rFonts w:eastAsiaTheme="minorHAnsi"/>
        </w:rPr>
        <w:t xml:space="preserve">. </w:t>
      </w:r>
      <w:r w:rsidR="00876EB8" w:rsidRPr="00E054BE">
        <w:t>Pro časovou koordinaci prohlídek baziliky sv. Vavřince budou smluvní strany zapisovat prohlídky do sdíleného kalendáře. Kalendář vytvoří KKKV a umožní přístup do kalendáře pověřeným zaměstnancům obou smluvních stran.“</w:t>
      </w:r>
      <w:r w:rsidR="00F378A7" w:rsidRPr="00E054BE">
        <w:t xml:space="preserve"> </w:t>
      </w:r>
      <w:r w:rsidR="00F378A7" w:rsidRPr="00E054BE">
        <w:rPr>
          <w:rFonts w:eastAsiaTheme="minorHAnsi"/>
        </w:rPr>
        <w:t>Dojde-li ke změně ceníku, je KKKV povinna zaslat jeho aktuální znění na e-mailovou adresu</w:t>
      </w:r>
      <w:r w:rsidR="00E90607">
        <w:t xml:space="preserve"> xxxxxxxxxxxxxxxxxxxxxxx</w:t>
      </w:r>
      <w:r w:rsidR="00F378A7" w:rsidRPr="00E054BE">
        <w:rPr>
          <w:rFonts w:eastAsiaTheme="minorHAnsi"/>
        </w:rPr>
        <w:t>.</w:t>
      </w:r>
    </w:p>
    <w:p w14:paraId="6D3C0832" w14:textId="77777777" w:rsidR="00E076C1" w:rsidRPr="00E054BE" w:rsidRDefault="00E076C1" w:rsidP="00957DA2">
      <w:pPr>
        <w:pStyle w:val="Odstavecseseznamem"/>
        <w:widowControl w:val="0"/>
        <w:overflowPunct w:val="0"/>
        <w:autoSpaceDE w:val="0"/>
        <w:ind w:left="567" w:hanging="567"/>
        <w:jc w:val="both"/>
        <w:textAlignment w:val="baseline"/>
      </w:pPr>
    </w:p>
    <w:p w14:paraId="698B4915" w14:textId="168F00D6" w:rsidR="00B976A7" w:rsidRPr="00E054BE" w:rsidRDefault="005D076B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  <w:rPr>
          <w:rFonts w:eastAsiaTheme="minorHAnsi"/>
        </w:rPr>
      </w:pPr>
      <w:r w:rsidRPr="00E054BE">
        <w:t>Článek</w:t>
      </w:r>
      <w:r w:rsidR="00776367" w:rsidRPr="00E054BE">
        <w:t xml:space="preserve"> III., odst.</w:t>
      </w:r>
      <w:r w:rsidRPr="00E054BE">
        <w:t xml:space="preserve"> 2.2. nově zní takto: „</w:t>
      </w:r>
      <w:r w:rsidRPr="00E054BE">
        <w:rPr>
          <w:rFonts w:eastAsiaTheme="minorHAnsi"/>
        </w:rPr>
        <w:t>Umožnit NKPV, jím pověřeným osobám a účastníkům programů a prohlídek vstup do baziliky sv. Petra a Pavla za účelem uskutečnění edukačních programů a prohlídek pro školní nebo zájmové skupiny</w:t>
      </w:r>
      <w:r w:rsidR="00801156" w:rsidRPr="00E054BE">
        <w:rPr>
          <w:rFonts w:eastAsiaTheme="minorHAnsi"/>
        </w:rPr>
        <w:t xml:space="preserve"> (dále jen „skupiny“)</w:t>
      </w:r>
      <w:r w:rsidRPr="00E054BE">
        <w:rPr>
          <w:rFonts w:eastAsiaTheme="minorHAnsi"/>
        </w:rPr>
        <w:t>, pořádaných NKPV</w:t>
      </w:r>
      <w:r w:rsidR="00891D4A" w:rsidRPr="00E054BE">
        <w:rPr>
          <w:rFonts w:eastAsiaTheme="minorHAnsi"/>
        </w:rPr>
        <w:t xml:space="preserve">. </w:t>
      </w:r>
      <w:r w:rsidR="009F1CBA" w:rsidRPr="00E054BE">
        <w:rPr>
          <w:rFonts w:eastAsiaTheme="minorHAnsi"/>
        </w:rPr>
        <w:t xml:space="preserve"> </w:t>
      </w:r>
      <w:r w:rsidR="00B976A7" w:rsidRPr="00E054BE">
        <w:rPr>
          <w:rFonts w:eastAsiaTheme="minorHAnsi"/>
        </w:rPr>
        <w:t xml:space="preserve">Za vstup každé skupiny je stanoveno </w:t>
      </w:r>
      <w:r w:rsidR="00A02451" w:rsidRPr="00E054BE">
        <w:rPr>
          <w:rFonts w:eastAsiaTheme="minorHAnsi"/>
        </w:rPr>
        <w:t xml:space="preserve">  </w:t>
      </w:r>
      <w:r w:rsidR="006A6E62" w:rsidRPr="00E054BE">
        <w:rPr>
          <w:rFonts w:eastAsiaTheme="minorHAnsi"/>
        </w:rPr>
        <w:t xml:space="preserve">vstupné </w:t>
      </w:r>
      <w:r w:rsidR="00B976A7" w:rsidRPr="00E054BE">
        <w:rPr>
          <w:rFonts w:eastAsiaTheme="minorHAnsi"/>
        </w:rPr>
        <w:t>dle platného ceníku KKKV</w:t>
      </w:r>
      <w:r w:rsidR="00B46475" w:rsidRPr="00E054BE">
        <w:rPr>
          <w:rFonts w:eastAsiaTheme="minorHAnsi"/>
        </w:rPr>
        <w:t xml:space="preserve"> </w:t>
      </w:r>
      <w:r w:rsidR="006A6E62" w:rsidRPr="00E054BE">
        <w:rPr>
          <w:rFonts w:eastAsiaTheme="minorHAnsi"/>
        </w:rPr>
        <w:t>(</w:t>
      </w:r>
      <w:r w:rsidR="000A4244" w:rsidRPr="00E054BE">
        <w:rPr>
          <w:rFonts w:eastAsiaTheme="minorHAnsi"/>
        </w:rPr>
        <w:t xml:space="preserve">položka v ceníku </w:t>
      </w:r>
      <w:r w:rsidR="00E054BE" w:rsidRPr="00E054BE">
        <w:rPr>
          <w:rFonts w:eastAsiaTheme="minorHAnsi"/>
        </w:rPr>
        <w:t>b</w:t>
      </w:r>
      <w:r w:rsidR="000A4244" w:rsidRPr="00E054BE">
        <w:rPr>
          <w:rFonts w:eastAsiaTheme="minorHAnsi"/>
        </w:rPr>
        <w:t>azilika</w:t>
      </w:r>
      <w:r w:rsidR="0093676D" w:rsidRPr="00E054BE">
        <w:rPr>
          <w:rFonts w:eastAsiaTheme="minorHAnsi"/>
        </w:rPr>
        <w:t xml:space="preserve"> </w:t>
      </w:r>
      <w:r w:rsidR="00E054BE" w:rsidRPr="00E054BE">
        <w:rPr>
          <w:rFonts w:eastAsiaTheme="minorHAnsi"/>
        </w:rPr>
        <w:t xml:space="preserve">sv. Petra a Pavla </w:t>
      </w:r>
      <w:r w:rsidR="00F378A7" w:rsidRPr="00E054BE">
        <w:rPr>
          <w:rFonts w:eastAsiaTheme="minorHAnsi"/>
        </w:rPr>
        <w:t xml:space="preserve">pro </w:t>
      </w:r>
      <w:r w:rsidR="000A4244" w:rsidRPr="00E054BE">
        <w:rPr>
          <w:rFonts w:eastAsiaTheme="minorHAnsi"/>
        </w:rPr>
        <w:t>NKPV</w:t>
      </w:r>
      <w:r w:rsidR="006A6E62" w:rsidRPr="00E054BE">
        <w:rPr>
          <w:rFonts w:eastAsiaTheme="minorHAnsi"/>
        </w:rPr>
        <w:t>)</w:t>
      </w:r>
      <w:r w:rsidR="00B976A7" w:rsidRPr="00E054BE">
        <w:rPr>
          <w:rFonts w:eastAsiaTheme="minorHAnsi"/>
        </w:rPr>
        <w:t xml:space="preserve"> pro skupiny žáků a studentů. Dojde-li ke změně ceníku, je KKKV povin</w:t>
      </w:r>
      <w:r w:rsidR="000A4244" w:rsidRPr="00E054BE">
        <w:rPr>
          <w:rFonts w:eastAsiaTheme="minorHAnsi"/>
        </w:rPr>
        <w:t>na</w:t>
      </w:r>
      <w:r w:rsidR="00B976A7" w:rsidRPr="00E054BE">
        <w:rPr>
          <w:rFonts w:eastAsiaTheme="minorHAnsi"/>
        </w:rPr>
        <w:t xml:space="preserve"> zaslat jeho aktuální znění na e-mailovou adresu</w:t>
      </w:r>
      <w:r w:rsidR="00E90607">
        <w:t xml:space="preserve"> </w:t>
      </w:r>
      <w:r w:rsidR="00E90607">
        <w:t>xxxxxxxxxxxxxxxxxxxxxxx</w:t>
      </w:r>
      <w:r w:rsidR="00C40A31" w:rsidRPr="00E054BE">
        <w:rPr>
          <w:rFonts w:eastAsiaTheme="minorHAnsi"/>
        </w:rPr>
        <w:t xml:space="preserve">. </w:t>
      </w:r>
    </w:p>
    <w:p w14:paraId="7BEC14E1" w14:textId="77777777" w:rsidR="00E054BE" w:rsidRPr="00E054BE" w:rsidRDefault="00E054BE" w:rsidP="00957DA2">
      <w:pPr>
        <w:pStyle w:val="Odstavecseseznamem"/>
        <w:ind w:left="567" w:hanging="567"/>
        <w:rPr>
          <w:rFonts w:eastAsiaTheme="minorHAnsi"/>
        </w:rPr>
      </w:pPr>
    </w:p>
    <w:p w14:paraId="08F9D4F8" w14:textId="55866C77" w:rsidR="00ED0467" w:rsidRDefault="00E076C1" w:rsidP="00957DA2">
      <w:pPr>
        <w:pStyle w:val="Odstavecseseznamem"/>
        <w:widowControl w:val="0"/>
        <w:numPr>
          <w:ilvl w:val="1"/>
          <w:numId w:val="24"/>
        </w:numPr>
        <w:overflowPunct w:val="0"/>
        <w:autoSpaceDE w:val="0"/>
        <w:ind w:left="567" w:hanging="567"/>
        <w:jc w:val="both"/>
        <w:textAlignment w:val="baseline"/>
      </w:pPr>
      <w:r w:rsidRPr="00E054BE">
        <w:t xml:space="preserve">Článek </w:t>
      </w:r>
      <w:r w:rsidR="00776367" w:rsidRPr="00E054BE">
        <w:t xml:space="preserve">IV, odst. </w:t>
      </w:r>
      <w:r w:rsidRPr="00E054BE">
        <w:t>1. nově zní takto: „</w:t>
      </w:r>
      <w:r w:rsidR="00F4195E" w:rsidRPr="00E054BE">
        <w:rPr>
          <w:rFonts w:eastAsiaTheme="minorHAnsi"/>
        </w:rPr>
        <w:t>KKKV bude vystavovat NKPV faktury za vstupy do objektů na základě celkového počtu uskutečněných prohlídek, a to s měsíční frekvencí. Evidenci počtu uskutečněných prohlídek (skupin) povede NKPV a bude ji pravidelně předávat KKKV k odsouhlasení. Na základě takto odsouhlasené evidence je KKKV oprávněna vystavit příslušnou fakturu</w:t>
      </w:r>
      <w:r w:rsidRPr="00E054BE">
        <w:rPr>
          <w:rFonts w:eastAsiaTheme="minorHAnsi"/>
        </w:rPr>
        <w:t>“</w:t>
      </w:r>
    </w:p>
    <w:p w14:paraId="20E49717" w14:textId="77777777" w:rsidR="00CF04EA" w:rsidRDefault="00CF04EA" w:rsidP="00957DA2"/>
    <w:p w14:paraId="764DC752" w14:textId="77777777" w:rsidR="00CF04EA" w:rsidRDefault="00CF04EA" w:rsidP="00573533">
      <w:pPr>
        <w:pStyle w:val="Odstavecseseznamem"/>
        <w:widowControl w:val="0"/>
        <w:overflowPunct w:val="0"/>
        <w:autoSpaceDE w:val="0"/>
        <w:ind w:left="360"/>
        <w:jc w:val="both"/>
        <w:textAlignment w:val="baseline"/>
      </w:pPr>
    </w:p>
    <w:p w14:paraId="5FAD89FF" w14:textId="01CC1C51" w:rsidR="00E076C1" w:rsidRDefault="00E076C1" w:rsidP="00E076C1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3BE7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V</w:t>
      </w:r>
      <w:r w:rsidRPr="00FC3BE7">
        <w:rPr>
          <w:rFonts w:ascii="Times New Roman" w:hAnsi="Times New Roman" w:cs="Times New Roman"/>
          <w:b/>
          <w:sz w:val="20"/>
          <w:szCs w:val="20"/>
        </w:rPr>
        <w:t>.</w:t>
      </w:r>
    </w:p>
    <w:p w14:paraId="1F93E92F" w14:textId="07C4AB09" w:rsidR="00E076C1" w:rsidRPr="00FC3BE7" w:rsidRDefault="00E076C1" w:rsidP="00E076C1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14:paraId="2DF24073" w14:textId="795BA562" w:rsidR="00D03990" w:rsidRPr="00884653" w:rsidRDefault="00D03990" w:rsidP="0092092F">
      <w:pPr>
        <w:pStyle w:val="Odstavecseseznamem"/>
        <w:widowControl w:val="0"/>
        <w:overflowPunct w:val="0"/>
        <w:autoSpaceDE w:val="0"/>
        <w:ind w:left="907"/>
        <w:jc w:val="both"/>
        <w:textAlignment w:val="baseline"/>
      </w:pPr>
    </w:p>
    <w:p w14:paraId="6CBAE84D" w14:textId="596EB3D4" w:rsidR="00EC7CF3" w:rsidRDefault="00E076C1" w:rsidP="00EC7CF3">
      <w:pPr>
        <w:pStyle w:val="Odstavecseseznamem"/>
        <w:widowControl w:val="0"/>
        <w:numPr>
          <w:ilvl w:val="1"/>
          <w:numId w:val="25"/>
        </w:numPr>
        <w:overflowPunct w:val="0"/>
        <w:autoSpaceDE w:val="0"/>
        <w:ind w:left="567" w:hanging="567"/>
        <w:jc w:val="both"/>
        <w:textAlignment w:val="baseline"/>
      </w:pPr>
      <w:r w:rsidRPr="00E076C1">
        <w:t>Všechna ostatní ujednání smlouvy (včetně příloh tvořících její nedílnou součást) nedotčená tímto dodatkem zůstávají v platnosti beze změn.</w:t>
      </w:r>
    </w:p>
    <w:p w14:paraId="06F5AE8D" w14:textId="77777777" w:rsidR="00EC7CF3" w:rsidRDefault="00EC7CF3" w:rsidP="00EC7CF3">
      <w:pPr>
        <w:pStyle w:val="Odstavecseseznamem"/>
        <w:widowControl w:val="0"/>
        <w:overflowPunct w:val="0"/>
        <w:autoSpaceDE w:val="0"/>
        <w:ind w:left="567"/>
        <w:jc w:val="both"/>
        <w:textAlignment w:val="baseline"/>
      </w:pPr>
    </w:p>
    <w:p w14:paraId="5C65D8A1" w14:textId="77777777" w:rsidR="00EC7CF3" w:rsidRDefault="002D7D44" w:rsidP="00EC7CF3">
      <w:pPr>
        <w:pStyle w:val="Odstavecseseznamem"/>
        <w:widowControl w:val="0"/>
        <w:numPr>
          <w:ilvl w:val="1"/>
          <w:numId w:val="25"/>
        </w:numPr>
        <w:overflowPunct w:val="0"/>
        <w:autoSpaceDE w:val="0"/>
        <w:ind w:left="567" w:hanging="567"/>
        <w:jc w:val="both"/>
        <w:textAlignment w:val="baseline"/>
      </w:pPr>
      <w:r>
        <w:t>T</w:t>
      </w:r>
      <w:r w:rsidR="00EC7CF3">
        <w:t>ento</w:t>
      </w:r>
      <w:r>
        <w:t xml:space="preserve"> </w:t>
      </w:r>
      <w:r w:rsidR="00EC7CF3">
        <w:t>dodatek</w:t>
      </w:r>
      <w:r>
        <w:t xml:space="preserve"> nabývá platnosti a účinnosti dnem jeho podpisu oběma smluvními stranami. </w:t>
      </w:r>
    </w:p>
    <w:p w14:paraId="4A34843C" w14:textId="77777777" w:rsidR="00EC7CF3" w:rsidRDefault="00EC7CF3" w:rsidP="00EC7CF3">
      <w:pPr>
        <w:pStyle w:val="Odstavecseseznamem"/>
      </w:pPr>
    </w:p>
    <w:p w14:paraId="2DED7805" w14:textId="77777777" w:rsidR="00EC7CF3" w:rsidRDefault="00E22DCD" w:rsidP="00EC7CF3">
      <w:pPr>
        <w:pStyle w:val="Odstavecseseznamem"/>
        <w:widowControl w:val="0"/>
        <w:numPr>
          <w:ilvl w:val="1"/>
          <w:numId w:val="25"/>
        </w:numPr>
        <w:overflowPunct w:val="0"/>
        <w:autoSpaceDE w:val="0"/>
        <w:ind w:left="567" w:hanging="567"/>
        <w:jc w:val="both"/>
        <w:textAlignment w:val="baseline"/>
      </w:pPr>
      <w:r w:rsidRPr="00884653">
        <w:t>T</w:t>
      </w:r>
      <w:r w:rsidR="00EC7CF3">
        <w:t>ento dodatek</w:t>
      </w:r>
      <w:r w:rsidRPr="00884653">
        <w:t xml:space="preserve"> je vyhotoven ve dvou stejnopisech, z nichž každý stejnopis má platnost originálu. Obě strany smlouvy obdrží po jednom vyhotovení.  </w:t>
      </w:r>
    </w:p>
    <w:p w14:paraId="0A22363B" w14:textId="77777777" w:rsidR="00EC7CF3" w:rsidRDefault="00EC7CF3" w:rsidP="00EC7CF3">
      <w:pPr>
        <w:pStyle w:val="Odstavecseseznamem"/>
      </w:pPr>
    </w:p>
    <w:p w14:paraId="5306153E" w14:textId="7292D7AA" w:rsidR="00A711F4" w:rsidRPr="00884653" w:rsidRDefault="00E22DCD" w:rsidP="00EC7CF3">
      <w:pPr>
        <w:pStyle w:val="Odstavecseseznamem"/>
        <w:widowControl w:val="0"/>
        <w:numPr>
          <w:ilvl w:val="1"/>
          <w:numId w:val="25"/>
        </w:numPr>
        <w:overflowPunct w:val="0"/>
        <w:autoSpaceDE w:val="0"/>
        <w:ind w:left="567" w:hanging="567"/>
        <w:jc w:val="both"/>
        <w:textAlignment w:val="baseline"/>
      </w:pPr>
      <w:r w:rsidRPr="00884653">
        <w:t xml:space="preserve">Smluvní strany dále prohlašují, že si </w:t>
      </w:r>
      <w:r w:rsidR="00EC7CF3">
        <w:t xml:space="preserve">dodatek </w:t>
      </w:r>
      <w:r w:rsidRPr="00884653">
        <w:t xml:space="preserve">pečlivě přečetly, všem ustanovením </w:t>
      </w:r>
      <w:r w:rsidR="00EC7CF3">
        <w:t>dodatku</w:t>
      </w:r>
      <w:r w:rsidRPr="00884653">
        <w:t xml:space="preserve"> rozumí, že nebyl uzavřen v tísni ani za jinak jednostranně nevýhodných podmínek. Na důkaz svého souhlasu učiněného vážně a svobodně </w:t>
      </w:r>
      <w:r w:rsidR="00EC7CF3">
        <w:t>dodatek</w:t>
      </w:r>
      <w:r w:rsidRPr="00884653">
        <w:t xml:space="preserve"> vlastnoručně podepisují.</w:t>
      </w:r>
    </w:p>
    <w:p w14:paraId="3C8AE5F0" w14:textId="77777777" w:rsidR="00A711F4" w:rsidRPr="00884653" w:rsidRDefault="00A711F4" w:rsidP="00A711F4"/>
    <w:p w14:paraId="2B69C24B" w14:textId="77777777" w:rsidR="00A711F4" w:rsidRPr="00884653" w:rsidRDefault="00A711F4" w:rsidP="00A711F4"/>
    <w:p w14:paraId="134F77C3" w14:textId="473D0A65" w:rsidR="00A711F4" w:rsidRPr="00884653" w:rsidRDefault="747010C0" w:rsidP="00A711F4">
      <w:r>
        <w:t xml:space="preserve">V Praze dne </w:t>
      </w:r>
      <w:r w:rsidR="00A711F4">
        <w:tab/>
      </w:r>
      <w:r>
        <w:t>26.10.2025</w:t>
      </w:r>
      <w:r w:rsidR="00A711F4">
        <w:tab/>
      </w:r>
      <w:r w:rsidR="00A711F4">
        <w:tab/>
      </w:r>
      <w:r w:rsidR="00A711F4">
        <w:tab/>
      </w:r>
      <w:r>
        <w:t>V Praze dne</w:t>
      </w:r>
      <w:r w:rsidR="00A711F4">
        <w:tab/>
      </w:r>
      <w:r>
        <w:t>26.9.2025</w:t>
      </w:r>
    </w:p>
    <w:p w14:paraId="6AB23660" w14:textId="77777777" w:rsidR="00A711F4" w:rsidRPr="00884653" w:rsidRDefault="00A711F4" w:rsidP="00A711F4"/>
    <w:p w14:paraId="51DCE61A" w14:textId="4A9F96E9" w:rsidR="00A711F4" w:rsidRPr="00884653" w:rsidRDefault="00A711F4" w:rsidP="00A711F4"/>
    <w:p w14:paraId="3B182F20" w14:textId="77777777" w:rsidR="00A711F4" w:rsidRPr="00884653" w:rsidRDefault="00A711F4" w:rsidP="00A711F4"/>
    <w:p w14:paraId="22745C7F" w14:textId="5724471C" w:rsidR="00A711F4" w:rsidRPr="00884653" w:rsidRDefault="00A711F4" w:rsidP="00A711F4">
      <w:pPr>
        <w:spacing w:line="360" w:lineRule="auto"/>
      </w:pPr>
    </w:p>
    <w:p w14:paraId="16406F15" w14:textId="50DF5F06" w:rsidR="00A711F4" w:rsidRPr="00884653" w:rsidRDefault="00A711F4" w:rsidP="00A711F4">
      <w:pPr>
        <w:spacing w:line="360" w:lineRule="auto"/>
      </w:pPr>
      <w:r w:rsidRPr="00884653">
        <w:t>……………………………………</w:t>
      </w:r>
      <w:r w:rsidR="007E5702">
        <w:t>………..</w:t>
      </w:r>
      <w:r w:rsidRPr="00884653">
        <w:tab/>
      </w:r>
      <w:r w:rsidRPr="00884653">
        <w:tab/>
        <w:t>……………………………………</w:t>
      </w:r>
      <w:r w:rsidR="004E6D51">
        <w:t>……...</w:t>
      </w:r>
      <w:r w:rsidRPr="00884653">
        <w:tab/>
      </w:r>
    </w:p>
    <w:p w14:paraId="5D8228AC" w14:textId="6BFDE478" w:rsidR="00A040B0" w:rsidRPr="00884653" w:rsidRDefault="00A711F4" w:rsidP="00B81EAA">
      <w:r w:rsidRPr="00884653">
        <w:t xml:space="preserve">Ing. arch. Petr Kučera, </w:t>
      </w:r>
      <w:r w:rsidR="00B81EAA">
        <w:t xml:space="preserve">Ph.D., </w:t>
      </w:r>
      <w:r w:rsidRPr="00884653">
        <w:t>ředitel</w:t>
      </w:r>
      <w:r w:rsidR="00B81EAA">
        <w:t xml:space="preserve"> NKPV</w:t>
      </w:r>
      <w:r w:rsidRPr="00884653">
        <w:tab/>
      </w:r>
      <w:r w:rsidRPr="00884653">
        <w:tab/>
      </w:r>
      <w:r w:rsidR="0056419E" w:rsidRPr="00884653">
        <w:t>Mgr. Ing. Michal Němeček, děka</w:t>
      </w:r>
      <w:r w:rsidR="00B81EAA">
        <w:t>n KKKV</w:t>
      </w:r>
    </w:p>
    <w:sectPr w:rsidR="00A040B0" w:rsidRPr="00884653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AEE8" w14:textId="77777777" w:rsidR="001511D4" w:rsidRDefault="001511D4" w:rsidP="004F24B2">
      <w:r>
        <w:separator/>
      </w:r>
    </w:p>
  </w:endnote>
  <w:endnote w:type="continuationSeparator" w:id="0">
    <w:p w14:paraId="777AD5FA" w14:textId="77777777" w:rsidR="001511D4" w:rsidRDefault="001511D4" w:rsidP="004F24B2">
      <w:r>
        <w:continuationSeparator/>
      </w:r>
    </w:p>
  </w:endnote>
  <w:endnote w:type="continuationNotice" w:id="1">
    <w:p w14:paraId="618BC946" w14:textId="77777777" w:rsidR="001511D4" w:rsidRDefault="00151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0D164FFC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4DC9" w14:textId="77777777" w:rsidR="001511D4" w:rsidRDefault="001511D4" w:rsidP="004F24B2">
      <w:r>
        <w:separator/>
      </w:r>
    </w:p>
  </w:footnote>
  <w:footnote w:type="continuationSeparator" w:id="0">
    <w:p w14:paraId="1DE95258" w14:textId="77777777" w:rsidR="001511D4" w:rsidRDefault="001511D4" w:rsidP="004F24B2">
      <w:r>
        <w:continuationSeparator/>
      </w:r>
    </w:p>
  </w:footnote>
  <w:footnote w:type="continuationNotice" w:id="1">
    <w:p w14:paraId="3A7F1738" w14:textId="77777777" w:rsidR="001511D4" w:rsidRDefault="00151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1645" w14:textId="47EF3277" w:rsidR="008E25F7" w:rsidRDefault="008E25F7" w:rsidP="008E25F7">
    <w:pPr>
      <w:pStyle w:val="Standardnte"/>
      <w:tabs>
        <w:tab w:val="left" w:pos="828"/>
      </w:tabs>
      <w:jc w:val="right"/>
      <w:rPr>
        <w:b/>
        <w:bCs/>
        <w:szCs w:val="24"/>
        <w:highlight w:val="yellow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 xml:space="preserve">č. </w:t>
    </w:r>
    <w:r w:rsidRPr="008663DC">
      <w:rPr>
        <w:sz w:val="20"/>
      </w:rPr>
      <w:t>smlouvy</w:t>
    </w:r>
    <w:r w:rsidR="005D4CBC" w:rsidRPr="008663DC">
      <w:rPr>
        <w:sz w:val="20"/>
      </w:rPr>
      <w:t xml:space="preserve"> NKPV:</w:t>
    </w:r>
    <w:r w:rsidRPr="008663DC">
      <w:rPr>
        <w:sz w:val="20"/>
      </w:rPr>
      <w:t xml:space="preserve"> </w:t>
    </w:r>
    <w:r w:rsidRPr="008663DC">
      <w:rPr>
        <w:b/>
        <w:bCs/>
        <w:szCs w:val="24"/>
      </w:rPr>
      <w:t>S</w:t>
    </w:r>
    <w:r w:rsidR="008663DC" w:rsidRPr="008663DC">
      <w:rPr>
        <w:b/>
        <w:bCs/>
        <w:szCs w:val="24"/>
      </w:rPr>
      <w:t>J</w:t>
    </w:r>
    <w:r w:rsidRPr="008663DC">
      <w:rPr>
        <w:b/>
        <w:bCs/>
        <w:szCs w:val="24"/>
      </w:rPr>
      <w:t>/</w:t>
    </w:r>
    <w:r w:rsidR="008663DC" w:rsidRPr="008663DC">
      <w:rPr>
        <w:b/>
        <w:bCs/>
        <w:szCs w:val="24"/>
      </w:rPr>
      <w:t>4</w:t>
    </w:r>
    <w:r w:rsidRPr="008663DC">
      <w:rPr>
        <w:b/>
        <w:bCs/>
        <w:szCs w:val="24"/>
      </w:rPr>
      <w:t>/202</w:t>
    </w:r>
    <w:r w:rsidR="008663DC" w:rsidRPr="008663DC">
      <w:rPr>
        <w:b/>
        <w:bCs/>
        <w:szCs w:val="24"/>
      </w:rPr>
      <w:t>1</w:t>
    </w:r>
    <w:r w:rsidR="00E65257">
      <w:rPr>
        <w:b/>
        <w:bCs/>
        <w:szCs w:val="24"/>
      </w:rPr>
      <w:t xml:space="preserve"> – dodatek č. 1</w:t>
    </w:r>
  </w:p>
  <w:p w14:paraId="194224AD" w14:textId="2BAC2128" w:rsidR="0056419E" w:rsidRPr="00A040B0" w:rsidRDefault="005D4CBC" w:rsidP="008E25F7">
    <w:pPr>
      <w:pStyle w:val="Standardnte"/>
      <w:tabs>
        <w:tab w:val="left" w:pos="828"/>
      </w:tabs>
      <w:jc w:val="right"/>
      <w:rPr>
        <w:bCs/>
        <w:szCs w:val="24"/>
      </w:rPr>
    </w:pPr>
    <w:r w:rsidRPr="005D4CBC">
      <w:rPr>
        <w:bCs/>
        <w:sz w:val="20"/>
      </w:rPr>
      <w:t xml:space="preserve">č. </w:t>
    </w:r>
    <w:r w:rsidR="00D03990">
      <w:rPr>
        <w:bCs/>
        <w:sz w:val="20"/>
      </w:rPr>
      <w:t>j.</w:t>
    </w:r>
    <w:r w:rsidRPr="005D4CBC">
      <w:rPr>
        <w:bCs/>
        <w:sz w:val="20"/>
      </w:rPr>
      <w:t xml:space="preserve"> KKKV: </w:t>
    </w:r>
    <w:r w:rsidR="0056419E" w:rsidRPr="00A040B0">
      <w:rPr>
        <w:b/>
        <w:szCs w:val="24"/>
      </w:rPr>
      <w:t>VK-202</w:t>
    </w:r>
    <w:r w:rsidR="00D03990">
      <w:rPr>
        <w:b/>
        <w:szCs w:val="24"/>
      </w:rPr>
      <w:t>5</w:t>
    </w:r>
    <w:r w:rsidR="0056419E" w:rsidRPr="00A040B0">
      <w:rPr>
        <w:b/>
        <w:szCs w:val="24"/>
      </w:rPr>
      <w:t>/</w:t>
    </w:r>
    <w:r w:rsidR="005B6A11" w:rsidRPr="00A040B0">
      <w:rPr>
        <w:b/>
        <w:szCs w:val="24"/>
      </w:rPr>
      <w:t>0</w:t>
    </w:r>
    <w:r w:rsidR="008A7F84">
      <w:rPr>
        <w:b/>
        <w:szCs w:val="24"/>
      </w:rPr>
      <w:t>556</w:t>
    </w:r>
  </w:p>
  <w:p w14:paraId="6EF33CD7" w14:textId="77777777" w:rsidR="008E25F7" w:rsidRPr="009840B1" w:rsidRDefault="008E25F7" w:rsidP="008E25F7">
    <w:pPr>
      <w:pStyle w:val="Standardnte"/>
      <w:pBdr>
        <w:bottom w:val="single" w:sz="6" w:space="1" w:color="auto"/>
      </w:pBdr>
      <w:tabs>
        <w:tab w:val="left" w:pos="828"/>
      </w:tabs>
      <w:rPr>
        <w:b/>
        <w:sz w:val="20"/>
      </w:rPr>
    </w:pPr>
  </w:p>
  <w:p w14:paraId="0471F3E7" w14:textId="77777777" w:rsidR="008E25F7" w:rsidRDefault="008E25F7" w:rsidP="008E25F7">
    <w:pPr>
      <w:pStyle w:val="Zhlav"/>
    </w:pPr>
  </w:p>
  <w:p w14:paraId="66D51424" w14:textId="77777777" w:rsidR="00696657" w:rsidRDefault="00696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F230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31D2"/>
    <w:multiLevelType w:val="hybridMultilevel"/>
    <w:tmpl w:val="C6E28076"/>
    <w:lvl w:ilvl="0" w:tplc="8DB00976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668CF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9" w15:restartNumberingAfterBreak="0">
    <w:nsid w:val="313C1955"/>
    <w:multiLevelType w:val="multilevel"/>
    <w:tmpl w:val="F2B6C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1F480E"/>
    <w:multiLevelType w:val="multilevel"/>
    <w:tmpl w:val="13B8B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4" w15:restartNumberingAfterBreak="0">
    <w:nsid w:val="3DD25093"/>
    <w:multiLevelType w:val="hybridMultilevel"/>
    <w:tmpl w:val="2CB0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FA2531"/>
    <w:multiLevelType w:val="multilevel"/>
    <w:tmpl w:val="E8A80B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497B42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05598452">
    <w:abstractNumId w:val="5"/>
  </w:num>
  <w:num w:numId="2" w16cid:durableId="698316234">
    <w:abstractNumId w:val="4"/>
  </w:num>
  <w:num w:numId="3" w16cid:durableId="1373265150">
    <w:abstractNumId w:val="24"/>
  </w:num>
  <w:num w:numId="4" w16cid:durableId="545988781">
    <w:abstractNumId w:val="16"/>
  </w:num>
  <w:num w:numId="5" w16cid:durableId="1376733193">
    <w:abstractNumId w:val="17"/>
  </w:num>
  <w:num w:numId="6" w16cid:durableId="514540911">
    <w:abstractNumId w:val="11"/>
  </w:num>
  <w:num w:numId="7" w16cid:durableId="313145699">
    <w:abstractNumId w:val="15"/>
  </w:num>
  <w:num w:numId="8" w16cid:durableId="1964651581">
    <w:abstractNumId w:val="12"/>
  </w:num>
  <w:num w:numId="9" w16cid:durableId="794982784">
    <w:abstractNumId w:val="18"/>
  </w:num>
  <w:num w:numId="10" w16cid:durableId="955058667">
    <w:abstractNumId w:val="23"/>
  </w:num>
  <w:num w:numId="11" w16cid:durableId="755637223">
    <w:abstractNumId w:val="20"/>
  </w:num>
  <w:num w:numId="12" w16cid:durableId="567881794">
    <w:abstractNumId w:val="21"/>
  </w:num>
  <w:num w:numId="13" w16cid:durableId="1725719059">
    <w:abstractNumId w:val="0"/>
  </w:num>
  <w:num w:numId="14" w16cid:durableId="1140851557">
    <w:abstractNumId w:val="1"/>
  </w:num>
  <w:num w:numId="15" w16cid:durableId="294650933">
    <w:abstractNumId w:val="6"/>
  </w:num>
  <w:num w:numId="16" w16cid:durableId="1812358535">
    <w:abstractNumId w:val="25"/>
  </w:num>
  <w:num w:numId="17" w16cid:durableId="1490755864">
    <w:abstractNumId w:val="2"/>
  </w:num>
  <w:num w:numId="18" w16cid:durableId="736515037">
    <w:abstractNumId w:val="8"/>
  </w:num>
  <w:num w:numId="19" w16cid:durableId="1860972783">
    <w:abstractNumId w:val="22"/>
  </w:num>
  <w:num w:numId="20" w16cid:durableId="35081989">
    <w:abstractNumId w:val="10"/>
  </w:num>
  <w:num w:numId="21" w16cid:durableId="1704671719">
    <w:abstractNumId w:val="3"/>
  </w:num>
  <w:num w:numId="22" w16cid:durableId="664631241">
    <w:abstractNumId w:val="14"/>
  </w:num>
  <w:num w:numId="23" w16cid:durableId="1776905991">
    <w:abstractNumId w:val="13"/>
  </w:num>
  <w:num w:numId="24" w16cid:durableId="1636719205">
    <w:abstractNumId w:val="9"/>
  </w:num>
  <w:num w:numId="25" w16cid:durableId="1031371511">
    <w:abstractNumId w:val="19"/>
  </w:num>
  <w:num w:numId="26" w16cid:durableId="273564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94E"/>
    <w:rsid w:val="000072F9"/>
    <w:rsid w:val="000429E0"/>
    <w:rsid w:val="00057357"/>
    <w:rsid w:val="00070FC5"/>
    <w:rsid w:val="00077069"/>
    <w:rsid w:val="0008622C"/>
    <w:rsid w:val="000875CA"/>
    <w:rsid w:val="00095D5F"/>
    <w:rsid w:val="000A4244"/>
    <w:rsid w:val="000B2A73"/>
    <w:rsid w:val="000C1C4B"/>
    <w:rsid w:val="000C2C21"/>
    <w:rsid w:val="000D3BBC"/>
    <w:rsid w:val="00116EE3"/>
    <w:rsid w:val="00133C53"/>
    <w:rsid w:val="001343B3"/>
    <w:rsid w:val="00137284"/>
    <w:rsid w:val="0015001D"/>
    <w:rsid w:val="001511D4"/>
    <w:rsid w:val="00160597"/>
    <w:rsid w:val="00162EE7"/>
    <w:rsid w:val="00165432"/>
    <w:rsid w:val="001728FE"/>
    <w:rsid w:val="00180279"/>
    <w:rsid w:val="00181741"/>
    <w:rsid w:val="0018582F"/>
    <w:rsid w:val="00185FF3"/>
    <w:rsid w:val="00194F96"/>
    <w:rsid w:val="00195B8E"/>
    <w:rsid w:val="001B292C"/>
    <w:rsid w:val="001B4F34"/>
    <w:rsid w:val="001C5483"/>
    <w:rsid w:val="001C7805"/>
    <w:rsid w:val="001E01CF"/>
    <w:rsid w:val="0021251D"/>
    <w:rsid w:val="00212A18"/>
    <w:rsid w:val="002205BA"/>
    <w:rsid w:val="00223468"/>
    <w:rsid w:val="00223A91"/>
    <w:rsid w:val="00242ABF"/>
    <w:rsid w:val="00253316"/>
    <w:rsid w:val="00254043"/>
    <w:rsid w:val="002540B6"/>
    <w:rsid w:val="002634D7"/>
    <w:rsid w:val="00270673"/>
    <w:rsid w:val="0027109D"/>
    <w:rsid w:val="002841AD"/>
    <w:rsid w:val="0028487C"/>
    <w:rsid w:val="00285BEE"/>
    <w:rsid w:val="00294D2D"/>
    <w:rsid w:val="002B416D"/>
    <w:rsid w:val="002C07CA"/>
    <w:rsid w:val="002C0D53"/>
    <w:rsid w:val="002C4047"/>
    <w:rsid w:val="002D0E35"/>
    <w:rsid w:val="002D4531"/>
    <w:rsid w:val="002D631D"/>
    <w:rsid w:val="002D6A26"/>
    <w:rsid w:val="002D6AF0"/>
    <w:rsid w:val="002D7D44"/>
    <w:rsid w:val="002D7F83"/>
    <w:rsid w:val="002E3964"/>
    <w:rsid w:val="002E5A49"/>
    <w:rsid w:val="002F0355"/>
    <w:rsid w:val="002F3B3B"/>
    <w:rsid w:val="00300B92"/>
    <w:rsid w:val="00315236"/>
    <w:rsid w:val="0034673E"/>
    <w:rsid w:val="003616AD"/>
    <w:rsid w:val="00376F7E"/>
    <w:rsid w:val="0039295F"/>
    <w:rsid w:val="00393E7A"/>
    <w:rsid w:val="003A3239"/>
    <w:rsid w:val="003A3B1C"/>
    <w:rsid w:val="003B5AF4"/>
    <w:rsid w:val="003C0D6C"/>
    <w:rsid w:val="003E697D"/>
    <w:rsid w:val="003F003D"/>
    <w:rsid w:val="003F152D"/>
    <w:rsid w:val="00402C1E"/>
    <w:rsid w:val="0040788F"/>
    <w:rsid w:val="004367C9"/>
    <w:rsid w:val="00442069"/>
    <w:rsid w:val="00445825"/>
    <w:rsid w:val="00464BCB"/>
    <w:rsid w:val="0047304D"/>
    <w:rsid w:val="00496AE6"/>
    <w:rsid w:val="004A5D67"/>
    <w:rsid w:val="004A7BD4"/>
    <w:rsid w:val="004B7F17"/>
    <w:rsid w:val="004E2010"/>
    <w:rsid w:val="004E6D51"/>
    <w:rsid w:val="004F24B2"/>
    <w:rsid w:val="004F2671"/>
    <w:rsid w:val="004F28F4"/>
    <w:rsid w:val="00503E60"/>
    <w:rsid w:val="005113E2"/>
    <w:rsid w:val="0051205D"/>
    <w:rsid w:val="00512E87"/>
    <w:rsid w:val="005165C4"/>
    <w:rsid w:val="00545F74"/>
    <w:rsid w:val="00560A94"/>
    <w:rsid w:val="00561371"/>
    <w:rsid w:val="0056419E"/>
    <w:rsid w:val="00571561"/>
    <w:rsid w:val="00573533"/>
    <w:rsid w:val="00581A47"/>
    <w:rsid w:val="005847A4"/>
    <w:rsid w:val="00586534"/>
    <w:rsid w:val="005A1AD6"/>
    <w:rsid w:val="005A332C"/>
    <w:rsid w:val="005B630F"/>
    <w:rsid w:val="005B6A11"/>
    <w:rsid w:val="005B6DBF"/>
    <w:rsid w:val="005C1625"/>
    <w:rsid w:val="005D076B"/>
    <w:rsid w:val="005D4CBC"/>
    <w:rsid w:val="005E40FF"/>
    <w:rsid w:val="005F35D8"/>
    <w:rsid w:val="005F5789"/>
    <w:rsid w:val="0060033C"/>
    <w:rsid w:val="00600712"/>
    <w:rsid w:val="00601B30"/>
    <w:rsid w:val="00606204"/>
    <w:rsid w:val="006126BC"/>
    <w:rsid w:val="00613B34"/>
    <w:rsid w:val="00615C9E"/>
    <w:rsid w:val="006276D8"/>
    <w:rsid w:val="00644B44"/>
    <w:rsid w:val="00671DE0"/>
    <w:rsid w:val="006831B2"/>
    <w:rsid w:val="006961EB"/>
    <w:rsid w:val="00696657"/>
    <w:rsid w:val="006A6E62"/>
    <w:rsid w:val="006B4BC9"/>
    <w:rsid w:val="006B5B28"/>
    <w:rsid w:val="006C17E5"/>
    <w:rsid w:val="006D5E3C"/>
    <w:rsid w:val="006E496B"/>
    <w:rsid w:val="006E7F99"/>
    <w:rsid w:val="007051FF"/>
    <w:rsid w:val="00720D1E"/>
    <w:rsid w:val="007429A9"/>
    <w:rsid w:val="00746183"/>
    <w:rsid w:val="00747B44"/>
    <w:rsid w:val="00754B7F"/>
    <w:rsid w:val="00755769"/>
    <w:rsid w:val="00757A95"/>
    <w:rsid w:val="0077166A"/>
    <w:rsid w:val="00776367"/>
    <w:rsid w:val="00790603"/>
    <w:rsid w:val="0079714A"/>
    <w:rsid w:val="007973C1"/>
    <w:rsid w:val="007A3E05"/>
    <w:rsid w:val="007A4901"/>
    <w:rsid w:val="007A5B2B"/>
    <w:rsid w:val="007B071E"/>
    <w:rsid w:val="007B1DD1"/>
    <w:rsid w:val="007C2D0E"/>
    <w:rsid w:val="007D6A11"/>
    <w:rsid w:val="007E5702"/>
    <w:rsid w:val="007F3028"/>
    <w:rsid w:val="007F3360"/>
    <w:rsid w:val="007F4F6F"/>
    <w:rsid w:val="00801156"/>
    <w:rsid w:val="0083431C"/>
    <w:rsid w:val="00840037"/>
    <w:rsid w:val="00846386"/>
    <w:rsid w:val="00860143"/>
    <w:rsid w:val="008663DC"/>
    <w:rsid w:val="008676A3"/>
    <w:rsid w:val="00876EB8"/>
    <w:rsid w:val="00884653"/>
    <w:rsid w:val="00891D4A"/>
    <w:rsid w:val="00895A2D"/>
    <w:rsid w:val="008A435F"/>
    <w:rsid w:val="008A7F84"/>
    <w:rsid w:val="008C315E"/>
    <w:rsid w:val="008C671E"/>
    <w:rsid w:val="008D3616"/>
    <w:rsid w:val="008D3AEB"/>
    <w:rsid w:val="008D48DE"/>
    <w:rsid w:val="008E25F7"/>
    <w:rsid w:val="008E2DF3"/>
    <w:rsid w:val="0091186E"/>
    <w:rsid w:val="0092092F"/>
    <w:rsid w:val="0093117D"/>
    <w:rsid w:val="00933DCE"/>
    <w:rsid w:val="0093676D"/>
    <w:rsid w:val="00957A8C"/>
    <w:rsid w:val="00957DA2"/>
    <w:rsid w:val="00973579"/>
    <w:rsid w:val="009809A0"/>
    <w:rsid w:val="00980C6E"/>
    <w:rsid w:val="009840B1"/>
    <w:rsid w:val="00986982"/>
    <w:rsid w:val="009A246B"/>
    <w:rsid w:val="009D5B96"/>
    <w:rsid w:val="009D5E23"/>
    <w:rsid w:val="009E53ED"/>
    <w:rsid w:val="009E5761"/>
    <w:rsid w:val="009E5E66"/>
    <w:rsid w:val="009F1CBA"/>
    <w:rsid w:val="00A02451"/>
    <w:rsid w:val="00A040B0"/>
    <w:rsid w:val="00A068F6"/>
    <w:rsid w:val="00A11111"/>
    <w:rsid w:val="00A11C19"/>
    <w:rsid w:val="00A2682D"/>
    <w:rsid w:val="00A27D41"/>
    <w:rsid w:val="00A419F1"/>
    <w:rsid w:val="00A52585"/>
    <w:rsid w:val="00A711F4"/>
    <w:rsid w:val="00A716D9"/>
    <w:rsid w:val="00A91B0A"/>
    <w:rsid w:val="00A97714"/>
    <w:rsid w:val="00AA1111"/>
    <w:rsid w:val="00AA2944"/>
    <w:rsid w:val="00AB26CF"/>
    <w:rsid w:val="00AB2F29"/>
    <w:rsid w:val="00AE5008"/>
    <w:rsid w:val="00AF7414"/>
    <w:rsid w:val="00B02DD5"/>
    <w:rsid w:val="00B0332E"/>
    <w:rsid w:val="00B136A5"/>
    <w:rsid w:val="00B205C3"/>
    <w:rsid w:val="00B46475"/>
    <w:rsid w:val="00B542A7"/>
    <w:rsid w:val="00B606BC"/>
    <w:rsid w:val="00B67789"/>
    <w:rsid w:val="00B75474"/>
    <w:rsid w:val="00B778B7"/>
    <w:rsid w:val="00B81EAA"/>
    <w:rsid w:val="00B83766"/>
    <w:rsid w:val="00B85D3C"/>
    <w:rsid w:val="00B94E61"/>
    <w:rsid w:val="00B976A7"/>
    <w:rsid w:val="00BB25CC"/>
    <w:rsid w:val="00BB61F9"/>
    <w:rsid w:val="00BC2909"/>
    <w:rsid w:val="00BD178D"/>
    <w:rsid w:val="00BD6EC8"/>
    <w:rsid w:val="00C0474A"/>
    <w:rsid w:val="00C13BD6"/>
    <w:rsid w:val="00C161C7"/>
    <w:rsid w:val="00C2464F"/>
    <w:rsid w:val="00C26EF8"/>
    <w:rsid w:val="00C374AC"/>
    <w:rsid w:val="00C40A31"/>
    <w:rsid w:val="00C533BC"/>
    <w:rsid w:val="00C64D37"/>
    <w:rsid w:val="00C777C6"/>
    <w:rsid w:val="00CA1790"/>
    <w:rsid w:val="00CA1D2E"/>
    <w:rsid w:val="00CB270E"/>
    <w:rsid w:val="00CB3D92"/>
    <w:rsid w:val="00CD260C"/>
    <w:rsid w:val="00CD31E6"/>
    <w:rsid w:val="00CE28C3"/>
    <w:rsid w:val="00CE3B36"/>
    <w:rsid w:val="00CF04EA"/>
    <w:rsid w:val="00CF52C6"/>
    <w:rsid w:val="00D03990"/>
    <w:rsid w:val="00D069EF"/>
    <w:rsid w:val="00D12173"/>
    <w:rsid w:val="00D219E8"/>
    <w:rsid w:val="00D22638"/>
    <w:rsid w:val="00D64E3C"/>
    <w:rsid w:val="00D65C53"/>
    <w:rsid w:val="00D74910"/>
    <w:rsid w:val="00D833C5"/>
    <w:rsid w:val="00D8514C"/>
    <w:rsid w:val="00D86542"/>
    <w:rsid w:val="00D87F7B"/>
    <w:rsid w:val="00D90ECE"/>
    <w:rsid w:val="00DA30EF"/>
    <w:rsid w:val="00DA37A7"/>
    <w:rsid w:val="00DA6447"/>
    <w:rsid w:val="00DB70FB"/>
    <w:rsid w:val="00DB7F02"/>
    <w:rsid w:val="00DD5A4D"/>
    <w:rsid w:val="00E02A4C"/>
    <w:rsid w:val="00E04998"/>
    <w:rsid w:val="00E054BE"/>
    <w:rsid w:val="00E076C1"/>
    <w:rsid w:val="00E07770"/>
    <w:rsid w:val="00E227DF"/>
    <w:rsid w:val="00E22DCD"/>
    <w:rsid w:val="00E65257"/>
    <w:rsid w:val="00E6544E"/>
    <w:rsid w:val="00E73B69"/>
    <w:rsid w:val="00E90607"/>
    <w:rsid w:val="00EB0EF6"/>
    <w:rsid w:val="00EC7CF3"/>
    <w:rsid w:val="00ED0467"/>
    <w:rsid w:val="00ED704E"/>
    <w:rsid w:val="00EE1C52"/>
    <w:rsid w:val="00EE4E7E"/>
    <w:rsid w:val="00EF3D86"/>
    <w:rsid w:val="00F070A4"/>
    <w:rsid w:val="00F16B3B"/>
    <w:rsid w:val="00F368DB"/>
    <w:rsid w:val="00F378A7"/>
    <w:rsid w:val="00F4195E"/>
    <w:rsid w:val="00F74174"/>
    <w:rsid w:val="00F81222"/>
    <w:rsid w:val="00F94EBC"/>
    <w:rsid w:val="00FA3F7A"/>
    <w:rsid w:val="00FB23AE"/>
    <w:rsid w:val="00FB698A"/>
    <w:rsid w:val="00FC3BE7"/>
    <w:rsid w:val="00FF6DB0"/>
    <w:rsid w:val="7470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nte">
    <w:name w:val="Standardní te"/>
    <w:rsid w:val="0069665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7973C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3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78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789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C4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03D51-F2D7-4C96-BB32-F777DDEDB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C791A-638B-467D-AC1E-FA1F32655D2D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7A590CF5-2236-456B-BA9F-103423695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4A833-3347-458A-BD3B-77599A646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4</cp:revision>
  <cp:lastPrinted>2021-02-09T14:51:00Z</cp:lastPrinted>
  <dcterms:created xsi:type="dcterms:W3CDTF">2025-11-21T10:56:00Z</dcterms:created>
  <dcterms:modified xsi:type="dcterms:W3CDTF">2025-11-21T11:53:00Z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