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0701" w14:textId="77777777"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14:paraId="67D2740C" w14:textId="77777777" w:rsidR="007835B6" w:rsidRPr="006F6BBE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0FBAE387" w14:textId="59C0ED61" w:rsidR="008750FC" w:rsidRPr="00E607C2" w:rsidRDefault="00072D6C" w:rsidP="008750FC">
      <w:pPr>
        <w:pStyle w:val="Zhlav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Termokamera</w:t>
      </w:r>
      <w:r w:rsidR="00D256E5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FLIR</w:t>
      </w:r>
    </w:p>
    <w:p w14:paraId="0FB76C7E" w14:textId="77777777" w:rsidR="007835B6" w:rsidRPr="00DA7E4F" w:rsidRDefault="007835B6" w:rsidP="008750FC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0AC9C4F7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7995EB21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947"/>
        <w:gridCol w:w="649"/>
        <w:gridCol w:w="578"/>
        <w:gridCol w:w="1372"/>
        <w:gridCol w:w="704"/>
        <w:gridCol w:w="419"/>
        <w:gridCol w:w="846"/>
        <w:gridCol w:w="917"/>
      </w:tblGrid>
      <w:tr w:rsidR="00EC5DDC" w:rsidRPr="006F6BBE" w14:paraId="2B41CB4E" w14:textId="77777777" w:rsidTr="00E95D58">
        <w:trPr>
          <w:trHeight w:val="434"/>
        </w:trPr>
        <w:tc>
          <w:tcPr>
            <w:tcW w:w="1384" w:type="dxa"/>
            <w:vAlign w:val="center"/>
          </w:tcPr>
          <w:p w14:paraId="076A420F" w14:textId="77777777" w:rsidR="00EC5DDC" w:rsidRPr="006F6BBE" w:rsidRDefault="00EC5DDC" w:rsidP="00E95D5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1274F0AD" w14:textId="35980E7C" w:rsidR="00EC5DDC" w:rsidRPr="006F6BBE" w:rsidRDefault="00072D6C" w:rsidP="00E95D58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W-Technika group s.r.o.</w:t>
            </w:r>
          </w:p>
        </w:tc>
      </w:tr>
      <w:tr w:rsidR="00EC5DDC" w:rsidRPr="006F6BBE" w14:paraId="54A727A3" w14:textId="77777777" w:rsidTr="00E95D58">
        <w:tc>
          <w:tcPr>
            <w:tcW w:w="1384" w:type="dxa"/>
            <w:vAlign w:val="center"/>
          </w:tcPr>
          <w:p w14:paraId="16213A7E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13CDAE5F" w14:textId="65B5AC05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Okraji 335/42, 162 00 Praha 6</w:t>
            </w:r>
          </w:p>
        </w:tc>
      </w:tr>
      <w:tr w:rsidR="00EC5DDC" w:rsidRPr="006F6BBE" w14:paraId="43BFAC2B" w14:textId="77777777" w:rsidTr="00E95D58">
        <w:tc>
          <w:tcPr>
            <w:tcW w:w="1384" w:type="dxa"/>
            <w:vAlign w:val="center"/>
          </w:tcPr>
          <w:p w14:paraId="2BA869BD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76ED431C" w14:textId="00CE4D92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03758826</w:t>
            </w:r>
          </w:p>
        </w:tc>
        <w:tc>
          <w:tcPr>
            <w:tcW w:w="578" w:type="dxa"/>
            <w:vAlign w:val="center"/>
          </w:tcPr>
          <w:p w14:paraId="07348602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05059F5F" w14:textId="5AA30283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</w:t>
            </w:r>
            <w:r w:rsidR="00072D6C">
              <w:rPr>
                <w:rFonts w:ascii="Arial" w:hAnsi="Arial" w:cs="Arial"/>
                <w:sz w:val="21"/>
                <w:szCs w:val="21"/>
              </w:rPr>
              <w:t>03758826</w:t>
            </w:r>
          </w:p>
        </w:tc>
      </w:tr>
      <w:tr w:rsidR="00072D6C" w:rsidRPr="006F6BBE" w14:paraId="197C42F4" w14:textId="77777777" w:rsidTr="00E95D58">
        <w:tc>
          <w:tcPr>
            <w:tcW w:w="1384" w:type="dxa"/>
            <w:vAlign w:val="center"/>
          </w:tcPr>
          <w:p w14:paraId="2B3CD15A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zapsaná u</w:t>
            </w:r>
          </w:p>
        </w:tc>
        <w:tc>
          <w:tcPr>
            <w:tcW w:w="1286" w:type="dxa"/>
            <w:vAlign w:val="center"/>
          </w:tcPr>
          <w:p w14:paraId="57383A78" w14:textId="38EDD254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Městského</w:t>
            </w:r>
          </w:p>
        </w:tc>
        <w:tc>
          <w:tcPr>
            <w:tcW w:w="969" w:type="dxa"/>
            <w:vAlign w:val="center"/>
          </w:tcPr>
          <w:p w14:paraId="2327E018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4BCCABAB" w14:textId="1CB43226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Praze</w:t>
            </w:r>
          </w:p>
        </w:tc>
        <w:tc>
          <w:tcPr>
            <w:tcW w:w="708" w:type="dxa"/>
            <w:vAlign w:val="center"/>
          </w:tcPr>
          <w:p w14:paraId="05E2ACBF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6409C4E5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</w:p>
        </w:tc>
        <w:tc>
          <w:tcPr>
            <w:tcW w:w="851" w:type="dxa"/>
            <w:vAlign w:val="center"/>
          </w:tcPr>
          <w:p w14:paraId="65D37728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7C8F1DEF" w14:textId="7DDF4CE1" w:rsidR="00EC5DDC" w:rsidRPr="006F6BBE" w:rsidRDefault="00072D6C" w:rsidP="00E95D58">
            <w:pPr>
              <w:pStyle w:val="Zkladntext"/>
              <w:suppressAutoHyphens/>
              <w:spacing w:before="0" w:after="0" w:line="240" w:lineRule="atLeast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236455</w:t>
            </w:r>
          </w:p>
        </w:tc>
      </w:tr>
      <w:tr w:rsidR="00EC5DDC" w:rsidRPr="006F6BBE" w14:paraId="7A2B612C" w14:textId="77777777" w:rsidTr="00E95D58">
        <w:tc>
          <w:tcPr>
            <w:tcW w:w="1384" w:type="dxa"/>
            <w:vAlign w:val="center"/>
          </w:tcPr>
          <w:p w14:paraId="4F21381F" w14:textId="77777777" w:rsidR="00EC5DDC" w:rsidRPr="006F6BBE" w:rsidRDefault="00EC5DDC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4872E0EB" w14:textId="7A1020ED" w:rsidR="00EC5DDC" w:rsidRPr="006F6BBE" w:rsidRDefault="00295E66" w:rsidP="00E95D58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Adamem Švestkou</w:t>
            </w:r>
            <w:r w:rsidR="00370F7A">
              <w:rPr>
                <w:rFonts w:ascii="Arial" w:hAnsi="Arial" w:cs="Arial"/>
                <w:sz w:val="21"/>
                <w:szCs w:val="21"/>
              </w:rPr>
              <w:t xml:space="preserve">, MBA, </w:t>
            </w:r>
            <w:proofErr w:type="spellStart"/>
            <w:r w:rsidR="00370F7A">
              <w:rPr>
                <w:rFonts w:ascii="Arial" w:hAnsi="Arial" w:cs="Arial"/>
                <w:sz w:val="21"/>
                <w:szCs w:val="21"/>
              </w:rPr>
              <w:t>MSc</w:t>
            </w:r>
            <w:proofErr w:type="spellEnd"/>
            <w:r w:rsidR="00370F7A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(zástupce jednatele na základě plné moci)</w:t>
            </w:r>
          </w:p>
        </w:tc>
      </w:tr>
    </w:tbl>
    <w:p w14:paraId="6D3BD1F6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2AF2C9AC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3F2F9657" w14:textId="77777777" w:rsidR="00083DC0" w:rsidRDefault="00083DC0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1FA74CB1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4FF66AA9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7035E7E8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5F0EA5AB" w14:textId="77777777" w:rsidR="007835B6" w:rsidRPr="006F6BBE" w:rsidRDefault="000B3BEE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0D1E4199" w14:textId="77777777" w:rsidTr="003B0B43">
        <w:tc>
          <w:tcPr>
            <w:tcW w:w="1384" w:type="dxa"/>
            <w:vAlign w:val="center"/>
          </w:tcPr>
          <w:p w14:paraId="3B66B18F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6DB67E75" w14:textId="77777777" w:rsidR="007835B6" w:rsidRPr="006F6BBE" w:rsidRDefault="009B449A" w:rsidP="000B3BE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Bělidla 986/</w:t>
            </w:r>
            <w:proofErr w:type="gramStart"/>
            <w:r w:rsidRPr="006F6BBE">
              <w:rPr>
                <w:rFonts w:ascii="Arial" w:hAnsi="Arial" w:cs="Arial"/>
                <w:sz w:val="21"/>
                <w:szCs w:val="21"/>
              </w:rPr>
              <w:t>4a</w:t>
            </w:r>
            <w:proofErr w:type="gramEnd"/>
            <w:r w:rsidRPr="006F6BBE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gramStart"/>
            <w:r w:rsidR="000B3BEE">
              <w:rPr>
                <w:rFonts w:ascii="Arial" w:hAnsi="Arial" w:cs="Arial"/>
                <w:sz w:val="21"/>
                <w:szCs w:val="21"/>
              </w:rPr>
              <w:t>603  00</w:t>
            </w:r>
            <w:proofErr w:type="gramEnd"/>
            <w:r w:rsidR="000B3BEE">
              <w:rPr>
                <w:rFonts w:ascii="Arial" w:hAnsi="Arial" w:cs="Arial"/>
                <w:sz w:val="21"/>
                <w:szCs w:val="21"/>
              </w:rPr>
              <w:t xml:space="preserve"> Brno</w:t>
            </w:r>
          </w:p>
        </w:tc>
      </w:tr>
      <w:tr w:rsidR="007835B6" w:rsidRPr="006F6BBE" w14:paraId="3A5601F2" w14:textId="77777777" w:rsidTr="003B0B43">
        <w:tc>
          <w:tcPr>
            <w:tcW w:w="1384" w:type="dxa"/>
            <w:vAlign w:val="center"/>
          </w:tcPr>
          <w:p w14:paraId="5CC73E0E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2A4971F" w14:textId="77777777" w:rsidR="007835B6" w:rsidRPr="006F6BBE" w:rsidRDefault="000B3BEE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5F4659A6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28EA29E5" w14:textId="77777777" w:rsidR="007835B6" w:rsidRPr="006F6BBE" w:rsidRDefault="000B3BEE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CZ86652079</w:t>
            </w:r>
          </w:p>
        </w:tc>
      </w:tr>
      <w:tr w:rsidR="009B449A" w:rsidRPr="006F6BBE" w14:paraId="60EEE5A2" w14:textId="77777777" w:rsidTr="003B0B43">
        <w:tc>
          <w:tcPr>
            <w:tcW w:w="1384" w:type="dxa"/>
            <w:vAlign w:val="center"/>
          </w:tcPr>
          <w:p w14:paraId="10956CE5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4F7F47B6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7835B6" w:rsidRPr="006F6BBE" w14:paraId="1C2BFBFE" w14:textId="77777777" w:rsidTr="003B0B43">
        <w:tc>
          <w:tcPr>
            <w:tcW w:w="1384" w:type="dxa"/>
            <w:vAlign w:val="center"/>
          </w:tcPr>
          <w:p w14:paraId="47EC73DC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55258A00" w14:textId="77777777" w:rsidR="007835B6" w:rsidRPr="006F6BBE" w:rsidRDefault="00420C0B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420C0B">
              <w:rPr>
                <w:rFonts w:ascii="Arial" w:hAnsi="Arial" w:cs="Arial"/>
                <w:sz w:val="21"/>
                <w:szCs w:val="21"/>
              </w:rPr>
              <w:t xml:space="preserve">prof. </w:t>
            </w:r>
            <w:r>
              <w:rPr>
                <w:rFonts w:ascii="Arial" w:hAnsi="Arial" w:cs="Arial"/>
                <w:sz w:val="21"/>
                <w:szCs w:val="21"/>
              </w:rPr>
              <w:t>RNDr. Ing. Michalem V. Markem, DrSc., dr. h. c., ředitelem</w:t>
            </w:r>
          </w:p>
        </w:tc>
      </w:tr>
    </w:tbl>
    <w:p w14:paraId="5E6EF88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6240D776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6C96BF34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420C0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F200CC">
        <w:rPr>
          <w:rFonts w:cs="Arial"/>
          <w:b/>
          <w:smallCaps/>
          <w:spacing w:val="32"/>
          <w:sz w:val="21"/>
          <w:szCs w:val="21"/>
        </w:rPr>
        <w:t>smlouvy</w:t>
      </w:r>
    </w:p>
    <w:p w14:paraId="6E3218F6" w14:textId="77777777" w:rsidR="008E31F1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se zavazuje, že kupujícímu odevzd</w:t>
      </w:r>
      <w:r w:rsidR="00625CAB">
        <w:rPr>
          <w:rFonts w:cs="Arial"/>
          <w:sz w:val="21"/>
          <w:szCs w:val="21"/>
        </w:rPr>
        <w:t>á věc, která je předmětem koupě</w:t>
      </w:r>
      <w:r w:rsidRPr="006F6BBE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</w:r>
      <w:r w:rsidRPr="00415B70">
        <w:rPr>
          <w:rFonts w:cs="Arial"/>
          <w:sz w:val="21"/>
          <w:szCs w:val="21"/>
        </w:rPr>
        <w:t>a zaplatí prodávajícímu kupní cenu.</w:t>
      </w:r>
    </w:p>
    <w:p w14:paraId="12F484F0" w14:textId="77777777" w:rsidR="00DA7E4F" w:rsidRDefault="00625CAB" w:rsidP="00241F24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343457">
        <w:rPr>
          <w:rFonts w:cs="Arial"/>
          <w:sz w:val="21"/>
          <w:szCs w:val="21"/>
        </w:rPr>
        <w:t>Prodávající se rovněž zavazuje odevzdat kupujícímu dok</w:t>
      </w:r>
      <w:r w:rsidR="00343457" w:rsidRPr="00343457">
        <w:rPr>
          <w:rFonts w:cs="Arial"/>
          <w:sz w:val="21"/>
          <w:szCs w:val="21"/>
        </w:rPr>
        <w:t>lady, které se k věci vztahují.</w:t>
      </w:r>
    </w:p>
    <w:p w14:paraId="1B2BD2A7" w14:textId="77777777" w:rsidR="00045A34" w:rsidRPr="006F6BBE" w:rsidRDefault="00045A34" w:rsidP="00DE5A99">
      <w:pPr>
        <w:rPr>
          <w:rFonts w:cs="Arial"/>
          <w:sz w:val="21"/>
          <w:szCs w:val="21"/>
        </w:rPr>
      </w:pPr>
    </w:p>
    <w:p w14:paraId="7B3D1453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7141B52D" w14:textId="72EA0FF4" w:rsidR="00676188" w:rsidRPr="00806873" w:rsidRDefault="00241F24" w:rsidP="008750FC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sz w:val="21"/>
          <w:szCs w:val="21"/>
        </w:rPr>
        <w:t>Předmětem koupě je</w:t>
      </w:r>
      <w:r w:rsidR="004A0820">
        <w:rPr>
          <w:sz w:val="21"/>
          <w:szCs w:val="21"/>
        </w:rPr>
        <w:t xml:space="preserve"> </w:t>
      </w:r>
      <w:r w:rsidR="00072D6C">
        <w:rPr>
          <w:sz w:val="21"/>
          <w:szCs w:val="21"/>
        </w:rPr>
        <w:t>termokamera FLIR E76-42</w:t>
      </w:r>
      <w:r w:rsidR="00C72346">
        <w:rPr>
          <w:sz w:val="21"/>
          <w:szCs w:val="21"/>
        </w:rPr>
        <w:t>.</w:t>
      </w:r>
    </w:p>
    <w:p w14:paraId="00D07750" w14:textId="77777777" w:rsidR="00DE5A99" w:rsidRPr="00F26D33" w:rsidRDefault="00DE5A99" w:rsidP="003D620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</w:t>
      </w:r>
      <w:r w:rsidRPr="00F26D33">
        <w:rPr>
          <w:rFonts w:cs="Arial"/>
          <w:sz w:val="21"/>
          <w:szCs w:val="21"/>
        </w:rPr>
        <w:t xml:space="preserve">koupě bude </w:t>
      </w:r>
      <w:r w:rsidR="002F5DC3" w:rsidRPr="00F26D33">
        <w:rPr>
          <w:rFonts w:cs="Arial"/>
          <w:sz w:val="21"/>
          <w:szCs w:val="21"/>
        </w:rPr>
        <w:t>odevzdán v souladu s následujícími po</w:t>
      </w:r>
      <w:r w:rsidR="005579B0" w:rsidRPr="00F26D33">
        <w:rPr>
          <w:rFonts w:cs="Arial"/>
          <w:sz w:val="21"/>
          <w:szCs w:val="21"/>
        </w:rPr>
        <w:t>d</w:t>
      </w:r>
      <w:r w:rsidR="002F5DC3" w:rsidRPr="00F26D33">
        <w:rPr>
          <w:rFonts w:cs="Arial"/>
          <w:sz w:val="21"/>
          <w:szCs w:val="21"/>
        </w:rPr>
        <w:t xml:space="preserve">klady </w:t>
      </w:r>
      <w:r w:rsidRPr="00F26D33">
        <w:rPr>
          <w:rFonts w:cs="Arial"/>
          <w:sz w:val="21"/>
          <w:szCs w:val="21"/>
        </w:rPr>
        <w:t>(řazena dle závaznosti):</w:t>
      </w:r>
    </w:p>
    <w:p w14:paraId="587DE432" w14:textId="77777777" w:rsidR="00DE5A99" w:rsidRPr="00F26D33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Touto smlouvou.</w:t>
      </w:r>
    </w:p>
    <w:p w14:paraId="70A82B7A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Písemnými</w:t>
      </w:r>
      <w:r w:rsidRPr="006F6BBE">
        <w:rPr>
          <w:rFonts w:cs="Arial"/>
          <w:sz w:val="21"/>
          <w:szCs w:val="21"/>
        </w:rPr>
        <w:t xml:space="preserve"> pokyny kupujícího.</w:t>
      </w:r>
    </w:p>
    <w:p w14:paraId="7E98E06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Technickými normami vztahujícími se k materiálům a činnostem prov</w:t>
      </w:r>
      <w:r w:rsidR="00F200CC">
        <w:rPr>
          <w:rFonts w:cs="Arial"/>
          <w:sz w:val="21"/>
          <w:szCs w:val="21"/>
        </w:rPr>
        <w:t>áděných na základě této smlouvy.</w:t>
      </w:r>
    </w:p>
    <w:p w14:paraId="49E5BDA3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0DA8F78D" w14:textId="77777777" w:rsidR="002F5DC3" w:rsidRPr="00F26D33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Certifikáty a </w:t>
      </w:r>
      <w:r w:rsidRPr="00F26D33">
        <w:rPr>
          <w:rFonts w:cs="Arial"/>
          <w:sz w:val="21"/>
          <w:szCs w:val="21"/>
        </w:rPr>
        <w:t>prohlášení o shodě použitých materiálů a výrobků.</w:t>
      </w:r>
    </w:p>
    <w:p w14:paraId="262D8DD4" w14:textId="77777777" w:rsidR="002F5DC3" w:rsidRPr="00F26D33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Podrobné návody nebo příručky či manuály k použití předmětu koupě.</w:t>
      </w:r>
    </w:p>
    <w:p w14:paraId="3CA6BAEF" w14:textId="77777777" w:rsidR="002F5DC3" w:rsidRPr="00F26D33" w:rsidRDefault="002F5DC3" w:rsidP="00F26D3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Podrobné návody nebo příručky či manuály k údržbě předmětu koupě.</w:t>
      </w:r>
    </w:p>
    <w:p w14:paraId="635E3026" w14:textId="77777777" w:rsidR="0090102A" w:rsidRDefault="002F5DC3" w:rsidP="00241F24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F26D33">
        <w:rPr>
          <w:rFonts w:cs="Arial"/>
          <w:sz w:val="21"/>
          <w:szCs w:val="21"/>
        </w:rPr>
        <w:t>Doklady budou vyhotoveny v českém nebo anglickém</w:t>
      </w:r>
      <w:r w:rsidR="00792B2A" w:rsidRPr="00F26D33">
        <w:rPr>
          <w:rFonts w:cs="Arial"/>
          <w:sz w:val="21"/>
          <w:szCs w:val="21"/>
        </w:rPr>
        <w:t xml:space="preserve"> jazyce</w:t>
      </w:r>
      <w:r w:rsidRPr="006F6BBE">
        <w:rPr>
          <w:rFonts w:cs="Arial"/>
          <w:sz w:val="21"/>
          <w:szCs w:val="21"/>
        </w:rPr>
        <w:t>.</w:t>
      </w:r>
    </w:p>
    <w:p w14:paraId="2F6A0D07" w14:textId="77777777" w:rsidR="00045A34" w:rsidRPr="006F6BBE" w:rsidRDefault="00045A34" w:rsidP="00DE5A99">
      <w:pPr>
        <w:rPr>
          <w:rFonts w:cs="Arial"/>
          <w:sz w:val="21"/>
          <w:szCs w:val="21"/>
        </w:rPr>
      </w:pPr>
    </w:p>
    <w:p w14:paraId="12829C9D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37BEE90F" w14:textId="50CBF26C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Pr="006F6BBE">
        <w:rPr>
          <w:rFonts w:cs="Arial"/>
          <w:sz w:val="21"/>
          <w:szCs w:val="21"/>
        </w:rPr>
        <w:t xml:space="preserve"> nejpozději </w:t>
      </w:r>
      <w:r w:rsidRPr="00FB3859">
        <w:rPr>
          <w:rFonts w:cs="Arial"/>
          <w:b/>
          <w:sz w:val="21"/>
          <w:szCs w:val="21"/>
        </w:rPr>
        <w:t>do</w:t>
      </w:r>
      <w:r w:rsidRPr="006F6BBE">
        <w:rPr>
          <w:rFonts w:cs="Arial"/>
          <w:sz w:val="21"/>
          <w:szCs w:val="21"/>
        </w:rPr>
        <w:t xml:space="preserve"> </w:t>
      </w:r>
      <w:r w:rsidR="00E607C2">
        <w:rPr>
          <w:rFonts w:cs="Arial"/>
          <w:b/>
          <w:sz w:val="21"/>
          <w:szCs w:val="21"/>
        </w:rPr>
        <w:t>1</w:t>
      </w:r>
      <w:r w:rsidR="00C72346">
        <w:rPr>
          <w:rFonts w:cs="Arial"/>
          <w:b/>
          <w:sz w:val="21"/>
          <w:szCs w:val="21"/>
        </w:rPr>
        <w:t>5</w:t>
      </w:r>
      <w:r w:rsidR="008750FC">
        <w:rPr>
          <w:rFonts w:cs="Arial"/>
          <w:b/>
          <w:sz w:val="21"/>
          <w:szCs w:val="21"/>
        </w:rPr>
        <w:t>. 12. 202</w:t>
      </w:r>
      <w:r w:rsidR="00C72346">
        <w:rPr>
          <w:rFonts w:cs="Arial"/>
          <w:b/>
          <w:sz w:val="21"/>
          <w:szCs w:val="21"/>
        </w:rPr>
        <w:t>5</w:t>
      </w:r>
      <w:r w:rsidRPr="006F6BBE">
        <w:rPr>
          <w:rFonts w:cs="Arial"/>
          <w:sz w:val="21"/>
          <w:szCs w:val="21"/>
        </w:rPr>
        <w:t xml:space="preserve">. </w:t>
      </w:r>
    </w:p>
    <w:p w14:paraId="31FFBCDE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D05606">
        <w:rPr>
          <w:rFonts w:cs="Arial"/>
          <w:sz w:val="21"/>
          <w:szCs w:val="21"/>
        </w:rPr>
        <w:t>.</w:t>
      </w:r>
    </w:p>
    <w:p w14:paraId="3AFD5103" w14:textId="77777777" w:rsidR="00DE5A99" w:rsidRPr="005748F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 xml:space="preserve">odevzdán </w:t>
      </w:r>
      <w:r w:rsidRPr="006F6BBE">
        <w:rPr>
          <w:rFonts w:cs="Arial"/>
          <w:sz w:val="21"/>
          <w:szCs w:val="21"/>
        </w:rPr>
        <w:t xml:space="preserve">na </w:t>
      </w:r>
      <w:r w:rsidRPr="005748FE">
        <w:rPr>
          <w:rFonts w:cs="Arial"/>
          <w:sz w:val="21"/>
          <w:szCs w:val="21"/>
        </w:rPr>
        <w:t xml:space="preserve">pracoviště kupujícího, na adresu </w:t>
      </w:r>
      <w:r w:rsidR="00773B3E">
        <w:rPr>
          <w:rFonts w:cs="Arial"/>
          <w:b/>
          <w:sz w:val="21"/>
          <w:szCs w:val="21"/>
        </w:rPr>
        <w:t>Bělidla 986/</w:t>
      </w:r>
      <w:proofErr w:type="gramStart"/>
      <w:r w:rsidR="00773B3E">
        <w:rPr>
          <w:rFonts w:cs="Arial"/>
          <w:b/>
          <w:sz w:val="21"/>
          <w:szCs w:val="21"/>
        </w:rPr>
        <w:t>4a</w:t>
      </w:r>
      <w:proofErr w:type="gramEnd"/>
      <w:r w:rsidR="00773B3E">
        <w:rPr>
          <w:rFonts w:cs="Arial"/>
          <w:b/>
          <w:sz w:val="21"/>
          <w:szCs w:val="21"/>
        </w:rPr>
        <w:t xml:space="preserve">, </w:t>
      </w:r>
      <w:proofErr w:type="gramStart"/>
      <w:r w:rsidR="00773B3E">
        <w:rPr>
          <w:rFonts w:cs="Arial"/>
          <w:b/>
          <w:sz w:val="21"/>
          <w:szCs w:val="21"/>
        </w:rPr>
        <w:t>603  00</w:t>
      </w:r>
      <w:proofErr w:type="gramEnd"/>
      <w:r w:rsidR="00773B3E">
        <w:rPr>
          <w:rFonts w:cs="Arial"/>
          <w:b/>
          <w:sz w:val="21"/>
          <w:szCs w:val="21"/>
        </w:rPr>
        <w:t xml:space="preserve"> Brno</w:t>
      </w:r>
      <w:r w:rsidR="00343457">
        <w:rPr>
          <w:rFonts w:cs="Arial"/>
          <w:b/>
          <w:sz w:val="21"/>
          <w:szCs w:val="21"/>
        </w:rPr>
        <w:t>,</w:t>
      </w:r>
      <w:r w:rsidRPr="005748FE">
        <w:rPr>
          <w:rFonts w:cs="Arial"/>
          <w:sz w:val="21"/>
          <w:szCs w:val="21"/>
        </w:rPr>
        <w:t xml:space="preserve"> nedohodnou-li se smluvní strany jinak. </w:t>
      </w:r>
    </w:p>
    <w:p w14:paraId="2319BB0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2D29CF32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37FE731A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3792804A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5748FE">
        <w:rPr>
          <w:rFonts w:cs="Arial"/>
          <w:sz w:val="21"/>
          <w:szCs w:val="21"/>
        </w:rPr>
        <w:t>N</w:t>
      </w:r>
      <w:r w:rsidR="00ED5992" w:rsidRPr="005748FE">
        <w:rPr>
          <w:rFonts w:cs="Arial"/>
          <w:sz w:val="21"/>
          <w:szCs w:val="21"/>
        </w:rPr>
        <w:t>ejpozději do 5 pracovních dnů ode dne odevzdání předmětu koupě</w:t>
      </w:r>
      <w:r w:rsidR="0010510A" w:rsidRPr="005748FE">
        <w:rPr>
          <w:rFonts w:cs="Arial"/>
          <w:sz w:val="21"/>
          <w:szCs w:val="21"/>
        </w:rPr>
        <w:t xml:space="preserve"> </w:t>
      </w:r>
      <w:r w:rsidRPr="005748FE">
        <w:rPr>
          <w:rFonts w:cs="Arial"/>
          <w:sz w:val="21"/>
          <w:szCs w:val="21"/>
        </w:rPr>
        <w:t xml:space="preserve">jej kupující prohlédne </w:t>
      </w:r>
      <w:r w:rsidR="0010510A" w:rsidRPr="005748FE">
        <w:rPr>
          <w:rFonts w:cs="Arial"/>
          <w:sz w:val="21"/>
          <w:szCs w:val="21"/>
        </w:rPr>
        <w:t>a přesvědčí se o jeho</w:t>
      </w:r>
      <w:r w:rsidR="00ED5992" w:rsidRPr="005748FE">
        <w:rPr>
          <w:rFonts w:cs="Arial"/>
          <w:sz w:val="21"/>
          <w:szCs w:val="21"/>
        </w:rPr>
        <w:t xml:space="preserve"> </w:t>
      </w:r>
      <w:r w:rsidR="00E17104" w:rsidRPr="005748FE">
        <w:rPr>
          <w:rFonts w:cs="Arial"/>
          <w:sz w:val="21"/>
          <w:szCs w:val="21"/>
        </w:rPr>
        <w:t xml:space="preserve">zjevných </w:t>
      </w:r>
      <w:r w:rsidR="00ED5992" w:rsidRPr="005748FE">
        <w:rPr>
          <w:rFonts w:cs="Arial"/>
          <w:sz w:val="21"/>
          <w:szCs w:val="21"/>
        </w:rPr>
        <w:t>vlastnostech a množství. Kupující v téže lhůtě</w:t>
      </w:r>
      <w:r w:rsidR="00E17104" w:rsidRPr="005748FE">
        <w:rPr>
          <w:rFonts w:cs="Arial"/>
          <w:sz w:val="21"/>
          <w:szCs w:val="21"/>
        </w:rPr>
        <w:t xml:space="preserve"> buď</w:t>
      </w:r>
      <w:r w:rsidR="00ED5992" w:rsidRPr="005748FE">
        <w:rPr>
          <w:rFonts w:cs="Arial"/>
          <w:sz w:val="21"/>
          <w:szCs w:val="21"/>
        </w:rPr>
        <w:t xml:space="preserve"> potvrdí převzetí</w:t>
      </w:r>
      <w:r w:rsidR="00ED5992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0A507A8B" w14:textId="77777777" w:rsidR="00F9199E" w:rsidRPr="000B3BEE" w:rsidRDefault="00B5522F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</w:t>
      </w:r>
      <w:r w:rsidR="000B3BEE">
        <w:rPr>
          <w:rFonts w:cs="Arial"/>
          <w:sz w:val="21"/>
          <w:szCs w:val="21"/>
        </w:rPr>
        <w:t>).</w:t>
      </w:r>
    </w:p>
    <w:p w14:paraId="4C79C9F0" w14:textId="77777777" w:rsidR="00A52EE8" w:rsidRPr="006F6BBE" w:rsidRDefault="00A52EE8" w:rsidP="00241F24">
      <w:pPr>
        <w:ind w:left="0" w:firstLine="0"/>
        <w:rPr>
          <w:rFonts w:cs="Arial"/>
          <w:sz w:val="21"/>
          <w:szCs w:val="21"/>
        </w:rPr>
      </w:pPr>
    </w:p>
    <w:p w14:paraId="7744D2CD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265801C7" w14:textId="50FA4322" w:rsidR="00DE5A99" w:rsidRDefault="00DE5A99" w:rsidP="005748F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 w:rsidR="00A7765B">
        <w:rPr>
          <w:rFonts w:cs="Arial"/>
          <w:sz w:val="21"/>
          <w:szCs w:val="21"/>
        </w:rPr>
        <w:t>na cena za plnění této smlouvy:</w:t>
      </w:r>
      <w:r w:rsidR="00072D6C">
        <w:rPr>
          <w:rFonts w:cs="Arial"/>
          <w:sz w:val="21"/>
          <w:szCs w:val="21"/>
        </w:rPr>
        <w:t xml:space="preserve"> </w:t>
      </w:r>
      <w:r w:rsidR="00072D6C" w:rsidRPr="00072D6C">
        <w:rPr>
          <w:rFonts w:cs="Arial"/>
          <w:b/>
          <w:bCs/>
          <w:sz w:val="21"/>
          <w:szCs w:val="21"/>
        </w:rPr>
        <w:t>164.500 Kč bez DPH</w:t>
      </w:r>
    </w:p>
    <w:p w14:paraId="73929DD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3E18D20A" w14:textId="7D848135" w:rsidR="004A0820" w:rsidRPr="005551EE" w:rsidRDefault="00DE5A99" w:rsidP="005551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 </w:t>
      </w:r>
      <w:r w:rsidR="00C72346">
        <w:rPr>
          <w:rFonts w:cs="Arial"/>
          <w:sz w:val="21"/>
          <w:szCs w:val="21"/>
        </w:rPr>
        <w:t>c</w:t>
      </w:r>
      <w:r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Pr="006F6BBE">
        <w:rPr>
          <w:rFonts w:cs="Arial"/>
          <w:sz w:val="21"/>
          <w:szCs w:val="21"/>
        </w:rPr>
        <w:t xml:space="preserve"> DPH v zákonné sazbě.</w:t>
      </w:r>
    </w:p>
    <w:p w14:paraId="593EA7BE" w14:textId="77777777" w:rsidR="00F200CC" w:rsidRPr="006F6BBE" w:rsidRDefault="00F200CC" w:rsidP="00DE5A99">
      <w:pPr>
        <w:rPr>
          <w:rFonts w:cs="Arial"/>
          <w:sz w:val="21"/>
          <w:szCs w:val="21"/>
        </w:rPr>
      </w:pPr>
    </w:p>
    <w:p w14:paraId="53B60342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08A7CFA6" w14:textId="77777777" w:rsidR="00FC1552" w:rsidRPr="00A70732" w:rsidRDefault="00FC1552" w:rsidP="00A7073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Cena za dodání předmětu koupě bude </w:t>
      </w:r>
      <w:r w:rsidR="00A70732">
        <w:rPr>
          <w:rFonts w:cs="Arial"/>
          <w:sz w:val="21"/>
          <w:szCs w:val="21"/>
        </w:rPr>
        <w:t>placena na základě jedné</w:t>
      </w:r>
      <w:r>
        <w:rPr>
          <w:rFonts w:cs="Arial"/>
          <w:sz w:val="21"/>
          <w:szCs w:val="21"/>
        </w:rPr>
        <w:t xml:space="preserve"> faktur</w:t>
      </w:r>
      <w:r w:rsidR="00A70732">
        <w:rPr>
          <w:rFonts w:cs="Arial"/>
          <w:sz w:val="21"/>
          <w:szCs w:val="21"/>
        </w:rPr>
        <w:t xml:space="preserve">y. </w:t>
      </w:r>
      <w:r w:rsidRPr="00A70732">
        <w:rPr>
          <w:rFonts w:cs="Arial"/>
          <w:sz w:val="21"/>
          <w:szCs w:val="21"/>
        </w:rPr>
        <w:t xml:space="preserve">Přílohou faktury bude kopie potvrzení převzetí předmětu koupě. </w:t>
      </w:r>
    </w:p>
    <w:p w14:paraId="28D5D086" w14:textId="77777777" w:rsidR="001576F7" w:rsidRP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Veškeré faktury budou mít náležitosti daňového dokladu</w:t>
      </w:r>
      <w:r>
        <w:rPr>
          <w:rFonts w:cs="Arial"/>
          <w:sz w:val="21"/>
          <w:szCs w:val="21"/>
        </w:rPr>
        <w:t>.</w:t>
      </w:r>
    </w:p>
    <w:p w14:paraId="2DAD6784" w14:textId="77777777" w:rsid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</w:t>
      </w:r>
      <w:r w:rsidRPr="006659ED">
        <w:rPr>
          <w:rFonts w:cs="Arial"/>
          <w:sz w:val="21"/>
          <w:szCs w:val="21"/>
        </w:rPr>
        <w:t xml:space="preserve">tane-li se </w:t>
      </w:r>
      <w:r>
        <w:rPr>
          <w:rFonts w:cs="Arial"/>
          <w:sz w:val="21"/>
          <w:szCs w:val="21"/>
        </w:rPr>
        <w:t>prodávající</w:t>
      </w:r>
      <w:r w:rsidRPr="006659ED">
        <w:rPr>
          <w:rFonts w:cs="Arial"/>
          <w:sz w:val="21"/>
          <w:szCs w:val="21"/>
        </w:rPr>
        <w:t xml:space="preserve"> nespolehlivým plátcem </w:t>
      </w:r>
      <w:r>
        <w:rPr>
          <w:rFonts w:cs="Arial"/>
          <w:sz w:val="21"/>
          <w:szCs w:val="21"/>
        </w:rPr>
        <w:t>DPH dle § 160a zákona o DPH</w:t>
      </w:r>
      <w:r w:rsidRPr="006659ED">
        <w:rPr>
          <w:rFonts w:cs="Arial"/>
          <w:sz w:val="21"/>
          <w:szCs w:val="21"/>
        </w:rPr>
        <w:t xml:space="preserve">, je </w:t>
      </w:r>
      <w:r>
        <w:rPr>
          <w:rFonts w:cs="Arial"/>
          <w:sz w:val="21"/>
          <w:szCs w:val="21"/>
        </w:rPr>
        <w:t xml:space="preserve">o této skutečnosti </w:t>
      </w:r>
      <w:r w:rsidRPr="006659ED">
        <w:rPr>
          <w:rFonts w:cs="Arial"/>
          <w:sz w:val="21"/>
          <w:szCs w:val="21"/>
        </w:rPr>
        <w:t xml:space="preserve">povinen neprodleně, nejpozději </w:t>
      </w:r>
      <w:r>
        <w:rPr>
          <w:rFonts w:cs="Arial"/>
          <w:sz w:val="21"/>
          <w:szCs w:val="21"/>
        </w:rPr>
        <w:t>následující pracovní d</w:t>
      </w:r>
      <w:r w:rsidRPr="006659ED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</w:t>
      </w:r>
      <w:r w:rsidRPr="006659E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po dni </w:t>
      </w:r>
      <w:r w:rsidRPr="006659ED">
        <w:rPr>
          <w:rFonts w:cs="Arial"/>
          <w:sz w:val="21"/>
          <w:szCs w:val="21"/>
        </w:rPr>
        <w:t>nabytí právní moci rozhodnutí</w:t>
      </w:r>
      <w:r>
        <w:rPr>
          <w:rFonts w:cs="Arial"/>
          <w:sz w:val="21"/>
          <w:szCs w:val="21"/>
        </w:rPr>
        <w:t xml:space="preserve"> o této skutečnosti</w:t>
      </w:r>
      <w:r w:rsidRPr="006659ED">
        <w:rPr>
          <w:rFonts w:cs="Arial"/>
          <w:sz w:val="21"/>
          <w:szCs w:val="21"/>
        </w:rPr>
        <w:t xml:space="preserve">, písemně informovat </w:t>
      </w:r>
      <w:r>
        <w:rPr>
          <w:rFonts w:cs="Arial"/>
          <w:sz w:val="21"/>
          <w:szCs w:val="21"/>
        </w:rPr>
        <w:t>kupujícího</w:t>
      </w:r>
      <w:r w:rsidRPr="006659ED">
        <w:rPr>
          <w:rFonts w:cs="Arial"/>
          <w:sz w:val="21"/>
          <w:szCs w:val="21"/>
        </w:rPr>
        <w:t xml:space="preserve">. </w:t>
      </w:r>
      <w:r>
        <w:rPr>
          <w:rFonts w:cs="Arial"/>
          <w:sz w:val="21"/>
          <w:szCs w:val="21"/>
        </w:rPr>
        <w:t xml:space="preserve">Prodávající je stejným způsobem </w:t>
      </w:r>
      <w:r w:rsidRPr="006659ED">
        <w:rPr>
          <w:rFonts w:cs="Arial"/>
          <w:sz w:val="21"/>
          <w:szCs w:val="21"/>
        </w:rPr>
        <w:t xml:space="preserve">povinen informovat </w:t>
      </w:r>
      <w:r>
        <w:rPr>
          <w:rFonts w:cs="Arial"/>
          <w:sz w:val="21"/>
          <w:szCs w:val="21"/>
        </w:rPr>
        <w:t xml:space="preserve">kupujícího </w:t>
      </w:r>
      <w:r w:rsidRPr="006659ED">
        <w:rPr>
          <w:rFonts w:cs="Arial"/>
          <w:sz w:val="21"/>
          <w:szCs w:val="21"/>
        </w:rPr>
        <w:t>o tom, že bylo proti němu zahájeno řízení podle § 106a zákona o DPH.</w:t>
      </w:r>
    </w:p>
    <w:p w14:paraId="70690DB0" w14:textId="77777777" w:rsid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Kupující uhradí DPH na účet příslušného správce daně v následujících případech: </w:t>
      </w:r>
    </w:p>
    <w:p w14:paraId="093F17DF" w14:textId="77777777" w:rsid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Je-li </w:t>
      </w:r>
      <w:r>
        <w:rPr>
          <w:rFonts w:cs="Arial"/>
          <w:sz w:val="21"/>
          <w:szCs w:val="21"/>
        </w:rPr>
        <w:t xml:space="preserve">o prodávajícím </w:t>
      </w:r>
      <w:r w:rsidRPr="006659ED">
        <w:rPr>
          <w:rFonts w:cs="Arial"/>
          <w:sz w:val="21"/>
          <w:szCs w:val="21"/>
        </w:rPr>
        <w:t xml:space="preserve">ke dni poskytnutí zdanitelného plnění </w:t>
      </w:r>
      <w:r>
        <w:rPr>
          <w:rFonts w:cs="Arial"/>
          <w:sz w:val="21"/>
          <w:szCs w:val="21"/>
        </w:rPr>
        <w:t xml:space="preserve">zveřejněna informace o tom, že je nespolehlivý plátce, </w:t>
      </w:r>
      <w:r w:rsidRPr="006659ED">
        <w:rPr>
          <w:rFonts w:cs="Arial"/>
          <w:sz w:val="21"/>
          <w:szCs w:val="21"/>
        </w:rPr>
        <w:t xml:space="preserve">nebo </w:t>
      </w:r>
    </w:p>
    <w:p w14:paraId="54836DF3" w14:textId="77777777" w:rsid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659ED">
        <w:rPr>
          <w:rFonts w:cs="Arial"/>
          <w:sz w:val="21"/>
          <w:szCs w:val="21"/>
        </w:rPr>
        <w:t xml:space="preserve">stane-li se </w:t>
      </w:r>
      <w:r>
        <w:rPr>
          <w:rFonts w:cs="Arial"/>
          <w:sz w:val="21"/>
          <w:szCs w:val="21"/>
        </w:rPr>
        <w:t xml:space="preserve">prodávající </w:t>
      </w:r>
      <w:r w:rsidRPr="006659ED">
        <w:rPr>
          <w:rFonts w:cs="Arial"/>
          <w:sz w:val="21"/>
          <w:szCs w:val="21"/>
        </w:rPr>
        <w:t xml:space="preserve">nespolehlivým plátcem před </w:t>
      </w:r>
      <w:r>
        <w:rPr>
          <w:rFonts w:cs="Arial"/>
          <w:sz w:val="21"/>
          <w:szCs w:val="21"/>
        </w:rPr>
        <w:t>zaplacením ceny</w:t>
      </w:r>
      <w:r w:rsidRPr="006659ED">
        <w:rPr>
          <w:rFonts w:cs="Arial"/>
          <w:sz w:val="21"/>
          <w:szCs w:val="21"/>
        </w:rPr>
        <w:t xml:space="preserve">, </w:t>
      </w:r>
      <w:r>
        <w:rPr>
          <w:rFonts w:cs="Arial"/>
          <w:sz w:val="21"/>
          <w:szCs w:val="21"/>
        </w:rPr>
        <w:t>anebo</w:t>
      </w:r>
    </w:p>
    <w:p w14:paraId="511DD5FF" w14:textId="77777777" w:rsidR="00C465DA" w:rsidRPr="00C465DA" w:rsidRDefault="00C465DA" w:rsidP="00C465DA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C465DA">
        <w:rPr>
          <w:rFonts w:cs="Arial"/>
          <w:sz w:val="21"/>
          <w:szCs w:val="21"/>
        </w:rPr>
        <w:lastRenderedPageBreak/>
        <w:t>v případě jakékoliv pochybností kupujícího o tom, zda prodávající nespolehlivým plátcem DPH je či nikoliv.</w:t>
      </w:r>
    </w:p>
    <w:p w14:paraId="00A785DC" w14:textId="77777777" w:rsidR="006D62AC" w:rsidRPr="006F6BBE" w:rsidRDefault="006D62AC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35C703D1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EEA39ED" w14:textId="0FEDB6E3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</w:t>
      </w:r>
      <w:r w:rsidR="005551EE">
        <w:rPr>
          <w:rFonts w:cs="Arial"/>
          <w:sz w:val="21"/>
          <w:szCs w:val="21"/>
        </w:rPr>
        <w:t xml:space="preserve">mailovou </w:t>
      </w:r>
      <w:r w:rsidRPr="006F6BBE">
        <w:rPr>
          <w:rFonts w:cs="Arial"/>
          <w:sz w:val="21"/>
          <w:szCs w:val="21"/>
        </w:rPr>
        <w:t xml:space="preserve">adresu </w:t>
      </w:r>
      <w:hyperlink r:id="rId8" w:history="1">
        <w:r w:rsidR="005551EE" w:rsidRPr="0012676A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5551EE">
        <w:rPr>
          <w:rFonts w:cs="Arial"/>
          <w:sz w:val="21"/>
          <w:szCs w:val="21"/>
        </w:rPr>
        <w:t>, a to</w:t>
      </w:r>
      <w:r w:rsidRPr="006F6BBE">
        <w:rPr>
          <w:rFonts w:cs="Arial"/>
          <w:sz w:val="21"/>
          <w:szCs w:val="21"/>
        </w:rPr>
        <w:t xml:space="preserve"> nejpozději do 5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6ABD0599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708CA9E0" w14:textId="07398FF5" w:rsidR="0057367C" w:rsidRPr="006F6BBE" w:rsidRDefault="0033040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Prodávající je oprávněn požadovat zálohovou platbu ve výši 30 % kupní ceny, a to na základě kupujícímu zaslané zálohové faktury. </w:t>
      </w:r>
    </w:p>
    <w:p w14:paraId="5F5DFAC6" w14:textId="77777777" w:rsidR="00F9199E" w:rsidRPr="006F6BBE" w:rsidRDefault="00F9199E" w:rsidP="00B97B9D">
      <w:pPr>
        <w:rPr>
          <w:rFonts w:cs="Arial"/>
          <w:sz w:val="21"/>
          <w:szCs w:val="21"/>
        </w:rPr>
      </w:pPr>
    </w:p>
    <w:p w14:paraId="336A5645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17C74D4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6E9AA1BC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3D3B9665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32056627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142CA842" w14:textId="2C611848" w:rsidR="00016A93" w:rsidRPr="001935F1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</w:t>
      </w:r>
      <w:r w:rsidRPr="00734F9B">
        <w:rPr>
          <w:rFonts w:cs="Arial"/>
          <w:sz w:val="21"/>
          <w:szCs w:val="21"/>
        </w:rPr>
        <w:t xml:space="preserve">dobu </w:t>
      </w:r>
      <w:r w:rsidR="00072D6C">
        <w:rPr>
          <w:rFonts w:cs="Arial"/>
          <w:b/>
          <w:sz w:val="21"/>
          <w:szCs w:val="21"/>
        </w:rPr>
        <w:t>24</w:t>
      </w:r>
      <w:r w:rsidRPr="00734F9B">
        <w:rPr>
          <w:rFonts w:cs="Arial"/>
          <w:b/>
          <w:sz w:val="21"/>
          <w:szCs w:val="21"/>
        </w:rPr>
        <w:t xml:space="preserve"> měsíců</w:t>
      </w:r>
      <w:r w:rsidR="004A0820">
        <w:rPr>
          <w:rFonts w:cs="Arial"/>
          <w:sz w:val="21"/>
          <w:szCs w:val="21"/>
        </w:rPr>
        <w:t>.</w:t>
      </w:r>
      <w:r w:rsidR="00072D6C">
        <w:rPr>
          <w:rFonts w:cs="Arial"/>
          <w:sz w:val="21"/>
          <w:szCs w:val="21"/>
        </w:rPr>
        <w:t xml:space="preserve"> Na detektor je poskytována záruka za jakost na dobu 10 let, a to po zaregistrování na stránkách výrobce FLIR do 10 dnů od koupě.</w:t>
      </w:r>
    </w:p>
    <w:p w14:paraId="103FA766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7505A91A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75353B5C" w14:textId="44B45970" w:rsidR="00AF7BFD" w:rsidRPr="006F6BBE" w:rsidRDefault="00AF7BFD" w:rsidP="00AF7B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vyvíjet činnost směřující k odstranění vady; řádně v takové činnosti pokrač</w:t>
      </w:r>
      <w:r w:rsidR="007D768E" w:rsidRPr="006F6BBE">
        <w:rPr>
          <w:rFonts w:cs="Arial"/>
          <w:sz w:val="21"/>
          <w:szCs w:val="21"/>
        </w:rPr>
        <w:t>uje</w:t>
      </w:r>
      <w:r w:rsidRPr="006F6BBE">
        <w:rPr>
          <w:rFonts w:cs="Arial"/>
          <w:sz w:val="21"/>
          <w:szCs w:val="21"/>
        </w:rPr>
        <w:t xml:space="preserve"> a </w:t>
      </w:r>
      <w:r w:rsidRPr="0033040E">
        <w:rPr>
          <w:rFonts w:cs="Arial"/>
          <w:b/>
          <w:color w:val="000000" w:themeColor="text1"/>
          <w:sz w:val="21"/>
          <w:szCs w:val="21"/>
        </w:rPr>
        <w:t>nejpozději</w:t>
      </w:r>
      <w:r w:rsidRPr="0033040E">
        <w:rPr>
          <w:rFonts w:cs="Arial"/>
          <w:color w:val="000000" w:themeColor="text1"/>
          <w:sz w:val="21"/>
          <w:szCs w:val="21"/>
        </w:rPr>
        <w:t xml:space="preserve"> </w:t>
      </w:r>
      <w:r w:rsidRPr="0033040E">
        <w:rPr>
          <w:rFonts w:cs="Arial"/>
          <w:b/>
          <w:color w:val="000000" w:themeColor="text1"/>
          <w:sz w:val="21"/>
          <w:szCs w:val="21"/>
        </w:rPr>
        <w:t xml:space="preserve">do </w:t>
      </w:r>
      <w:r w:rsidR="00295E66" w:rsidRPr="0033040E">
        <w:rPr>
          <w:rFonts w:cs="Arial"/>
          <w:b/>
          <w:color w:val="000000" w:themeColor="text1"/>
          <w:sz w:val="21"/>
          <w:szCs w:val="21"/>
        </w:rPr>
        <w:t>40</w:t>
      </w:r>
      <w:r w:rsidRPr="0033040E">
        <w:rPr>
          <w:rFonts w:cs="Arial"/>
          <w:b/>
          <w:color w:val="000000" w:themeColor="text1"/>
          <w:sz w:val="21"/>
          <w:szCs w:val="21"/>
        </w:rPr>
        <w:t xml:space="preserve"> </w:t>
      </w:r>
      <w:r w:rsidR="005E3214" w:rsidRPr="0033040E">
        <w:rPr>
          <w:rFonts w:cs="Arial"/>
          <w:b/>
          <w:color w:val="000000" w:themeColor="text1"/>
          <w:sz w:val="21"/>
          <w:szCs w:val="21"/>
        </w:rPr>
        <w:t>pracovních</w:t>
      </w:r>
      <w:r w:rsidR="00DD4560" w:rsidRPr="0033040E">
        <w:rPr>
          <w:rFonts w:cs="Arial"/>
          <w:b/>
          <w:color w:val="000000" w:themeColor="text1"/>
          <w:sz w:val="21"/>
          <w:szCs w:val="21"/>
        </w:rPr>
        <w:t xml:space="preserve"> </w:t>
      </w:r>
      <w:r w:rsidR="005E3214" w:rsidRPr="0033040E">
        <w:rPr>
          <w:rFonts w:cs="Arial"/>
          <w:b/>
          <w:color w:val="000000" w:themeColor="text1"/>
          <w:sz w:val="21"/>
          <w:szCs w:val="21"/>
        </w:rPr>
        <w:t>dnů</w:t>
      </w:r>
      <w:r w:rsidRPr="0033040E">
        <w:rPr>
          <w:rFonts w:cs="Arial"/>
          <w:b/>
          <w:color w:val="000000" w:themeColor="text1"/>
          <w:sz w:val="21"/>
          <w:szCs w:val="21"/>
        </w:rPr>
        <w:t xml:space="preserve"> od vytknutí vady</w:t>
      </w:r>
      <w:r w:rsidR="00920382" w:rsidRPr="0033040E">
        <w:rPr>
          <w:rFonts w:cs="Arial"/>
          <w:b/>
          <w:color w:val="000000" w:themeColor="text1"/>
          <w:sz w:val="21"/>
          <w:szCs w:val="21"/>
        </w:rPr>
        <w:t>,</w:t>
      </w:r>
      <w:r w:rsidRPr="0033040E">
        <w:rPr>
          <w:rFonts w:cs="Arial"/>
          <w:color w:val="000000" w:themeColor="text1"/>
          <w:sz w:val="21"/>
          <w:szCs w:val="21"/>
        </w:rPr>
        <w:t xml:space="preserve"> vadu odstran</w:t>
      </w:r>
      <w:r w:rsidR="007D768E" w:rsidRPr="0033040E">
        <w:rPr>
          <w:rFonts w:cs="Arial"/>
          <w:color w:val="000000" w:themeColor="text1"/>
          <w:sz w:val="21"/>
          <w:szCs w:val="21"/>
        </w:rPr>
        <w:t>í</w:t>
      </w:r>
      <w:r w:rsidRPr="0033040E">
        <w:rPr>
          <w:rFonts w:cs="Arial"/>
          <w:color w:val="000000" w:themeColor="text1"/>
          <w:sz w:val="21"/>
          <w:szCs w:val="21"/>
        </w:rPr>
        <w:t xml:space="preserve"> </w:t>
      </w:r>
      <w:r w:rsidR="00295E66" w:rsidRPr="0033040E">
        <w:rPr>
          <w:rFonts w:cs="Arial"/>
          <w:color w:val="000000" w:themeColor="text1"/>
          <w:sz w:val="21"/>
          <w:szCs w:val="21"/>
        </w:rPr>
        <w:t>případně pro nezbytná měření zapůjčí náhradní termokameru stejné nebo vyšší kvality</w:t>
      </w:r>
      <w:r w:rsidRPr="0033040E">
        <w:rPr>
          <w:rFonts w:cs="Arial"/>
          <w:color w:val="000000" w:themeColor="text1"/>
          <w:sz w:val="21"/>
          <w:szCs w:val="21"/>
        </w:rPr>
        <w:t>.</w:t>
      </w:r>
    </w:p>
    <w:p w14:paraId="16332E70" w14:textId="77777777" w:rsidR="00773026" w:rsidRPr="006F6BBE" w:rsidRDefault="00773026" w:rsidP="007D768E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</w:p>
    <w:p w14:paraId="44893576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5ED4C13D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2306250B" w14:textId="6F8447BA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</w:t>
      </w:r>
      <w:r w:rsidR="00773026" w:rsidRPr="0033040E">
        <w:rPr>
          <w:rFonts w:cs="Arial"/>
          <w:color w:val="000000" w:themeColor="text1"/>
          <w:sz w:val="21"/>
          <w:szCs w:val="21"/>
        </w:rPr>
        <w:t xml:space="preserve">e výši </w:t>
      </w:r>
      <w:r w:rsidR="00295E66" w:rsidRPr="0033040E">
        <w:rPr>
          <w:rFonts w:cs="Arial"/>
          <w:b/>
          <w:color w:val="000000" w:themeColor="text1"/>
          <w:sz w:val="21"/>
          <w:szCs w:val="21"/>
        </w:rPr>
        <w:t>100 Kč</w:t>
      </w:r>
      <w:r w:rsidR="00773026" w:rsidRPr="0033040E">
        <w:rPr>
          <w:rFonts w:cs="Arial"/>
          <w:color w:val="000000" w:themeColor="text1"/>
          <w:sz w:val="21"/>
          <w:szCs w:val="21"/>
        </w:rPr>
        <w:t xml:space="preserve"> </w:t>
      </w:r>
      <w:r w:rsidR="00773026" w:rsidRPr="0033040E">
        <w:rPr>
          <w:rFonts w:cs="Arial"/>
          <w:b/>
          <w:color w:val="000000" w:themeColor="text1"/>
          <w:sz w:val="21"/>
          <w:szCs w:val="21"/>
        </w:rPr>
        <w:t>denně</w:t>
      </w:r>
      <w:r w:rsidR="004218BE" w:rsidRPr="0033040E">
        <w:rPr>
          <w:rFonts w:cs="Arial"/>
          <w:color w:val="000000" w:themeColor="text1"/>
          <w:sz w:val="21"/>
          <w:szCs w:val="21"/>
        </w:rPr>
        <w:t xml:space="preserve"> v </w:t>
      </w:r>
      <w:r w:rsidR="00773026" w:rsidRPr="0033040E">
        <w:rPr>
          <w:rFonts w:cs="Arial"/>
          <w:color w:val="000000" w:themeColor="text1"/>
          <w:sz w:val="21"/>
          <w:szCs w:val="21"/>
        </w:rPr>
        <w:t xml:space="preserve">následujících </w:t>
      </w:r>
      <w:r w:rsidR="00773026" w:rsidRPr="006F6BBE">
        <w:rPr>
          <w:rFonts w:cs="Arial"/>
          <w:sz w:val="21"/>
          <w:szCs w:val="21"/>
        </w:rPr>
        <w:t>případech:</w:t>
      </w:r>
    </w:p>
    <w:p w14:paraId="3DC7CF58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356A2D39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</w:t>
      </w:r>
      <w:proofErr w:type="gramStart"/>
      <w:r w:rsidRPr="006F6BBE">
        <w:rPr>
          <w:rFonts w:cs="Arial"/>
          <w:sz w:val="21"/>
          <w:szCs w:val="21"/>
        </w:rPr>
        <w:t>s</w:t>
      </w:r>
      <w:proofErr w:type="gramEnd"/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4555BDC5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055E1526" w14:textId="77777777" w:rsidR="00C465DA" w:rsidRPr="00C465DA" w:rsidRDefault="00C465DA" w:rsidP="00C465D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Kupující uplatní smluvní pokutu ve výši 50.000</w:t>
      </w:r>
      <w:r w:rsidRPr="008F2721">
        <w:rPr>
          <w:rFonts w:cs="Arial"/>
          <w:sz w:val="21"/>
          <w:szCs w:val="21"/>
        </w:rPr>
        <w:t xml:space="preserve"> Kč</w:t>
      </w:r>
      <w:r>
        <w:rPr>
          <w:rFonts w:cs="Arial"/>
          <w:sz w:val="21"/>
          <w:szCs w:val="21"/>
        </w:rPr>
        <w:t xml:space="preserve"> v případě, že prodávající nesdělí, že se stal nespolehlivým plátcem DPH nebo že </w:t>
      </w:r>
      <w:r w:rsidRPr="00806BB0">
        <w:rPr>
          <w:rFonts w:cs="Arial"/>
          <w:sz w:val="21"/>
          <w:szCs w:val="21"/>
        </w:rPr>
        <w:t>bylo proti němu zahájeno řízení podle § 106a zákona o DPH</w:t>
      </w:r>
      <w:r>
        <w:rPr>
          <w:rFonts w:cs="Arial"/>
          <w:sz w:val="21"/>
          <w:szCs w:val="21"/>
        </w:rPr>
        <w:t>.</w:t>
      </w:r>
    </w:p>
    <w:p w14:paraId="055DF979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01383FF2" w14:textId="3B624013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</w:t>
      </w:r>
      <w:r w:rsidR="001D6EA2">
        <w:rPr>
          <w:rFonts w:cs="Arial"/>
          <w:sz w:val="21"/>
          <w:szCs w:val="21"/>
        </w:rPr>
        <w:t>,</w:t>
      </w:r>
      <w:r w:rsidRPr="006F6BBE">
        <w:rPr>
          <w:rFonts w:cs="Arial"/>
          <w:sz w:val="21"/>
          <w:szCs w:val="21"/>
        </w:rPr>
        <w:t xml:space="preserve"> a to bez jakéhokoliv dalšího omezení.</w:t>
      </w:r>
    </w:p>
    <w:p w14:paraId="65F9E81A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F4A085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162E96D9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145DC0E0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6BBD1422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4FBA567C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3A94AFBC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5268D38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630499F3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4292DBD0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1707A0EB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1AB50F7F" w14:textId="77777777" w:rsidR="002A2951" w:rsidRPr="00A70732" w:rsidRDefault="00332790" w:rsidP="00A7073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Odstoupením od smlouvy nezaniká vzájemná sankční odpovědnost stran.</w:t>
      </w:r>
    </w:p>
    <w:p w14:paraId="2F20307D" w14:textId="77777777" w:rsidR="002A2951" w:rsidRPr="006F6BBE" w:rsidRDefault="002A2951" w:rsidP="00DE5A99">
      <w:pPr>
        <w:rPr>
          <w:rFonts w:cs="Arial"/>
          <w:sz w:val="21"/>
          <w:szCs w:val="21"/>
        </w:rPr>
      </w:pPr>
    </w:p>
    <w:p w14:paraId="00F0EB7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35866669" w14:textId="2264C09E" w:rsidR="00B608FB" w:rsidRPr="0089789C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proofErr w:type="spellStart"/>
      <w:r w:rsidR="00B71E91">
        <w:rPr>
          <w:rFonts w:cs="Arial"/>
          <w:sz w:val="21"/>
          <w:szCs w:val="21"/>
        </w:rPr>
        <w:t>xxxxxxxxxxxxxxxxxx</w:t>
      </w:r>
      <w:proofErr w:type="spellEnd"/>
      <w:r w:rsidR="00A56A5A">
        <w:rPr>
          <w:rFonts w:cs="Arial"/>
          <w:sz w:val="21"/>
          <w:szCs w:val="21"/>
        </w:rPr>
        <w:t>.</w:t>
      </w:r>
      <w:r w:rsidR="00752685">
        <w:rPr>
          <w:rFonts w:cs="Arial"/>
          <w:sz w:val="21"/>
          <w:szCs w:val="21"/>
        </w:rPr>
        <w:t xml:space="preserve">, </w:t>
      </w:r>
      <w:proofErr w:type="spellStart"/>
      <w:r w:rsidR="00B71E91">
        <w:t>xxxxxxxxxxxxxxxxxxx</w:t>
      </w:r>
      <w:proofErr w:type="spellEnd"/>
      <w:r w:rsidRPr="0089789C">
        <w:rPr>
          <w:rFonts w:cs="Arial"/>
          <w:sz w:val="21"/>
          <w:szCs w:val="21"/>
        </w:rPr>
        <w:t xml:space="preserve"> Tento zástupce kupujícího může za kupujícího v souvislosti s touto </w:t>
      </w:r>
      <w:proofErr w:type="gramStart"/>
      <w:r w:rsidRPr="0089789C">
        <w:rPr>
          <w:rFonts w:cs="Arial"/>
          <w:sz w:val="21"/>
          <w:szCs w:val="21"/>
        </w:rPr>
        <w:t>smlouvou</w:t>
      </w:r>
      <w:proofErr w:type="gramEnd"/>
      <w:r w:rsidRPr="0089789C">
        <w:rPr>
          <w:rFonts w:cs="Arial"/>
          <w:sz w:val="21"/>
          <w:szCs w:val="21"/>
        </w:rPr>
        <w:t xml:space="preserve"> jakkoliv jednat</w:t>
      </w:r>
      <w:r w:rsidR="0036166F" w:rsidRPr="0089789C">
        <w:rPr>
          <w:rFonts w:cs="Arial"/>
          <w:sz w:val="21"/>
          <w:szCs w:val="21"/>
        </w:rPr>
        <w:t xml:space="preserve">, </w:t>
      </w:r>
      <w:r w:rsidRPr="0089789C">
        <w:rPr>
          <w:rFonts w:cs="Arial"/>
          <w:sz w:val="21"/>
          <w:szCs w:val="21"/>
        </w:rPr>
        <w:t xml:space="preserve">nemůže </w:t>
      </w:r>
      <w:r w:rsidR="0036166F" w:rsidRPr="0089789C">
        <w:rPr>
          <w:rFonts w:cs="Arial"/>
          <w:sz w:val="21"/>
          <w:szCs w:val="21"/>
        </w:rPr>
        <w:t xml:space="preserve">však </w:t>
      </w:r>
      <w:r w:rsidRPr="0089789C">
        <w:rPr>
          <w:rFonts w:cs="Arial"/>
          <w:sz w:val="21"/>
          <w:szCs w:val="21"/>
        </w:rPr>
        <w:t>smlouvu ani měnit ani ukončit.</w:t>
      </w:r>
    </w:p>
    <w:p w14:paraId="0013A1BE" w14:textId="1C600B6B" w:rsidR="00F9199E" w:rsidRDefault="00B608FB" w:rsidP="007C0E6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89789C">
        <w:rPr>
          <w:rFonts w:cs="Arial"/>
          <w:sz w:val="21"/>
          <w:szCs w:val="21"/>
        </w:rPr>
        <w:t xml:space="preserve">Zástupcem prodávajícího </w:t>
      </w:r>
      <w:r w:rsidRPr="00991B63">
        <w:rPr>
          <w:rFonts w:cs="Arial"/>
          <w:sz w:val="21"/>
          <w:szCs w:val="21"/>
        </w:rPr>
        <w:t xml:space="preserve">je </w:t>
      </w:r>
      <w:proofErr w:type="spellStart"/>
      <w:r w:rsidR="00B71E91">
        <w:rPr>
          <w:rFonts w:cs="Arial"/>
          <w:sz w:val="21"/>
          <w:szCs w:val="21"/>
        </w:rPr>
        <w:t>xxxxxxxxxxxxxxxxxx</w:t>
      </w:r>
      <w:proofErr w:type="spellEnd"/>
      <w:r w:rsidR="007C0E67">
        <w:rPr>
          <w:rFonts w:cs="Arial"/>
          <w:sz w:val="21"/>
          <w:szCs w:val="21"/>
        </w:rPr>
        <w:t xml:space="preserve">, </w:t>
      </w:r>
      <w:hyperlink r:id="rId9" w:history="1">
        <w:r w:rsidR="00B71E91">
          <w:rPr>
            <w:rStyle w:val="Hypertextovodkaz"/>
            <w:rFonts w:cs="Arial"/>
            <w:sz w:val="21"/>
            <w:szCs w:val="21"/>
          </w:rPr>
          <w:t>xxxxxxxxxxxxxxxxxxxxx</w:t>
        </w:r>
      </w:hyperlink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</w:t>
      </w:r>
      <w:proofErr w:type="gramStart"/>
      <w:r w:rsidRPr="006F6BBE">
        <w:rPr>
          <w:rFonts w:cs="Arial"/>
          <w:sz w:val="21"/>
          <w:szCs w:val="21"/>
        </w:rPr>
        <w:t>smlouvou</w:t>
      </w:r>
      <w:proofErr w:type="gramEnd"/>
      <w:r w:rsidRPr="006F6BBE">
        <w:rPr>
          <w:rFonts w:cs="Arial"/>
          <w:sz w:val="21"/>
          <w:szCs w:val="21"/>
        </w:rPr>
        <w:t xml:space="preserve">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0C309B91" w14:textId="77777777" w:rsidR="007C0E67" w:rsidRPr="007C0E67" w:rsidRDefault="007C0E67" w:rsidP="007C0E67">
      <w:pPr>
        <w:ind w:left="0" w:firstLine="0"/>
        <w:rPr>
          <w:rFonts w:cs="Arial"/>
          <w:sz w:val="21"/>
          <w:szCs w:val="21"/>
        </w:rPr>
      </w:pPr>
    </w:p>
    <w:p w14:paraId="3FCCBD3A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2C84405E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68A625CC" w14:textId="77777777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bez písemně uděleného souhlasu druhé smluvní strany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4904E02C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5B18C263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5FE637F7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1DFDDD11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vylučují aplikaci následujících ustanovení občanského zákoníku na tuto smlouvu: § 557 (pravidlo contra proferentem).</w:t>
      </w:r>
    </w:p>
    <w:p w14:paraId="2F16A2F4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127632F3" w14:textId="77777777" w:rsidR="000B0562" w:rsidRPr="000B3BEE" w:rsidRDefault="004640C0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5B8D529E" w14:textId="77777777" w:rsidR="00A52EE8" w:rsidRPr="006F6BBE" w:rsidRDefault="00A52EE8" w:rsidP="00DE5A99">
      <w:pPr>
        <w:rPr>
          <w:rFonts w:cs="Arial"/>
          <w:sz w:val="21"/>
          <w:szCs w:val="21"/>
        </w:rPr>
      </w:pPr>
    </w:p>
    <w:p w14:paraId="57A75608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499C5A8E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0E4AD7C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684486C4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27F3041E" w14:textId="77777777" w:rsidR="003A5567" w:rsidRPr="006F6BBE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30F1B07E" w14:textId="77777777" w:rsidR="000B3BEE" w:rsidRPr="000B3BEE" w:rsidRDefault="000B3BEE" w:rsidP="000B3BE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kupující, který na vyžádání prodávajícího zašle prodávajícímu potvrzení o uveřejnění smlouvy.</w:t>
      </w:r>
    </w:p>
    <w:p w14:paraId="430C9117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Tato smlouva se vyhotovuje ve dvou stejnopisech, z nichž každé ze smluvních stran náleží po jednom.</w:t>
      </w:r>
    </w:p>
    <w:p w14:paraId="5426E57D" w14:textId="77777777" w:rsidR="001D4645" w:rsidRDefault="002218A9" w:rsidP="001935F1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2A2951">
        <w:rPr>
          <w:rFonts w:cs="Arial"/>
          <w:sz w:val="21"/>
          <w:szCs w:val="21"/>
        </w:rPr>
        <w:t>zveřejnění v registru smluv</w:t>
      </w:r>
      <w:r w:rsidRPr="006F6BBE">
        <w:rPr>
          <w:rFonts w:cs="Arial"/>
          <w:sz w:val="21"/>
          <w:szCs w:val="21"/>
        </w:rPr>
        <w:t>.</w:t>
      </w:r>
    </w:p>
    <w:p w14:paraId="733EC6D9" w14:textId="77777777" w:rsidR="008750FC" w:rsidRPr="008750FC" w:rsidRDefault="008750FC" w:rsidP="008750FC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226B9C79" w14:textId="77777777" w:rsidTr="00DA7E4F">
        <w:tc>
          <w:tcPr>
            <w:tcW w:w="4606" w:type="dxa"/>
            <w:vAlign w:val="center"/>
          </w:tcPr>
          <w:p w14:paraId="4A5F55E3" w14:textId="028776DF" w:rsidR="00DA7E4F" w:rsidRPr="006F6BBE" w:rsidRDefault="00446525" w:rsidP="00806873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1D6EA2">
              <w:rPr>
                <w:rFonts w:ascii="Arial" w:hAnsi="Arial" w:cs="Arial"/>
                <w:sz w:val="21"/>
                <w:szCs w:val="21"/>
              </w:rPr>
              <w:t>Praze</w:t>
            </w:r>
            <w:r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  <w:tc>
          <w:tcPr>
            <w:tcW w:w="5000" w:type="dxa"/>
            <w:vAlign w:val="center"/>
          </w:tcPr>
          <w:p w14:paraId="466EC440" w14:textId="77777777" w:rsidR="00DA7E4F" w:rsidRPr="006F6BBE" w:rsidRDefault="00486CCB" w:rsidP="0089789C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Brně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45EE65BB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155EA3E7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6AC29581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4D1985BB" w14:textId="77777777" w:rsidTr="00DA7E4F">
        <w:tc>
          <w:tcPr>
            <w:tcW w:w="4606" w:type="dxa"/>
            <w:vAlign w:val="center"/>
          </w:tcPr>
          <w:p w14:paraId="65C1980A" w14:textId="57CC17B6" w:rsidR="00DA7E4F" w:rsidRPr="0033040E" w:rsidRDefault="00295E66" w:rsidP="007C0E67">
            <w:pPr>
              <w:spacing w:before="6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>Adam Švestka</w:t>
            </w:r>
            <w:r w:rsidR="00370F7A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MBA, </w:t>
            </w:r>
            <w:proofErr w:type="spellStart"/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>MSc</w:t>
            </w:r>
            <w:proofErr w:type="spellEnd"/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5000" w:type="dxa"/>
            <w:vAlign w:val="center"/>
          </w:tcPr>
          <w:p w14:paraId="4EF2A10E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0B3BEE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5333BE3C" w14:textId="77777777" w:rsidTr="00DA7E4F">
        <w:tc>
          <w:tcPr>
            <w:tcW w:w="4606" w:type="dxa"/>
            <w:vAlign w:val="center"/>
          </w:tcPr>
          <w:p w14:paraId="672C2322" w14:textId="09116D70" w:rsidR="00DA7E4F" w:rsidRPr="0033040E" w:rsidRDefault="00295E66" w:rsidP="00752685">
            <w:pPr>
              <w:pStyle w:val="Zkladntext"/>
              <w:suppressAutoHyphens/>
              <w:spacing w:after="0" w:line="240" w:lineRule="atLeast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>zástupce jednatele na základě plné moci</w:t>
            </w:r>
          </w:p>
        </w:tc>
        <w:tc>
          <w:tcPr>
            <w:tcW w:w="5000" w:type="dxa"/>
            <w:vAlign w:val="center"/>
          </w:tcPr>
          <w:p w14:paraId="234CC524" w14:textId="77777777" w:rsidR="00DA7E4F" w:rsidRPr="006F6BBE" w:rsidRDefault="0089789C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48F6F357" w14:textId="77777777" w:rsidTr="00DA7E4F">
        <w:tc>
          <w:tcPr>
            <w:tcW w:w="4606" w:type="dxa"/>
            <w:vAlign w:val="center"/>
          </w:tcPr>
          <w:p w14:paraId="0315DA91" w14:textId="31DC1F02" w:rsidR="00DA7E4F" w:rsidRPr="0033040E" w:rsidRDefault="001D6EA2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33040E">
              <w:rPr>
                <w:rFonts w:ascii="Arial" w:hAnsi="Arial" w:cs="Arial"/>
                <w:color w:val="000000" w:themeColor="text1"/>
                <w:sz w:val="21"/>
                <w:szCs w:val="21"/>
              </w:rPr>
              <w:t>W-Technika group s.r.o.</w:t>
            </w:r>
          </w:p>
        </w:tc>
        <w:tc>
          <w:tcPr>
            <w:tcW w:w="5000" w:type="dxa"/>
            <w:vAlign w:val="center"/>
          </w:tcPr>
          <w:p w14:paraId="786EAD30" w14:textId="77777777" w:rsidR="00DA7E4F" w:rsidRPr="006F6BBE" w:rsidRDefault="000B3BEE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44E22666" w14:textId="77777777" w:rsidR="00DA7E4F" w:rsidRPr="006F6BBE" w:rsidRDefault="00DA7E4F" w:rsidP="00DA7E4F">
      <w:pPr>
        <w:ind w:left="0" w:firstLine="0"/>
        <w:rPr>
          <w:rFonts w:cs="Arial"/>
          <w:sz w:val="21"/>
          <w:szCs w:val="21"/>
        </w:rPr>
      </w:pPr>
    </w:p>
    <w:sectPr w:rsidR="00DA7E4F" w:rsidRPr="006F6BBE" w:rsidSect="00E837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E99F" w14:textId="77777777" w:rsidR="003C4566" w:rsidRDefault="003C4566" w:rsidP="00E837B7">
      <w:pPr>
        <w:spacing w:before="0" w:after="0"/>
      </w:pPr>
      <w:r>
        <w:separator/>
      </w:r>
    </w:p>
  </w:endnote>
  <w:endnote w:type="continuationSeparator" w:id="0">
    <w:p w14:paraId="38F15350" w14:textId="77777777" w:rsidR="003C4566" w:rsidRDefault="003C4566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4A7A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02A8F75A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725E0AF" w14:textId="77777777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E607C2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E607C2">
      <w:rPr>
        <w:rFonts w:cs="Arial"/>
        <w:bCs/>
        <w:noProof/>
        <w:sz w:val="21"/>
        <w:szCs w:val="21"/>
      </w:rPr>
      <w:t>5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FF034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BAEB70F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68B18ED1" w14:textId="77777777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812CA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812CAF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AAEC8" w14:textId="77777777" w:rsidR="003C4566" w:rsidRDefault="003C4566" w:rsidP="00E837B7">
      <w:pPr>
        <w:spacing w:before="0" w:after="0"/>
      </w:pPr>
      <w:r>
        <w:separator/>
      </w:r>
    </w:p>
  </w:footnote>
  <w:footnote w:type="continuationSeparator" w:id="0">
    <w:p w14:paraId="22DA0D65" w14:textId="77777777" w:rsidR="003C4566" w:rsidRDefault="003C4566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4E5F" w14:textId="0FA0FCDE" w:rsidR="008750FC" w:rsidRDefault="00072D6C" w:rsidP="008750F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Termokamera</w:t>
    </w:r>
    <w:r w:rsidR="001D6EA2">
      <w:rPr>
        <w:rFonts w:cs="Arial"/>
        <w:b/>
        <w:sz w:val="21"/>
        <w:szCs w:val="21"/>
      </w:rPr>
      <w:t xml:space="preserve"> FLIR</w:t>
    </w:r>
  </w:p>
  <w:p w14:paraId="4E199868" w14:textId="77777777" w:rsidR="00EA13EF" w:rsidRPr="00E837B7" w:rsidRDefault="00EA13EF" w:rsidP="008750F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46F8BE66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DCBC" w14:textId="77777777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5DBA123E" wp14:editId="465ABB2D">
          <wp:extent cx="1476375" cy="5238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210"/>
                  <a:stretch/>
                </pic:blipFill>
                <pic:spPr bwMode="auto">
                  <a:xfrm>
                    <a:off x="0" y="0"/>
                    <a:ext cx="14763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9FCF5E" w14:textId="6EFBB5FF" w:rsidR="00E837B7" w:rsidRDefault="005551EE" w:rsidP="005551EE">
    <w:pPr>
      <w:pStyle w:val="Zhlav"/>
      <w:jc w:val="right"/>
      <w:rPr>
        <w:rFonts w:cs="Arial"/>
      </w:rPr>
    </w:pPr>
    <w:r>
      <w:rPr>
        <w:rFonts w:cs="Arial"/>
      </w:rPr>
      <w:t>ID smlouvy: S/25/2</w:t>
    </w:r>
    <w:r w:rsidR="0009042C">
      <w:rPr>
        <w:rFonts w:cs="Arial"/>
      </w:rPr>
      <w:t>15</w:t>
    </w:r>
  </w:p>
  <w:p w14:paraId="11E33666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80C4D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73215"/>
    <w:multiLevelType w:val="hybridMultilevel"/>
    <w:tmpl w:val="351E417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3D8F553B"/>
    <w:multiLevelType w:val="hybridMultilevel"/>
    <w:tmpl w:val="A7DA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5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6" w15:restartNumberingAfterBreak="0">
    <w:nsid w:val="4A252269"/>
    <w:multiLevelType w:val="multilevel"/>
    <w:tmpl w:val="217E25BC"/>
    <w:numStyleLink w:val="Smlouvy"/>
  </w:abstractNum>
  <w:abstractNum w:abstractNumId="7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2AC4E15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31A58"/>
    <w:multiLevelType w:val="hybridMultilevel"/>
    <w:tmpl w:val="78BAE51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80EE3"/>
    <w:multiLevelType w:val="hybridMultilevel"/>
    <w:tmpl w:val="BD502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72E51D3F"/>
    <w:multiLevelType w:val="hybridMultilevel"/>
    <w:tmpl w:val="6E1EF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num w:numId="1" w16cid:durableId="1422871400">
    <w:abstractNumId w:val="1"/>
  </w:num>
  <w:num w:numId="2" w16cid:durableId="529076489">
    <w:abstractNumId w:val="7"/>
  </w:num>
  <w:num w:numId="3" w16cid:durableId="1735162436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454404806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485051165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168981038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2003043298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2093963600">
    <w:abstractNumId w:val="7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434404528">
    <w:abstractNumId w:val="11"/>
  </w:num>
  <w:num w:numId="10" w16cid:durableId="798491574">
    <w:abstractNumId w:val="4"/>
  </w:num>
  <w:num w:numId="11" w16cid:durableId="2053729818">
    <w:abstractNumId w:val="13"/>
  </w:num>
  <w:num w:numId="12" w16cid:durableId="353918089">
    <w:abstractNumId w:val="5"/>
  </w:num>
  <w:num w:numId="13" w16cid:durableId="230039611">
    <w:abstractNumId w:val="6"/>
  </w:num>
  <w:num w:numId="14" w16cid:durableId="1936396047">
    <w:abstractNumId w:val="12"/>
  </w:num>
  <w:num w:numId="15" w16cid:durableId="808598934">
    <w:abstractNumId w:val="9"/>
  </w:num>
  <w:num w:numId="16" w16cid:durableId="1592590780">
    <w:abstractNumId w:val="8"/>
  </w:num>
  <w:num w:numId="17" w16cid:durableId="317265317">
    <w:abstractNumId w:val="10"/>
  </w:num>
  <w:num w:numId="18" w16cid:durableId="491020185">
    <w:abstractNumId w:val="3"/>
  </w:num>
  <w:num w:numId="19" w16cid:durableId="1117987600">
    <w:abstractNumId w:val="0"/>
  </w:num>
  <w:num w:numId="20" w16cid:durableId="44376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E72"/>
    <w:rsid w:val="00016A93"/>
    <w:rsid w:val="00026F09"/>
    <w:rsid w:val="00032BC1"/>
    <w:rsid w:val="00041A90"/>
    <w:rsid w:val="00045A34"/>
    <w:rsid w:val="0005326E"/>
    <w:rsid w:val="000608FD"/>
    <w:rsid w:val="00061533"/>
    <w:rsid w:val="00072D6C"/>
    <w:rsid w:val="000766C5"/>
    <w:rsid w:val="00083913"/>
    <w:rsid w:val="00083DC0"/>
    <w:rsid w:val="00085079"/>
    <w:rsid w:val="00086454"/>
    <w:rsid w:val="0009042C"/>
    <w:rsid w:val="00090B69"/>
    <w:rsid w:val="000B0562"/>
    <w:rsid w:val="000B146D"/>
    <w:rsid w:val="000B2F72"/>
    <w:rsid w:val="000B3BEE"/>
    <w:rsid w:val="000F0E15"/>
    <w:rsid w:val="00104399"/>
    <w:rsid w:val="0010510A"/>
    <w:rsid w:val="00106E4A"/>
    <w:rsid w:val="00110D2C"/>
    <w:rsid w:val="001244D4"/>
    <w:rsid w:val="001576F7"/>
    <w:rsid w:val="0017523F"/>
    <w:rsid w:val="001935F1"/>
    <w:rsid w:val="0019571C"/>
    <w:rsid w:val="0019664E"/>
    <w:rsid w:val="001B1E80"/>
    <w:rsid w:val="001B445F"/>
    <w:rsid w:val="001C2981"/>
    <w:rsid w:val="001D4645"/>
    <w:rsid w:val="001D6EA2"/>
    <w:rsid w:val="001F5F10"/>
    <w:rsid w:val="00202D26"/>
    <w:rsid w:val="00206064"/>
    <w:rsid w:val="00213072"/>
    <w:rsid w:val="002218A9"/>
    <w:rsid w:val="002266F4"/>
    <w:rsid w:val="002274A0"/>
    <w:rsid w:val="00234C3D"/>
    <w:rsid w:val="00236B0C"/>
    <w:rsid w:val="0024072D"/>
    <w:rsid w:val="00241F24"/>
    <w:rsid w:val="0025320E"/>
    <w:rsid w:val="002769BD"/>
    <w:rsid w:val="00277399"/>
    <w:rsid w:val="00290C01"/>
    <w:rsid w:val="00293780"/>
    <w:rsid w:val="00295E66"/>
    <w:rsid w:val="002A10CE"/>
    <w:rsid w:val="002A2951"/>
    <w:rsid w:val="002A4BE0"/>
    <w:rsid w:val="002C4C73"/>
    <w:rsid w:val="002D1D3E"/>
    <w:rsid w:val="002F288D"/>
    <w:rsid w:val="002F5DC3"/>
    <w:rsid w:val="0030223E"/>
    <w:rsid w:val="00310B07"/>
    <w:rsid w:val="0032134F"/>
    <w:rsid w:val="00322F8C"/>
    <w:rsid w:val="0032583A"/>
    <w:rsid w:val="003271F6"/>
    <w:rsid w:val="0033040E"/>
    <w:rsid w:val="00332790"/>
    <w:rsid w:val="00343457"/>
    <w:rsid w:val="00347387"/>
    <w:rsid w:val="00357108"/>
    <w:rsid w:val="0036166F"/>
    <w:rsid w:val="00370F7A"/>
    <w:rsid w:val="00382D22"/>
    <w:rsid w:val="00396A9F"/>
    <w:rsid w:val="003A5567"/>
    <w:rsid w:val="003B0B43"/>
    <w:rsid w:val="003C4566"/>
    <w:rsid w:val="003C74B6"/>
    <w:rsid w:val="003D620D"/>
    <w:rsid w:val="003E6BE8"/>
    <w:rsid w:val="00414754"/>
    <w:rsid w:val="0041559E"/>
    <w:rsid w:val="00415B70"/>
    <w:rsid w:val="00417D3B"/>
    <w:rsid w:val="00420C0B"/>
    <w:rsid w:val="004218BE"/>
    <w:rsid w:val="00425294"/>
    <w:rsid w:val="004262D4"/>
    <w:rsid w:val="00430CE8"/>
    <w:rsid w:val="00441166"/>
    <w:rsid w:val="00446525"/>
    <w:rsid w:val="004640C0"/>
    <w:rsid w:val="00474362"/>
    <w:rsid w:val="00486CCB"/>
    <w:rsid w:val="00486D1A"/>
    <w:rsid w:val="00494115"/>
    <w:rsid w:val="004A0820"/>
    <w:rsid w:val="004C68DC"/>
    <w:rsid w:val="004E28C1"/>
    <w:rsid w:val="004F78B5"/>
    <w:rsid w:val="00501564"/>
    <w:rsid w:val="00506F22"/>
    <w:rsid w:val="00513047"/>
    <w:rsid w:val="00517DEC"/>
    <w:rsid w:val="005211CC"/>
    <w:rsid w:val="00544E72"/>
    <w:rsid w:val="0055374D"/>
    <w:rsid w:val="005551EE"/>
    <w:rsid w:val="005579B0"/>
    <w:rsid w:val="005611AE"/>
    <w:rsid w:val="0057367C"/>
    <w:rsid w:val="005748FE"/>
    <w:rsid w:val="00575F0C"/>
    <w:rsid w:val="00576AC1"/>
    <w:rsid w:val="005A2C26"/>
    <w:rsid w:val="005A5AFA"/>
    <w:rsid w:val="005B0665"/>
    <w:rsid w:val="005B2405"/>
    <w:rsid w:val="005C3B19"/>
    <w:rsid w:val="005D529A"/>
    <w:rsid w:val="005E3214"/>
    <w:rsid w:val="005E3836"/>
    <w:rsid w:val="005F24F4"/>
    <w:rsid w:val="005F2A58"/>
    <w:rsid w:val="0060520E"/>
    <w:rsid w:val="00625CAB"/>
    <w:rsid w:val="00632990"/>
    <w:rsid w:val="00647399"/>
    <w:rsid w:val="00665831"/>
    <w:rsid w:val="00673678"/>
    <w:rsid w:val="00676188"/>
    <w:rsid w:val="00684474"/>
    <w:rsid w:val="00695CC2"/>
    <w:rsid w:val="006975AB"/>
    <w:rsid w:val="006A62FE"/>
    <w:rsid w:val="006C30B5"/>
    <w:rsid w:val="006C6BFB"/>
    <w:rsid w:val="006D532D"/>
    <w:rsid w:val="006D62AC"/>
    <w:rsid w:val="006F083C"/>
    <w:rsid w:val="006F29AC"/>
    <w:rsid w:val="006F6BBE"/>
    <w:rsid w:val="00700E21"/>
    <w:rsid w:val="007072A6"/>
    <w:rsid w:val="00723C1C"/>
    <w:rsid w:val="00734F9B"/>
    <w:rsid w:val="00751A33"/>
    <w:rsid w:val="00752685"/>
    <w:rsid w:val="00763415"/>
    <w:rsid w:val="00773026"/>
    <w:rsid w:val="00773B3E"/>
    <w:rsid w:val="00773DE2"/>
    <w:rsid w:val="00776499"/>
    <w:rsid w:val="007835B6"/>
    <w:rsid w:val="00783BF2"/>
    <w:rsid w:val="00792B2A"/>
    <w:rsid w:val="007A1D9D"/>
    <w:rsid w:val="007A2C39"/>
    <w:rsid w:val="007C0E67"/>
    <w:rsid w:val="007D768E"/>
    <w:rsid w:val="007F3928"/>
    <w:rsid w:val="00806873"/>
    <w:rsid w:val="00812CAF"/>
    <w:rsid w:val="00823977"/>
    <w:rsid w:val="00825909"/>
    <w:rsid w:val="008430F0"/>
    <w:rsid w:val="00847C32"/>
    <w:rsid w:val="00860B64"/>
    <w:rsid w:val="0086297B"/>
    <w:rsid w:val="008750FC"/>
    <w:rsid w:val="008822F5"/>
    <w:rsid w:val="0089789C"/>
    <w:rsid w:val="008A1898"/>
    <w:rsid w:val="008A577A"/>
    <w:rsid w:val="008B0962"/>
    <w:rsid w:val="008C2302"/>
    <w:rsid w:val="008C513F"/>
    <w:rsid w:val="008D127B"/>
    <w:rsid w:val="008E31F1"/>
    <w:rsid w:val="008F0FA0"/>
    <w:rsid w:val="0090102A"/>
    <w:rsid w:val="00920382"/>
    <w:rsid w:val="00920954"/>
    <w:rsid w:val="0094492F"/>
    <w:rsid w:val="00952B2B"/>
    <w:rsid w:val="009757FC"/>
    <w:rsid w:val="00991B63"/>
    <w:rsid w:val="009B0C68"/>
    <w:rsid w:val="009B449A"/>
    <w:rsid w:val="009E4287"/>
    <w:rsid w:val="009F2D63"/>
    <w:rsid w:val="00A17C78"/>
    <w:rsid w:val="00A2142F"/>
    <w:rsid w:val="00A52EE8"/>
    <w:rsid w:val="00A54DE6"/>
    <w:rsid w:val="00A5626B"/>
    <w:rsid w:val="00A56A5A"/>
    <w:rsid w:val="00A70732"/>
    <w:rsid w:val="00A74B67"/>
    <w:rsid w:val="00A74DF4"/>
    <w:rsid w:val="00A7765B"/>
    <w:rsid w:val="00A82B36"/>
    <w:rsid w:val="00A9561E"/>
    <w:rsid w:val="00AB4B83"/>
    <w:rsid w:val="00AC65A0"/>
    <w:rsid w:val="00AF0952"/>
    <w:rsid w:val="00AF7BFD"/>
    <w:rsid w:val="00B024CF"/>
    <w:rsid w:val="00B0255B"/>
    <w:rsid w:val="00B05442"/>
    <w:rsid w:val="00B113DB"/>
    <w:rsid w:val="00B146F8"/>
    <w:rsid w:val="00B15EAA"/>
    <w:rsid w:val="00B204F2"/>
    <w:rsid w:val="00B2187B"/>
    <w:rsid w:val="00B26E87"/>
    <w:rsid w:val="00B34634"/>
    <w:rsid w:val="00B35165"/>
    <w:rsid w:val="00B42FD8"/>
    <w:rsid w:val="00B47478"/>
    <w:rsid w:val="00B5522F"/>
    <w:rsid w:val="00B608FB"/>
    <w:rsid w:val="00B60EA0"/>
    <w:rsid w:val="00B719FC"/>
    <w:rsid w:val="00B71E91"/>
    <w:rsid w:val="00B74C17"/>
    <w:rsid w:val="00B75E6E"/>
    <w:rsid w:val="00B84415"/>
    <w:rsid w:val="00B97B9D"/>
    <w:rsid w:val="00BB2ED1"/>
    <w:rsid w:val="00BC0496"/>
    <w:rsid w:val="00BC7A71"/>
    <w:rsid w:val="00BD4FB4"/>
    <w:rsid w:val="00BE2F06"/>
    <w:rsid w:val="00BE34BF"/>
    <w:rsid w:val="00BE523C"/>
    <w:rsid w:val="00BF4939"/>
    <w:rsid w:val="00BF7FCE"/>
    <w:rsid w:val="00C00D60"/>
    <w:rsid w:val="00C10EA9"/>
    <w:rsid w:val="00C3247A"/>
    <w:rsid w:val="00C43690"/>
    <w:rsid w:val="00C459DF"/>
    <w:rsid w:val="00C465DA"/>
    <w:rsid w:val="00C72346"/>
    <w:rsid w:val="00C75574"/>
    <w:rsid w:val="00CA2907"/>
    <w:rsid w:val="00CC1F07"/>
    <w:rsid w:val="00CC3782"/>
    <w:rsid w:val="00CE0FED"/>
    <w:rsid w:val="00CE3DDD"/>
    <w:rsid w:val="00CF6A0C"/>
    <w:rsid w:val="00D05606"/>
    <w:rsid w:val="00D05A8A"/>
    <w:rsid w:val="00D1645C"/>
    <w:rsid w:val="00D256E5"/>
    <w:rsid w:val="00D36E39"/>
    <w:rsid w:val="00D643DA"/>
    <w:rsid w:val="00DA4405"/>
    <w:rsid w:val="00DA7E4F"/>
    <w:rsid w:val="00DB6E45"/>
    <w:rsid w:val="00DC1641"/>
    <w:rsid w:val="00DD4560"/>
    <w:rsid w:val="00DD6DDF"/>
    <w:rsid w:val="00DE1138"/>
    <w:rsid w:val="00DE5A99"/>
    <w:rsid w:val="00DF22BF"/>
    <w:rsid w:val="00E03F3D"/>
    <w:rsid w:val="00E154A6"/>
    <w:rsid w:val="00E17104"/>
    <w:rsid w:val="00E17210"/>
    <w:rsid w:val="00E17F49"/>
    <w:rsid w:val="00E22B3C"/>
    <w:rsid w:val="00E36BDE"/>
    <w:rsid w:val="00E44971"/>
    <w:rsid w:val="00E46D1A"/>
    <w:rsid w:val="00E5688A"/>
    <w:rsid w:val="00E607C2"/>
    <w:rsid w:val="00E64697"/>
    <w:rsid w:val="00E8036B"/>
    <w:rsid w:val="00E80C19"/>
    <w:rsid w:val="00E837A6"/>
    <w:rsid w:val="00E837B7"/>
    <w:rsid w:val="00E83B9E"/>
    <w:rsid w:val="00E90773"/>
    <w:rsid w:val="00EA13EF"/>
    <w:rsid w:val="00EA1B1D"/>
    <w:rsid w:val="00EA576C"/>
    <w:rsid w:val="00EB2416"/>
    <w:rsid w:val="00EC5DDC"/>
    <w:rsid w:val="00ED18F3"/>
    <w:rsid w:val="00ED5992"/>
    <w:rsid w:val="00EE3DEC"/>
    <w:rsid w:val="00F02F2D"/>
    <w:rsid w:val="00F06D9F"/>
    <w:rsid w:val="00F13677"/>
    <w:rsid w:val="00F1387A"/>
    <w:rsid w:val="00F200CC"/>
    <w:rsid w:val="00F26D33"/>
    <w:rsid w:val="00F33AE4"/>
    <w:rsid w:val="00F374E1"/>
    <w:rsid w:val="00F409D3"/>
    <w:rsid w:val="00F416AE"/>
    <w:rsid w:val="00F51721"/>
    <w:rsid w:val="00F57D05"/>
    <w:rsid w:val="00F641CA"/>
    <w:rsid w:val="00F715DC"/>
    <w:rsid w:val="00F74936"/>
    <w:rsid w:val="00F83476"/>
    <w:rsid w:val="00F83F49"/>
    <w:rsid w:val="00F84A66"/>
    <w:rsid w:val="00F9199E"/>
    <w:rsid w:val="00F969D0"/>
    <w:rsid w:val="00FA7027"/>
    <w:rsid w:val="00FB1436"/>
    <w:rsid w:val="00FB236F"/>
    <w:rsid w:val="00FB3859"/>
    <w:rsid w:val="00FC1552"/>
    <w:rsid w:val="00FC4953"/>
    <w:rsid w:val="00FD666F"/>
    <w:rsid w:val="00FE42D6"/>
    <w:rsid w:val="00FE4743"/>
    <w:rsid w:val="00FE670A"/>
    <w:rsid w:val="00FE6829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DD833"/>
  <w15:docId w15:val="{7A48C344-67EC-4A70-BD86-79E444ED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8C2302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0F0E1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555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korbarova@w-technika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C9948-4E86-4C5C-A6AC-1F70A6B9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9871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Lenka Dusová</cp:lastModifiedBy>
  <cp:revision>2</cp:revision>
  <cp:lastPrinted>2015-08-24T10:14:00Z</cp:lastPrinted>
  <dcterms:created xsi:type="dcterms:W3CDTF">2025-11-21T12:06:00Z</dcterms:created>
  <dcterms:modified xsi:type="dcterms:W3CDTF">2025-11-21T12:06:00Z</dcterms:modified>
</cp:coreProperties>
</file>