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B66A" w14:textId="77777777" w:rsidR="000A7B2F" w:rsidRDefault="00034566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91EADD7" w14:textId="77777777" w:rsidR="000A7B2F" w:rsidRDefault="00034566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27.10.2025 08:15:02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8FFE6D4" w14:textId="77777777" w:rsidR="000A7B2F" w:rsidRDefault="00034566">
      <w:pPr>
        <w:spacing w:after="117"/>
        <w:ind w:left="47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429292/2025 pro Státní pozemkový úřad</w:t>
      </w:r>
    </w:p>
    <w:p w14:paraId="5C46FEB3" w14:textId="77777777" w:rsidR="000A7B2F" w:rsidRDefault="00034566">
      <w:pPr>
        <w:tabs>
          <w:tab w:val="center" w:pos="1985"/>
          <w:tab w:val="center" w:pos="828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542423 Černouček</w:t>
      </w:r>
    </w:p>
    <w:p w14:paraId="2AA5EEE6" w14:textId="77777777" w:rsidR="000A7B2F" w:rsidRDefault="00034566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618071 Černouček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ACAA72D" w14:textId="77777777" w:rsidR="000A7B2F" w:rsidRDefault="00034566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551"/>
        <w:gridCol w:w="38"/>
        <w:gridCol w:w="11"/>
      </w:tblGrid>
      <w:tr w:rsidR="000A7B2F" w14:paraId="2B10FA7D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7C36FA" w14:textId="77777777" w:rsidR="000A7B2F" w:rsidRDefault="00034566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755CF31" w14:textId="77777777" w:rsidR="000A7B2F" w:rsidRDefault="00034566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1FA5161" w14:textId="77777777" w:rsidR="000A7B2F" w:rsidRDefault="0003456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0A7B2F" w14:paraId="10DDAEA4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56657D0" w14:textId="77777777" w:rsidR="000A7B2F" w:rsidRDefault="0003456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243AE91" w14:textId="77777777" w:rsidR="000A7B2F" w:rsidRDefault="00034566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98CA8A5" w14:textId="77777777" w:rsidR="000A7B2F" w:rsidRDefault="00034566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42EB616" w14:textId="77777777" w:rsidR="000A7B2F" w:rsidRDefault="0003456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F0C2304" w14:textId="77777777" w:rsidR="000A7B2F" w:rsidRDefault="00034566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FA80CB1" w14:textId="77777777" w:rsidR="000A7B2F" w:rsidRDefault="00034566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CFBE400" w14:textId="77777777" w:rsidR="000A7B2F" w:rsidRDefault="00034566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666BE07" w14:textId="77777777" w:rsidR="000A7B2F" w:rsidRDefault="00034566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E94C6EA" w14:textId="77777777" w:rsidR="000A7B2F" w:rsidRDefault="00034566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C9FFDF0" w14:textId="77777777" w:rsidR="000A7B2F" w:rsidRDefault="000A7B2F"/>
        </w:tc>
      </w:tr>
      <w:tr w:rsidR="000A7B2F" w14:paraId="1DF0CB74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38183E0" w14:textId="77777777" w:rsidR="000A7B2F" w:rsidRDefault="00034566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AACE7FD" w14:textId="77777777" w:rsidR="000A7B2F" w:rsidRDefault="00034566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64CB6EB" w14:textId="77777777" w:rsidR="000A7B2F" w:rsidRDefault="00034566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8121F54" w14:textId="77777777" w:rsidR="000A7B2F" w:rsidRDefault="00034566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A4897B6" w14:textId="77777777" w:rsidR="000A7B2F" w:rsidRDefault="000A7B2F"/>
        </w:tc>
      </w:tr>
      <w:tr w:rsidR="000A7B2F" w14:paraId="43CFEF4F" w14:textId="77777777">
        <w:tblPrEx>
          <w:tblCellMar>
            <w:top w:w="0" w:type="dxa"/>
          </w:tblCellMar>
        </w:tblPrEx>
        <w:trPr>
          <w:gridBefore w:val="2"/>
          <w:gridAfter w:val="1"/>
          <w:wBefore w:w="289" w:type="dxa"/>
          <w:wAfter w:w="11" w:type="dxa"/>
          <w:trHeight w:val="409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39B9ECAB" w14:textId="77777777" w:rsidR="000A7B2F" w:rsidRDefault="00034566">
            <w:pPr>
              <w:spacing w:after="113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144/12</w:t>
            </w:r>
          </w:p>
          <w:p w14:paraId="2CB9398F" w14:textId="77777777" w:rsidR="000A7B2F" w:rsidRDefault="00034566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263/23</w:t>
            </w:r>
          </w:p>
          <w:p w14:paraId="58E1E9D5" w14:textId="77777777" w:rsidR="000A7B2F" w:rsidRDefault="0003456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263/35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6DD463C6" w14:textId="77777777" w:rsidR="000A7B2F" w:rsidRDefault="00034566">
            <w:pPr>
              <w:spacing w:after="1136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718 orná půda</w:t>
            </w:r>
          </w:p>
          <w:p w14:paraId="08048324" w14:textId="77777777" w:rsidR="000A7B2F" w:rsidRDefault="00034566">
            <w:pPr>
              <w:spacing w:after="1135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9013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3027B83F" w14:textId="77777777" w:rsidR="000A7B2F" w:rsidRDefault="00034566">
            <w:pPr>
              <w:spacing w:after="0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12920 orná půda</w:t>
            </w: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D41D41" w14:textId="77777777" w:rsidR="000A7B2F" w:rsidRDefault="00034566">
            <w:pPr>
              <w:spacing w:after="0" w:line="234" w:lineRule="auto"/>
              <w:ind w:left="1542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2A7334AF" w14:textId="77777777" w:rsidR="000A7B2F" w:rsidRDefault="00034566">
            <w:pPr>
              <w:spacing w:after="0" w:line="245" w:lineRule="auto"/>
              <w:ind w:left="1542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20B8F0F9" w14:textId="77777777" w:rsidR="000A7B2F" w:rsidRDefault="00034566">
            <w:pPr>
              <w:spacing w:after="0" w:line="245" w:lineRule="auto"/>
              <w:ind w:left="1542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72013A4D" w14:textId="77777777" w:rsidR="000A7B2F" w:rsidRDefault="00034566">
            <w:pPr>
              <w:spacing w:after="0" w:line="234" w:lineRule="auto"/>
              <w:ind w:left="1542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</w:t>
            </w:r>
          </w:p>
          <w:p w14:paraId="34267E81" w14:textId="77777777" w:rsidR="000A7B2F" w:rsidRDefault="00034566">
            <w:pPr>
              <w:spacing w:after="0"/>
              <w:ind w:right="37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0A7B2F" w14:paraId="534F1484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3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B1C7860" w14:textId="77777777" w:rsidR="000A7B2F" w:rsidRDefault="0003456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E42CA13" w14:textId="77777777" w:rsidR="000A7B2F" w:rsidRDefault="000A7B2F"/>
        </w:tc>
      </w:tr>
      <w:tr w:rsidR="000A7B2F" w14:paraId="35A222B4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BD2EF16" w14:textId="77777777" w:rsidR="000A7B2F" w:rsidRDefault="0003456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62ADE63" w14:textId="77777777" w:rsidR="000A7B2F" w:rsidRDefault="0003456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81A29B6" w14:textId="77777777" w:rsidR="000A7B2F" w:rsidRDefault="00034566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0EBEE830" w14:textId="77777777" w:rsidR="000A7B2F" w:rsidRDefault="00034566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2E8B05C6" wp14:editId="26694A7B">
                <wp:extent cx="7020052" cy="38100"/>
                <wp:effectExtent l="0" t="0" r="0" b="0"/>
                <wp:docPr id="2899" name="Group 2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9" style="width:552.76pt;height:3pt;mso-position-horizontal-relative:char;mso-position-vertical-relative:line" coordsize="70200,381">
                <v:shape id="Shape 10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DE2E56" w14:textId="77777777" w:rsidR="000A7B2F" w:rsidRDefault="00034566">
      <w:pPr>
        <w:pStyle w:val="Nadpis1"/>
        <w:spacing w:after="0"/>
        <w:ind w:left="34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02A47C3A" w14:textId="77777777" w:rsidR="000A7B2F" w:rsidRDefault="00034566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05B2A73" wp14:editId="3478487B">
                <wp:extent cx="7020052" cy="37592"/>
                <wp:effectExtent l="0" t="0" r="0" b="0"/>
                <wp:docPr id="2898" name="Group 2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8" style="width:552.76pt;height:2.96002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B3E6E85" w14:textId="77777777" w:rsidR="000A7B2F" w:rsidRDefault="00034566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522E007" w14:textId="77777777" w:rsidR="000A7B2F" w:rsidRDefault="00034566">
      <w:pPr>
        <w:pStyle w:val="Nadpis1"/>
        <w:ind w:left="34"/>
      </w:pPr>
      <w:r>
        <w:t>Listina</w:t>
      </w:r>
    </w:p>
    <w:p w14:paraId="45F932C0" w14:textId="77777777" w:rsidR="000A7B2F" w:rsidRDefault="00034566">
      <w:pPr>
        <w:numPr>
          <w:ilvl w:val="0"/>
          <w:numId w:val="1"/>
        </w:numPr>
        <w:spacing w:after="0"/>
        <w:ind w:left="338" w:hanging="222"/>
      </w:pP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041CD129" w14:textId="77777777" w:rsidR="000A7B2F" w:rsidRDefault="00034566">
      <w:pPr>
        <w:spacing w:after="47"/>
        <w:ind w:left="364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6090CA77" w14:textId="77777777" w:rsidR="000A7B2F" w:rsidRDefault="00034566">
      <w:pPr>
        <w:spacing w:after="42"/>
        <w:ind w:left="10" w:right="75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2DB41664" w14:textId="77777777" w:rsidR="000A7B2F" w:rsidRDefault="00034566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0CBC807" w14:textId="77777777" w:rsidR="000A7B2F" w:rsidRDefault="00034566">
      <w:pPr>
        <w:numPr>
          <w:ilvl w:val="0"/>
          <w:numId w:val="1"/>
        </w:numPr>
        <w:spacing w:after="47"/>
        <w:ind w:left="338" w:hanging="222"/>
      </w:pPr>
      <w:r>
        <w:rPr>
          <w:rFonts w:ascii="Courier New" w:eastAsia="Courier New" w:hAnsi="Courier New" w:cs="Courier New"/>
          <w:b/>
          <w:sz w:val="20"/>
        </w:rPr>
        <w:lastRenderedPageBreak/>
        <w:t>Zápis o předání majetku státu (§ 19 odst. 1 zák.č.219/2000 Sb.) UZSVM/U/-13940/2024 -HMSO ze dne 19.08.2024. Právní účinky zápisu k okamžiku 26.08.2024 08:50:12. Zápis proveden dne 13.09.2024.</w:t>
      </w:r>
    </w:p>
    <w:p w14:paraId="54C59C3E" w14:textId="77777777" w:rsidR="000A7B2F" w:rsidRDefault="00034566">
      <w:pPr>
        <w:spacing w:after="42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3C07DF59" w14:textId="77777777" w:rsidR="000A7B2F" w:rsidRDefault="00034566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817433" wp14:editId="52537004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897" name="Group 2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97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15103798" w14:textId="77777777" w:rsidR="000A7B2F" w:rsidRDefault="00034566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A318907" w14:textId="77777777" w:rsidR="000A7B2F" w:rsidRDefault="00034566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27.10.2025 08:15:02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9629DF8" w14:textId="77777777" w:rsidR="000A7B2F" w:rsidRDefault="00034566">
      <w:pPr>
        <w:tabs>
          <w:tab w:val="center" w:pos="1985"/>
          <w:tab w:val="center" w:pos="828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542423 Černouček</w:t>
      </w:r>
    </w:p>
    <w:p w14:paraId="6753176C" w14:textId="77777777" w:rsidR="000A7B2F" w:rsidRDefault="00034566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618071 Černouček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9B66C63" w14:textId="77777777" w:rsidR="000A7B2F" w:rsidRDefault="00034566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6691038" w14:textId="77777777" w:rsidR="000A7B2F" w:rsidRDefault="00034566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65FD18BA" wp14:editId="39AA7827">
                <wp:extent cx="7020052" cy="1"/>
                <wp:effectExtent l="0" t="0" r="0" b="0"/>
                <wp:docPr id="2565" name="Group 2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5" style="width:552.76pt;height:7.87402e-05pt;mso-position-horizontal-relative:char;mso-position-vertical-relative:line" coordsize="70200,0">
                <v:shape id="Shape 15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A010BA" w14:textId="77777777" w:rsidR="000A7B2F" w:rsidRDefault="00034566">
      <w:pPr>
        <w:pStyle w:val="Nadpis1"/>
        <w:ind w:left="34"/>
      </w:pPr>
      <w:r>
        <w:t>Listina</w:t>
      </w:r>
    </w:p>
    <w:p w14:paraId="02AEAE5A" w14:textId="77777777" w:rsidR="000A7B2F" w:rsidRDefault="00034566">
      <w:pPr>
        <w:spacing w:after="169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0A7B2F" w14:paraId="0B32C6E5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2637310" w14:textId="77777777" w:rsidR="000A7B2F" w:rsidRDefault="00034566">
            <w:pPr>
              <w:tabs>
                <w:tab w:val="right" w:pos="5360"/>
              </w:tabs>
              <w:spacing w:after="163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3C41E16A" w14:textId="77777777" w:rsidR="000A7B2F" w:rsidRDefault="00034566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6717D9D" w14:textId="77777777" w:rsidR="000A7B2F" w:rsidRDefault="00034566">
            <w:pPr>
              <w:spacing w:after="163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0AECC7A1" w14:textId="77777777" w:rsidR="000A7B2F" w:rsidRDefault="00034566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8B32BED" w14:textId="77777777" w:rsidR="000A7B2F" w:rsidRDefault="00034566">
            <w:pPr>
              <w:spacing w:after="163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4CA90507" w14:textId="77777777" w:rsidR="000A7B2F" w:rsidRDefault="00034566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0A7B2F" w14:paraId="491646EF" w14:textId="77777777">
        <w:trPr>
          <w:trHeight w:val="162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6050181" w14:textId="77777777" w:rsidR="000A7B2F" w:rsidRDefault="00034566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144/12</w:t>
            </w:r>
          </w:p>
          <w:p w14:paraId="7917822F" w14:textId="77777777" w:rsidR="000A7B2F" w:rsidRDefault="00034566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263/23</w:t>
            </w:r>
          </w:p>
          <w:p w14:paraId="15EA3A7D" w14:textId="77777777" w:rsidR="000A7B2F" w:rsidRDefault="00034566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263/35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5D29929" w14:textId="77777777" w:rsidR="000A7B2F" w:rsidRDefault="0003456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12113</w:t>
            </w:r>
          </w:p>
          <w:p w14:paraId="0B4AAC3D" w14:textId="77777777" w:rsidR="000A7B2F" w:rsidRDefault="0003456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10600</w:t>
            </w:r>
          </w:p>
          <w:p w14:paraId="4ABE5AAE" w14:textId="77777777" w:rsidR="000A7B2F" w:rsidRDefault="0003456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10600</w:t>
            </w:r>
          </w:p>
          <w:p w14:paraId="03A999BC" w14:textId="77777777" w:rsidR="000A7B2F" w:rsidRDefault="0003456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10602</w:t>
            </w:r>
          </w:p>
          <w:p w14:paraId="1C7B7094" w14:textId="77777777" w:rsidR="000A7B2F" w:rsidRDefault="0003456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12113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69AA8D8" w14:textId="77777777" w:rsidR="000A7B2F" w:rsidRDefault="00034566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718</w:t>
            </w:r>
          </w:p>
          <w:p w14:paraId="364C4075" w14:textId="77777777" w:rsidR="000A7B2F" w:rsidRDefault="00034566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9013</w:t>
            </w:r>
          </w:p>
          <w:p w14:paraId="2651A81D" w14:textId="77777777" w:rsidR="000A7B2F" w:rsidRDefault="00034566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149</w:t>
            </w:r>
          </w:p>
          <w:p w14:paraId="25AB31AF" w14:textId="77777777" w:rsidR="000A7B2F" w:rsidRDefault="00034566">
            <w:pPr>
              <w:spacing w:after="39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11589</w:t>
            </w:r>
          </w:p>
          <w:p w14:paraId="339DD58D" w14:textId="77777777" w:rsidR="000A7B2F" w:rsidRDefault="00034566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1182</w:t>
            </w:r>
          </w:p>
        </w:tc>
      </w:tr>
    </w:tbl>
    <w:p w14:paraId="76AC07F4" w14:textId="77777777" w:rsidR="000A7B2F" w:rsidRDefault="00034566">
      <w:pPr>
        <w:spacing w:after="48"/>
        <w:ind w:left="34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0BA0045" w14:textId="77777777" w:rsidR="000A7B2F" w:rsidRDefault="00034566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3AA92ECF" w14:textId="77777777" w:rsidR="000A7B2F" w:rsidRDefault="00034566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27.10.2025  08</w:t>
      </w:r>
      <w:proofErr w:type="gramEnd"/>
      <w:r>
        <w:rPr>
          <w:rFonts w:ascii="Courier New" w:eastAsia="Courier New" w:hAnsi="Courier New" w:cs="Courier New"/>
          <w:i/>
          <w:sz w:val="20"/>
        </w:rPr>
        <w:t>:36:04</w:t>
      </w:r>
    </w:p>
    <w:p w14:paraId="07758994" w14:textId="77777777" w:rsidR="000A7B2F" w:rsidRDefault="00034566">
      <w:pPr>
        <w:pStyle w:val="Nadpis1"/>
        <w:ind w:left="34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432BA617" w14:textId="77777777" w:rsidR="000A7B2F" w:rsidRDefault="00034566">
      <w:pPr>
        <w:spacing w:after="7036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7C8FAA73" w14:textId="77777777" w:rsidR="000A7B2F" w:rsidRDefault="00034566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D04F2D" wp14:editId="617A5779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64" name="Group 2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64" style="width:552.76pt;height:7.87402e-05pt;position:absolute;z-index:3;mso-position-horizontal-relative:text;mso-position-horizontal:absolute;margin-left:-0.6pt;mso-position-vertical-relative:text;margin-top:0.10022pt;" coordsize="70200,0">
                <v:shape id="Shape 13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0A7B2F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C7A12"/>
    <w:multiLevelType w:val="hybridMultilevel"/>
    <w:tmpl w:val="CFFA36EE"/>
    <w:lvl w:ilvl="0" w:tplc="D96213B0">
      <w:start w:val="1"/>
      <w:numFmt w:val="bullet"/>
      <w:lvlText w:val="o"/>
      <w:lvlJc w:val="left"/>
      <w:pPr>
        <w:ind w:left="3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8019B0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B608E6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42ABC4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FC5044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AAF702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C0249C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EC220A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1237C0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154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2F"/>
    <w:rsid w:val="00034566"/>
    <w:rsid w:val="000A7B2F"/>
    <w:rsid w:val="00A8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94CB"/>
  <w15:docId w15:val="{733B7720-43C9-4FCA-8B33-4427BF53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9" w:line="259" w:lineRule="auto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2831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290062365011.pdf</dc:title>
  <dc:subject/>
  <dc:creator>Oracle Reports</dc:creator>
  <cp:keywords/>
  <cp:lastModifiedBy>Bendová Pavlína</cp:lastModifiedBy>
  <cp:revision>2</cp:revision>
  <dcterms:created xsi:type="dcterms:W3CDTF">2025-11-12T15:20:00Z</dcterms:created>
  <dcterms:modified xsi:type="dcterms:W3CDTF">2025-11-12T15:20:00Z</dcterms:modified>
</cp:coreProperties>
</file>