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949C" w14:textId="1DE4CFC4" w:rsidR="004A02F7" w:rsidRDefault="004A02F7" w:rsidP="00273F8D">
      <w:pPr>
        <w:tabs>
          <w:tab w:val="left" w:pos="1418"/>
        </w:tabs>
        <w:spacing w:before="600"/>
      </w:pPr>
      <w:r w:rsidRPr="007C5BBC">
        <w:t>Č. smlouvy:</w:t>
      </w:r>
      <w:r w:rsidRPr="007C5BBC">
        <w:tab/>
      </w:r>
      <w:r w:rsidR="0005519E">
        <w:rPr>
          <w:szCs w:val="20"/>
        </w:rPr>
        <w:t>126/2025</w:t>
      </w:r>
    </w:p>
    <w:p w14:paraId="60CF5677" w14:textId="47F58269" w:rsidR="0005519E" w:rsidRDefault="0005519E" w:rsidP="00095E29">
      <w:pPr>
        <w:spacing w:before="480" w:after="600"/>
        <w:jc w:val="both"/>
        <w:rPr>
          <w:rFonts w:eastAsiaTheme="majorEastAsia" w:cstheme="majorBidi"/>
          <w:caps/>
          <w:color w:val="73767D"/>
          <w:sz w:val="36"/>
          <w:szCs w:val="18"/>
        </w:rPr>
      </w:pPr>
      <w:r w:rsidRPr="0005519E">
        <w:rPr>
          <w:rFonts w:eastAsiaTheme="majorEastAsia" w:cstheme="majorBidi"/>
          <w:caps/>
          <w:color w:val="73767D"/>
          <w:sz w:val="36"/>
          <w:szCs w:val="18"/>
        </w:rPr>
        <w:t xml:space="preserve">Smlouva o </w:t>
      </w:r>
      <w:r w:rsidR="002C4BD8">
        <w:rPr>
          <w:rFonts w:eastAsiaTheme="majorEastAsia" w:cstheme="majorBidi"/>
          <w:caps/>
          <w:color w:val="73767D"/>
          <w:sz w:val="36"/>
          <w:szCs w:val="18"/>
        </w:rPr>
        <w:t xml:space="preserve">zpracování </w:t>
      </w:r>
      <w:r w:rsidRPr="0005519E">
        <w:rPr>
          <w:rFonts w:eastAsiaTheme="majorEastAsia" w:cstheme="majorBidi"/>
          <w:caps/>
          <w:color w:val="73767D"/>
          <w:sz w:val="36"/>
          <w:szCs w:val="18"/>
        </w:rPr>
        <w:t>odborn</w:t>
      </w:r>
      <w:r w:rsidR="002C4BD8">
        <w:rPr>
          <w:rFonts w:eastAsiaTheme="majorEastAsia" w:cstheme="majorBidi"/>
          <w:caps/>
          <w:color w:val="73767D"/>
          <w:sz w:val="36"/>
          <w:szCs w:val="18"/>
        </w:rPr>
        <w:t>ých</w:t>
      </w:r>
      <w:r w:rsidRPr="0005519E">
        <w:rPr>
          <w:rFonts w:eastAsiaTheme="majorEastAsia" w:cstheme="majorBidi"/>
          <w:caps/>
          <w:color w:val="73767D"/>
          <w:sz w:val="36"/>
          <w:szCs w:val="18"/>
        </w:rPr>
        <w:t xml:space="preserve"> posu</w:t>
      </w:r>
      <w:r w:rsidR="002C4BD8">
        <w:rPr>
          <w:rFonts w:eastAsiaTheme="majorEastAsia" w:cstheme="majorBidi"/>
          <w:caps/>
          <w:color w:val="73767D"/>
          <w:sz w:val="36"/>
          <w:szCs w:val="18"/>
        </w:rPr>
        <w:t>dků</w:t>
      </w:r>
      <w:r w:rsidRPr="0005519E">
        <w:rPr>
          <w:rFonts w:eastAsiaTheme="majorEastAsia" w:cstheme="majorBidi"/>
          <w:caps/>
          <w:color w:val="73767D"/>
          <w:sz w:val="36"/>
          <w:szCs w:val="18"/>
        </w:rPr>
        <w:t xml:space="preserve"> </w:t>
      </w:r>
      <w:r w:rsidR="0048041B">
        <w:rPr>
          <w:rFonts w:eastAsiaTheme="majorEastAsia" w:cstheme="majorBidi"/>
          <w:caps/>
          <w:color w:val="73767D"/>
          <w:sz w:val="36"/>
          <w:szCs w:val="18"/>
        </w:rPr>
        <w:t>projektů sanačních prací pro stabilizaci a sanaci svahových deformací</w:t>
      </w:r>
      <w:r w:rsidRPr="0005519E">
        <w:rPr>
          <w:rFonts w:eastAsiaTheme="majorEastAsia" w:cstheme="majorBidi"/>
          <w:caps/>
          <w:color w:val="73767D"/>
          <w:sz w:val="36"/>
          <w:szCs w:val="18"/>
        </w:rPr>
        <w:t xml:space="preserve"> </w:t>
      </w:r>
      <w:r w:rsidR="0048041B">
        <w:rPr>
          <w:rFonts w:eastAsiaTheme="majorEastAsia" w:cstheme="majorBidi"/>
          <w:caps/>
          <w:color w:val="73767D"/>
          <w:sz w:val="36"/>
          <w:szCs w:val="18"/>
        </w:rPr>
        <w:t xml:space="preserve">hodnocených </w:t>
      </w:r>
      <w:r w:rsidRPr="0005519E">
        <w:rPr>
          <w:rFonts w:eastAsiaTheme="majorEastAsia" w:cstheme="majorBidi"/>
          <w:caps/>
          <w:color w:val="73767D"/>
          <w:sz w:val="36"/>
          <w:szCs w:val="18"/>
        </w:rPr>
        <w:t>v OPŽP 2021-2027</w:t>
      </w:r>
    </w:p>
    <w:p w14:paraId="2F7F04F0" w14:textId="794B8236" w:rsidR="004A02F7" w:rsidRPr="008F13C9" w:rsidRDefault="004A02F7" w:rsidP="004A02F7">
      <w:pPr>
        <w:spacing w:before="360" w:after="120"/>
        <w:rPr>
          <w:rFonts w:cs="Segoe UI"/>
          <w:b/>
          <w:caps/>
        </w:rPr>
      </w:pPr>
      <w:r w:rsidRPr="008F13C9">
        <w:rPr>
          <w:rFonts w:cs="Segoe UI"/>
          <w:b/>
          <w:caps/>
        </w:rPr>
        <w:t>Smluvní strany:</w:t>
      </w:r>
    </w:p>
    <w:p w14:paraId="36ED26E8" w14:textId="77777777" w:rsidR="00273F8D" w:rsidRPr="008F13C9" w:rsidRDefault="00273F8D" w:rsidP="00273F8D">
      <w:pPr>
        <w:rPr>
          <w:rFonts w:cs="Segoe UI"/>
          <w:b/>
          <w:iCs/>
        </w:rPr>
      </w:pPr>
      <w:r w:rsidRPr="008F13C9">
        <w:rPr>
          <w:rFonts w:cs="Segoe UI"/>
          <w:b/>
          <w:iCs/>
        </w:rPr>
        <w:t>Státní fond životního prostředí České republiky</w:t>
      </w:r>
    </w:p>
    <w:p w14:paraId="42FA6334" w14:textId="77777777" w:rsidR="00273F8D" w:rsidRPr="008F13C9" w:rsidRDefault="00273F8D" w:rsidP="00273F8D">
      <w:pPr>
        <w:rPr>
          <w:rFonts w:cs="Segoe UI"/>
          <w:iCs/>
        </w:rPr>
      </w:pPr>
      <w:r w:rsidRPr="008F13C9">
        <w:rPr>
          <w:rFonts w:cs="Segoe UI"/>
          <w:iCs/>
        </w:rPr>
        <w:t>zřízený zákonem č. 388/1991 Sb., o Státním fondu životního prostředí České republiky</w:t>
      </w:r>
    </w:p>
    <w:p w14:paraId="1ABCA253" w14:textId="77777777" w:rsidR="00273F8D" w:rsidRPr="008F13C9" w:rsidRDefault="00273F8D" w:rsidP="00273F8D">
      <w:pPr>
        <w:rPr>
          <w:rFonts w:cs="Segoe UI"/>
          <w:iCs/>
        </w:rPr>
      </w:pPr>
      <w:r w:rsidRPr="008F13C9">
        <w:rPr>
          <w:rFonts w:cs="Segoe UI"/>
          <w:iCs/>
        </w:rPr>
        <w:t>sídl</w:t>
      </w:r>
      <w:r w:rsidR="006F53EB" w:rsidRPr="008F13C9">
        <w:rPr>
          <w:rFonts w:cs="Segoe UI"/>
          <w:iCs/>
        </w:rPr>
        <w:t>o:</w:t>
      </w:r>
      <w:r w:rsidRPr="008F13C9">
        <w:rPr>
          <w:rFonts w:cs="Segoe UI"/>
          <w:iCs/>
        </w:rPr>
        <w:t xml:space="preserve"> Kaplanova 1931/1, 148 00 Praha 11 – Chodov</w:t>
      </w:r>
    </w:p>
    <w:p w14:paraId="51AC1B39" w14:textId="77777777" w:rsidR="00273F8D" w:rsidRPr="008F13C9" w:rsidRDefault="00273F8D" w:rsidP="00273F8D">
      <w:pPr>
        <w:rPr>
          <w:rFonts w:cs="Segoe UI"/>
          <w:iCs/>
        </w:rPr>
      </w:pPr>
      <w:r w:rsidRPr="008F13C9">
        <w:rPr>
          <w:rFonts w:cs="Segoe UI"/>
          <w:iCs/>
        </w:rPr>
        <w:t>zastoupený: Ing. Petrem Valdmanem, ředitelem Státního fondu životního prostředí ČR</w:t>
      </w:r>
    </w:p>
    <w:p w14:paraId="529D4813" w14:textId="77777777" w:rsidR="002B61C9" w:rsidRPr="008F13C9" w:rsidRDefault="002B61C9" w:rsidP="002B61C9">
      <w:pPr>
        <w:rPr>
          <w:rFonts w:cs="Segoe UI"/>
          <w:iCs/>
        </w:rPr>
      </w:pPr>
      <w:r w:rsidRPr="008F13C9">
        <w:rPr>
          <w:rFonts w:cs="Segoe UI"/>
          <w:iCs/>
        </w:rPr>
        <w:t>IČ: 00020729</w:t>
      </w:r>
    </w:p>
    <w:p w14:paraId="76E2F018" w14:textId="77777777" w:rsidR="002B61C9" w:rsidRPr="008F13C9" w:rsidRDefault="002B61C9" w:rsidP="00273F8D">
      <w:pPr>
        <w:rPr>
          <w:rFonts w:cs="Segoe UI"/>
          <w:iCs/>
        </w:rPr>
      </w:pPr>
      <w:r w:rsidRPr="008F13C9">
        <w:rPr>
          <w:rFonts w:cs="Segoe UI"/>
          <w:iCs/>
        </w:rPr>
        <w:t>DIČ: není plátcem DPH</w:t>
      </w:r>
    </w:p>
    <w:p w14:paraId="7B21B7D6" w14:textId="2B95B4B6" w:rsidR="00273F8D" w:rsidRPr="008F13C9" w:rsidRDefault="00273F8D" w:rsidP="00273F8D">
      <w:pPr>
        <w:rPr>
          <w:rFonts w:cs="Segoe UI"/>
          <w:iCs/>
        </w:rPr>
      </w:pPr>
      <w:r w:rsidRPr="008F13C9">
        <w:rPr>
          <w:rFonts w:cs="Segoe UI"/>
          <w:iCs/>
        </w:rPr>
        <w:t>korespondenční adresa: Olbrachtova 2006/9, 140 00 Praha 4 – Krč</w:t>
      </w:r>
    </w:p>
    <w:p w14:paraId="579674F7" w14:textId="77777777" w:rsidR="00273F8D" w:rsidRPr="008F13C9" w:rsidRDefault="00273F8D" w:rsidP="00273F8D">
      <w:pPr>
        <w:rPr>
          <w:rFonts w:cs="Segoe UI"/>
        </w:rPr>
      </w:pPr>
      <w:r w:rsidRPr="008F13C9">
        <w:rPr>
          <w:rFonts w:cs="Segoe UI"/>
        </w:rPr>
        <w:t>bankovní spojení: Česká národní banka, č. účtu: 210008-9025001/0710</w:t>
      </w:r>
    </w:p>
    <w:p w14:paraId="743C746B" w14:textId="4720CEBD" w:rsidR="001063A3" w:rsidRPr="008F13C9" w:rsidRDefault="00273F8D" w:rsidP="00273F8D">
      <w:pPr>
        <w:rPr>
          <w:rFonts w:cs="Segoe UI"/>
          <w:iCs/>
        </w:rPr>
      </w:pPr>
      <w:r w:rsidRPr="008F13C9">
        <w:rPr>
          <w:rFonts w:cs="Segoe UI"/>
          <w:iCs/>
        </w:rPr>
        <w:t>kontaktní osoba</w:t>
      </w:r>
      <w:r w:rsidR="002B61C9" w:rsidRPr="008F13C9">
        <w:rPr>
          <w:rFonts w:cs="Segoe UI"/>
          <w:iCs/>
        </w:rPr>
        <w:t xml:space="preserve"> pro </w:t>
      </w:r>
      <w:r w:rsidR="006F53EB" w:rsidRPr="008F13C9">
        <w:rPr>
          <w:rFonts w:cs="Segoe UI"/>
          <w:iCs/>
        </w:rPr>
        <w:t>účely smlouvy</w:t>
      </w:r>
      <w:r w:rsidRPr="008F13C9">
        <w:rPr>
          <w:rFonts w:cs="Segoe UI"/>
          <w:iCs/>
        </w:rPr>
        <w:t>:</w:t>
      </w:r>
      <w:r w:rsidR="001063A3" w:rsidRPr="008F13C9">
        <w:rPr>
          <w:rFonts w:cs="Segoe UI"/>
          <w:iCs/>
        </w:rPr>
        <w:t xml:space="preserve"> </w:t>
      </w:r>
      <w:proofErr w:type="spellStart"/>
      <w:r w:rsidR="00A57F25" w:rsidRPr="00A57F25">
        <w:rPr>
          <w:rFonts w:cs="Segoe UI"/>
          <w:iCs/>
          <w:highlight w:val="yellow"/>
        </w:rPr>
        <w:t>xxx</w:t>
      </w:r>
      <w:proofErr w:type="spellEnd"/>
      <w:r w:rsidR="002B61C9" w:rsidRPr="008F13C9">
        <w:rPr>
          <w:rFonts w:cs="Segoe UI"/>
          <w:iCs/>
        </w:rPr>
        <w:t>, t</w:t>
      </w:r>
      <w:r w:rsidRPr="008F13C9">
        <w:rPr>
          <w:rFonts w:cs="Segoe UI"/>
          <w:iCs/>
        </w:rPr>
        <w:t>el.</w:t>
      </w:r>
      <w:r w:rsidR="002B61C9" w:rsidRPr="008F13C9">
        <w:rPr>
          <w:rFonts w:cs="Segoe UI"/>
          <w:iCs/>
        </w:rPr>
        <w:t xml:space="preserve">: </w:t>
      </w:r>
      <w:proofErr w:type="spellStart"/>
      <w:r w:rsidR="00A57F25" w:rsidRPr="00A57F25">
        <w:rPr>
          <w:rFonts w:cs="Segoe UI"/>
          <w:iCs/>
          <w:highlight w:val="yellow"/>
        </w:rPr>
        <w:t>xxx</w:t>
      </w:r>
      <w:proofErr w:type="spellEnd"/>
      <w:r w:rsidR="002B61C9" w:rsidRPr="008F13C9">
        <w:rPr>
          <w:rFonts w:cs="Segoe UI"/>
          <w:iCs/>
        </w:rPr>
        <w:t>,</w:t>
      </w:r>
      <w:r w:rsidRPr="008F13C9">
        <w:rPr>
          <w:rFonts w:cs="Segoe UI"/>
          <w:iCs/>
        </w:rPr>
        <w:t xml:space="preserve"> </w:t>
      </w:r>
    </w:p>
    <w:p w14:paraId="42121B0C" w14:textId="58D675C6" w:rsidR="00273F8D" w:rsidRPr="008F13C9" w:rsidRDefault="00273F8D" w:rsidP="001063A3">
      <w:pPr>
        <w:ind w:left="3175"/>
        <w:rPr>
          <w:rFonts w:cs="Segoe UI"/>
          <w:iCs/>
        </w:rPr>
      </w:pPr>
      <w:r w:rsidRPr="008F13C9">
        <w:rPr>
          <w:rFonts w:cs="Segoe UI"/>
          <w:iCs/>
        </w:rPr>
        <w:t xml:space="preserve">e-mail: </w:t>
      </w:r>
      <w:proofErr w:type="spellStart"/>
      <w:r w:rsidR="00A57F25" w:rsidRPr="00A57F25">
        <w:rPr>
          <w:rFonts w:cs="Segoe UI"/>
          <w:iCs/>
          <w:highlight w:val="yellow"/>
        </w:rPr>
        <w:t>xxx</w:t>
      </w:r>
      <w:proofErr w:type="spellEnd"/>
    </w:p>
    <w:p w14:paraId="4BA463BD" w14:textId="7CD47B4F" w:rsidR="00273F8D" w:rsidRPr="008F13C9" w:rsidRDefault="00273F8D" w:rsidP="002B61C9">
      <w:pPr>
        <w:spacing w:before="120"/>
        <w:rPr>
          <w:rFonts w:cs="Segoe UI"/>
          <w:i/>
          <w:iCs/>
        </w:rPr>
      </w:pPr>
      <w:r w:rsidRPr="008F13C9">
        <w:rPr>
          <w:rFonts w:cs="Segoe UI"/>
          <w:i/>
          <w:iCs/>
        </w:rPr>
        <w:t>(dále j</w:t>
      </w:r>
      <w:r w:rsidR="000A72DB" w:rsidRPr="008F13C9">
        <w:rPr>
          <w:rFonts w:cs="Segoe UI"/>
          <w:i/>
          <w:iCs/>
        </w:rPr>
        <w:t>ako</w:t>
      </w:r>
      <w:r w:rsidRPr="008F13C9">
        <w:rPr>
          <w:rFonts w:cs="Segoe UI"/>
          <w:i/>
          <w:iCs/>
        </w:rPr>
        <w:t xml:space="preserve"> „</w:t>
      </w:r>
      <w:r w:rsidR="0005519E" w:rsidRPr="008F13C9">
        <w:rPr>
          <w:rFonts w:cs="Segoe UI"/>
          <w:i/>
          <w:iCs/>
          <w:szCs w:val="20"/>
        </w:rPr>
        <w:t>Objednatel</w:t>
      </w:r>
      <w:r w:rsidRPr="008F13C9">
        <w:rPr>
          <w:rFonts w:cs="Segoe UI"/>
          <w:i/>
          <w:iCs/>
        </w:rPr>
        <w:t>“)</w:t>
      </w:r>
    </w:p>
    <w:p w14:paraId="7C933554" w14:textId="77777777" w:rsidR="00273F8D" w:rsidRPr="008F13C9" w:rsidRDefault="00273F8D" w:rsidP="000A72DB">
      <w:pPr>
        <w:spacing w:before="120"/>
        <w:rPr>
          <w:rFonts w:cs="Segoe UI"/>
          <w:iCs/>
        </w:rPr>
      </w:pPr>
      <w:r w:rsidRPr="008F13C9">
        <w:rPr>
          <w:rFonts w:cs="Segoe UI"/>
          <w:iCs/>
        </w:rPr>
        <w:t xml:space="preserve">na straně </w:t>
      </w:r>
      <w:r w:rsidR="002B61C9" w:rsidRPr="008F13C9">
        <w:rPr>
          <w:rFonts w:cs="Segoe UI"/>
          <w:iCs/>
        </w:rPr>
        <w:t>jedné</w:t>
      </w:r>
    </w:p>
    <w:p w14:paraId="3671D865" w14:textId="77777777" w:rsidR="00273F8D" w:rsidRPr="008F13C9" w:rsidRDefault="002B61C9" w:rsidP="002B61C9">
      <w:pPr>
        <w:spacing w:before="240" w:after="240"/>
        <w:rPr>
          <w:rFonts w:cs="Segoe UI"/>
        </w:rPr>
      </w:pPr>
      <w:r w:rsidRPr="008F13C9">
        <w:rPr>
          <w:rFonts w:cs="Segoe UI"/>
        </w:rPr>
        <w:t>a</w:t>
      </w:r>
    </w:p>
    <w:p w14:paraId="48875E5A" w14:textId="323CCD36" w:rsidR="004A02F7" w:rsidRPr="008F13C9" w:rsidRDefault="0005519E" w:rsidP="004A02F7">
      <w:pPr>
        <w:rPr>
          <w:rFonts w:cs="Segoe UI"/>
          <w:b/>
          <w:bCs/>
          <w:iCs/>
        </w:rPr>
      </w:pPr>
      <w:r w:rsidRPr="008F13C9">
        <w:rPr>
          <w:rFonts w:cs="Segoe UI"/>
          <w:b/>
          <w:bCs/>
          <w:szCs w:val="20"/>
        </w:rPr>
        <w:t>Česká geologická služba</w:t>
      </w:r>
      <w:r w:rsidRPr="008F13C9">
        <w:rPr>
          <w:rFonts w:cs="Segoe UI"/>
          <w:b/>
          <w:bCs/>
          <w:iCs/>
        </w:rPr>
        <w:t xml:space="preserve"> </w:t>
      </w:r>
    </w:p>
    <w:p w14:paraId="0C3B7D5D" w14:textId="4C7D4099" w:rsidR="002B61C9" w:rsidRPr="008F13C9" w:rsidRDefault="009A2980" w:rsidP="004A02F7">
      <w:pPr>
        <w:rPr>
          <w:rFonts w:cs="Segoe UI"/>
        </w:rPr>
      </w:pPr>
      <w:r w:rsidRPr="008F13C9">
        <w:rPr>
          <w:rFonts w:cs="Segoe UI"/>
        </w:rPr>
        <w:t>zřízena zákonem č. 62/1988 Sb., o geologických pracích</w:t>
      </w:r>
    </w:p>
    <w:p w14:paraId="61450404" w14:textId="523A9BED" w:rsidR="004A02F7" w:rsidRPr="008F13C9" w:rsidRDefault="004A02F7" w:rsidP="004A02F7">
      <w:pPr>
        <w:rPr>
          <w:rFonts w:cs="Segoe UI"/>
        </w:rPr>
      </w:pPr>
      <w:r w:rsidRPr="008F13C9">
        <w:rPr>
          <w:rFonts w:cs="Segoe UI"/>
        </w:rPr>
        <w:t>sídlo</w:t>
      </w:r>
      <w:r w:rsidR="0005519E" w:rsidRPr="008F13C9">
        <w:rPr>
          <w:rFonts w:cs="Segoe UI"/>
        </w:rPr>
        <w:t xml:space="preserve">: </w:t>
      </w:r>
      <w:r w:rsidR="0005519E" w:rsidRPr="008F13C9">
        <w:rPr>
          <w:rFonts w:cs="Segoe UI"/>
          <w:szCs w:val="18"/>
        </w:rPr>
        <w:t>Klárov 131/3, Malá Strana, 118 00 Praha 1</w:t>
      </w:r>
    </w:p>
    <w:p w14:paraId="2FB8063D" w14:textId="2E511EDD" w:rsidR="006F53EB" w:rsidRPr="008F13C9" w:rsidRDefault="006F53EB" w:rsidP="004A02F7">
      <w:pPr>
        <w:rPr>
          <w:rFonts w:cs="Segoe UI"/>
          <w:iCs/>
        </w:rPr>
      </w:pPr>
      <w:r w:rsidRPr="008F13C9">
        <w:rPr>
          <w:rFonts w:cs="Segoe UI"/>
        </w:rPr>
        <w:t xml:space="preserve">zastoupena: </w:t>
      </w:r>
      <w:r w:rsidR="0005519E" w:rsidRPr="006545D7">
        <w:rPr>
          <w:rFonts w:cs="Segoe UI"/>
        </w:rPr>
        <w:t xml:space="preserve">Mgr. Zdeňkem </w:t>
      </w:r>
      <w:proofErr w:type="spellStart"/>
      <w:r w:rsidR="0005519E" w:rsidRPr="006545D7">
        <w:rPr>
          <w:rFonts w:cs="Segoe UI"/>
        </w:rPr>
        <w:t>Venerou</w:t>
      </w:r>
      <w:proofErr w:type="spellEnd"/>
      <w:r w:rsidR="0005519E" w:rsidRPr="006545D7">
        <w:rPr>
          <w:rFonts w:cs="Segoe UI"/>
        </w:rPr>
        <w:t>, Ph.D.</w:t>
      </w:r>
      <w:r w:rsidR="005C71AE" w:rsidRPr="006545D7">
        <w:rPr>
          <w:rFonts w:cs="Segoe UI"/>
        </w:rPr>
        <w:t>, ředitelem České geologické služby</w:t>
      </w:r>
    </w:p>
    <w:p w14:paraId="1A16F509" w14:textId="77777777" w:rsidR="0005519E" w:rsidRPr="008F13C9" w:rsidRDefault="006F53EB" w:rsidP="004A02F7">
      <w:pPr>
        <w:rPr>
          <w:rFonts w:cs="Segoe UI"/>
          <w:szCs w:val="18"/>
        </w:rPr>
      </w:pPr>
      <w:r w:rsidRPr="008F13C9">
        <w:rPr>
          <w:rFonts w:cs="Segoe UI"/>
        </w:rPr>
        <w:t xml:space="preserve">IČ: </w:t>
      </w:r>
      <w:r w:rsidR="0005519E" w:rsidRPr="008F13C9">
        <w:rPr>
          <w:rFonts w:cs="Segoe UI"/>
          <w:szCs w:val="18"/>
        </w:rPr>
        <w:t>00025798</w:t>
      </w:r>
    </w:p>
    <w:p w14:paraId="02895A9C" w14:textId="7D2E03F9" w:rsidR="006F53EB" w:rsidRPr="004076C8" w:rsidRDefault="006F53EB" w:rsidP="004A02F7">
      <w:pPr>
        <w:rPr>
          <w:rFonts w:cs="Segoe UI"/>
          <w:iCs/>
        </w:rPr>
      </w:pPr>
      <w:r w:rsidRPr="008F13C9">
        <w:rPr>
          <w:rFonts w:cs="Segoe UI"/>
        </w:rPr>
        <w:t xml:space="preserve">DIČ: </w:t>
      </w:r>
      <w:r w:rsidR="0005519E" w:rsidRPr="008F13C9">
        <w:rPr>
          <w:rFonts w:cs="Segoe UI"/>
          <w:szCs w:val="18"/>
        </w:rPr>
        <w:t>CZ00025798</w:t>
      </w:r>
    </w:p>
    <w:p w14:paraId="5BE2C353" w14:textId="04C88D89" w:rsidR="004A02F7" w:rsidRPr="004076C8" w:rsidRDefault="004A02F7" w:rsidP="004A02F7">
      <w:pPr>
        <w:rPr>
          <w:rFonts w:cs="Segoe UI"/>
          <w:iCs/>
        </w:rPr>
      </w:pPr>
      <w:r w:rsidRPr="004076C8">
        <w:rPr>
          <w:rFonts w:cs="Segoe UI"/>
          <w:snapToGrid w:val="0"/>
        </w:rPr>
        <w:t>bankovní spojení:</w:t>
      </w:r>
      <w:r w:rsidRPr="004076C8">
        <w:rPr>
          <w:rFonts w:cs="Segoe UI"/>
          <w:iCs/>
        </w:rPr>
        <w:t xml:space="preserve"> </w:t>
      </w:r>
      <w:r w:rsidR="00CE1F09" w:rsidRPr="004076C8">
        <w:rPr>
          <w:rFonts w:cs="Segoe UI"/>
          <w:color w:val="000000"/>
          <w:szCs w:val="20"/>
          <w:shd w:val="clear" w:color="auto" w:fill="FFFFFF"/>
        </w:rPr>
        <w:t>Česká národní banka</w:t>
      </w:r>
      <w:r w:rsidR="006778A3" w:rsidRPr="004076C8">
        <w:rPr>
          <w:rFonts w:cs="Segoe UI"/>
          <w:snapToGrid w:val="0"/>
        </w:rPr>
        <w:t xml:space="preserve"> č. účtu:</w:t>
      </w:r>
      <w:r w:rsidR="006F53EB" w:rsidRPr="004076C8">
        <w:rPr>
          <w:rFonts w:cs="Segoe UI"/>
          <w:snapToGrid w:val="0"/>
        </w:rPr>
        <w:t xml:space="preserve"> </w:t>
      </w:r>
      <w:r w:rsidR="00CE1F09" w:rsidRPr="004076C8">
        <w:rPr>
          <w:rFonts w:cs="Segoe UI"/>
          <w:color w:val="000000"/>
          <w:szCs w:val="20"/>
          <w:shd w:val="clear" w:color="auto" w:fill="FFFFFF"/>
        </w:rPr>
        <w:t>87530011/0710</w:t>
      </w:r>
    </w:p>
    <w:p w14:paraId="27AE399C" w14:textId="3384CC00" w:rsidR="002C4BD8" w:rsidRPr="004076C8" w:rsidRDefault="006F53EB" w:rsidP="006F53EB">
      <w:pPr>
        <w:rPr>
          <w:rFonts w:cs="Segoe UI"/>
          <w:iCs/>
        </w:rPr>
      </w:pPr>
      <w:r w:rsidRPr="004076C8">
        <w:rPr>
          <w:rFonts w:cs="Segoe UI"/>
          <w:iCs/>
        </w:rPr>
        <w:t xml:space="preserve">kontaktní osoba pro účely smlouvy: </w:t>
      </w:r>
      <w:proofErr w:type="spellStart"/>
      <w:r w:rsidR="00A57F25" w:rsidRPr="004076C8">
        <w:rPr>
          <w:rFonts w:cs="Segoe UI"/>
          <w:iCs/>
          <w:highlight w:val="yellow"/>
        </w:rPr>
        <w:t>xxx</w:t>
      </w:r>
      <w:proofErr w:type="spellEnd"/>
      <w:r w:rsidR="00A57F25" w:rsidRPr="004076C8">
        <w:rPr>
          <w:rFonts w:cs="Segoe UI"/>
          <w:iCs/>
        </w:rPr>
        <w:t>,</w:t>
      </w:r>
      <w:r w:rsidRPr="004076C8">
        <w:rPr>
          <w:rFonts w:cs="Segoe UI"/>
          <w:iCs/>
        </w:rPr>
        <w:t xml:space="preserve"> tel.: </w:t>
      </w:r>
      <w:proofErr w:type="spellStart"/>
      <w:r w:rsidR="00A57F25" w:rsidRPr="004076C8">
        <w:rPr>
          <w:rFonts w:cs="Segoe UI"/>
          <w:iCs/>
          <w:highlight w:val="yellow"/>
        </w:rPr>
        <w:t>xxx</w:t>
      </w:r>
      <w:proofErr w:type="spellEnd"/>
      <w:r w:rsidR="0048041B" w:rsidRPr="004076C8">
        <w:rPr>
          <w:rFonts w:cs="Segoe UI"/>
        </w:rPr>
        <w:t>,</w:t>
      </w:r>
      <w:r w:rsidRPr="004076C8">
        <w:rPr>
          <w:rFonts w:cs="Segoe UI"/>
          <w:iCs/>
        </w:rPr>
        <w:t xml:space="preserve"> </w:t>
      </w:r>
    </w:p>
    <w:p w14:paraId="256C30CE" w14:textId="04A6DC0E" w:rsidR="006F53EB" w:rsidRPr="004076C8" w:rsidRDefault="006F53EB" w:rsidP="002C4BD8">
      <w:pPr>
        <w:ind w:left="3192"/>
        <w:rPr>
          <w:rFonts w:cs="Segoe UI"/>
          <w:iCs/>
        </w:rPr>
      </w:pPr>
      <w:r w:rsidRPr="004076C8">
        <w:rPr>
          <w:rFonts w:cs="Segoe UI"/>
          <w:iCs/>
        </w:rPr>
        <w:t xml:space="preserve">e-mail: </w:t>
      </w:r>
      <w:proofErr w:type="spellStart"/>
      <w:r w:rsidR="00A57F25" w:rsidRPr="004076C8">
        <w:rPr>
          <w:rFonts w:cs="Segoe UI"/>
          <w:iCs/>
          <w:highlight w:val="yellow"/>
        </w:rPr>
        <w:t>xxx</w:t>
      </w:r>
      <w:proofErr w:type="spellEnd"/>
    </w:p>
    <w:p w14:paraId="429906A8" w14:textId="2A5003CE" w:rsidR="004A02F7" w:rsidRPr="004076C8" w:rsidRDefault="004A02F7" w:rsidP="006F53EB">
      <w:pPr>
        <w:spacing w:before="120"/>
        <w:rPr>
          <w:rFonts w:cs="Segoe UI"/>
          <w:b/>
          <w:i/>
          <w:iCs/>
        </w:rPr>
      </w:pPr>
      <w:r w:rsidRPr="004076C8">
        <w:rPr>
          <w:rFonts w:cs="Segoe UI"/>
          <w:i/>
          <w:iCs/>
        </w:rPr>
        <w:t>(dále j</w:t>
      </w:r>
      <w:r w:rsidR="000A72DB" w:rsidRPr="004076C8">
        <w:rPr>
          <w:rFonts w:cs="Segoe UI"/>
          <w:i/>
          <w:iCs/>
        </w:rPr>
        <w:t>ako</w:t>
      </w:r>
      <w:r w:rsidRPr="004076C8">
        <w:rPr>
          <w:rFonts w:cs="Segoe UI"/>
          <w:i/>
          <w:iCs/>
        </w:rPr>
        <w:t xml:space="preserve"> </w:t>
      </w:r>
      <w:r w:rsidR="006778A3" w:rsidRPr="004076C8">
        <w:rPr>
          <w:rFonts w:cs="Segoe UI"/>
          <w:i/>
          <w:iCs/>
        </w:rPr>
        <w:t>„</w:t>
      </w:r>
      <w:r w:rsidR="00AA1042" w:rsidRPr="004076C8">
        <w:rPr>
          <w:rFonts w:cs="Segoe UI"/>
          <w:i/>
          <w:iCs/>
          <w:szCs w:val="20"/>
        </w:rPr>
        <w:t>Poskytovatel</w:t>
      </w:r>
      <w:r w:rsidRPr="004076C8">
        <w:rPr>
          <w:rFonts w:cs="Segoe UI"/>
          <w:i/>
          <w:iCs/>
        </w:rPr>
        <w:t>“)</w:t>
      </w:r>
    </w:p>
    <w:p w14:paraId="03A1413D" w14:textId="77777777" w:rsidR="004A02F7" w:rsidRPr="008F13C9" w:rsidRDefault="006F53EB" w:rsidP="000A72DB">
      <w:pPr>
        <w:spacing w:before="120"/>
        <w:rPr>
          <w:rFonts w:cs="Segoe UI"/>
          <w:iCs/>
        </w:rPr>
      </w:pPr>
      <w:r w:rsidRPr="008F13C9">
        <w:rPr>
          <w:rFonts w:cs="Segoe UI"/>
          <w:iCs/>
        </w:rPr>
        <w:t>na straně druhé</w:t>
      </w:r>
    </w:p>
    <w:p w14:paraId="5C506B58" w14:textId="4D80ABE2" w:rsidR="006778A3" w:rsidRPr="008F13C9" w:rsidRDefault="006778A3" w:rsidP="00373946">
      <w:pPr>
        <w:spacing w:before="360"/>
        <w:jc w:val="both"/>
        <w:rPr>
          <w:rFonts w:cs="Segoe UI"/>
        </w:rPr>
      </w:pPr>
      <w:r w:rsidRPr="008F13C9">
        <w:rPr>
          <w:rFonts w:cs="Segoe UI"/>
        </w:rPr>
        <w:t xml:space="preserve">Smluvní strany </w:t>
      </w:r>
      <w:r w:rsidR="006F53EB" w:rsidRPr="008F13C9">
        <w:rPr>
          <w:rFonts w:cs="Segoe UI"/>
        </w:rPr>
        <w:t>uzavírají</w:t>
      </w:r>
      <w:r w:rsidRPr="008F13C9">
        <w:rPr>
          <w:rFonts w:cs="Segoe UI"/>
        </w:rPr>
        <w:t xml:space="preserve"> </w:t>
      </w:r>
      <w:r w:rsidR="006F53EB" w:rsidRPr="008F13C9">
        <w:rPr>
          <w:rFonts w:cs="Segoe UI"/>
        </w:rPr>
        <w:t>v souladu s</w:t>
      </w:r>
      <w:r w:rsidRPr="008F13C9">
        <w:rPr>
          <w:rFonts w:cs="Segoe UI"/>
        </w:rPr>
        <w:t xml:space="preserve"> ust. </w:t>
      </w:r>
      <w:r w:rsidRPr="008F13C9">
        <w:rPr>
          <w:rFonts w:cs="Segoe UI"/>
          <w:iCs/>
        </w:rPr>
        <w:t xml:space="preserve">§ </w:t>
      </w:r>
      <w:r w:rsidR="00BF0506" w:rsidRPr="008F13C9">
        <w:rPr>
          <w:rFonts w:cs="Segoe UI"/>
          <w:szCs w:val="20"/>
        </w:rPr>
        <w:t>1746 odst. 2</w:t>
      </w:r>
      <w:r w:rsidRPr="008F13C9">
        <w:rPr>
          <w:rFonts w:cs="Segoe UI"/>
          <w:iCs/>
        </w:rPr>
        <w:t xml:space="preserve"> zákona č. </w:t>
      </w:r>
      <w:r w:rsidR="006F53EB" w:rsidRPr="008F13C9">
        <w:rPr>
          <w:rFonts w:cs="Segoe UI"/>
          <w:iCs/>
        </w:rPr>
        <w:t>89/2012 Sb., občanský zákoník, ve znění pozdějších předpisů</w:t>
      </w:r>
      <w:r w:rsidRPr="008F13C9">
        <w:rPr>
          <w:rFonts w:cs="Segoe UI"/>
          <w:iCs/>
        </w:rPr>
        <w:t xml:space="preserve"> (dále jen </w:t>
      </w:r>
      <w:r w:rsidRPr="008F13C9">
        <w:rPr>
          <w:rFonts w:cs="Segoe UI"/>
          <w:i/>
        </w:rPr>
        <w:t>„občanský zákoník“</w:t>
      </w:r>
      <w:r w:rsidRPr="008F13C9">
        <w:rPr>
          <w:rFonts w:cs="Segoe UI"/>
          <w:iCs/>
        </w:rPr>
        <w:t>)</w:t>
      </w:r>
      <w:r w:rsidRPr="008F13C9">
        <w:rPr>
          <w:rFonts w:cs="Segoe UI"/>
        </w:rPr>
        <w:t xml:space="preserve"> tuto </w:t>
      </w:r>
      <w:r w:rsidR="00AA1042" w:rsidRPr="008F13C9">
        <w:rPr>
          <w:rFonts w:cs="Segoe UI"/>
          <w:szCs w:val="20"/>
        </w:rPr>
        <w:t>S</w:t>
      </w:r>
      <w:r w:rsidR="00BF0506" w:rsidRPr="008F13C9">
        <w:rPr>
          <w:rFonts w:cs="Segoe UI"/>
          <w:szCs w:val="20"/>
        </w:rPr>
        <w:t xml:space="preserve">mlouvu </w:t>
      </w:r>
      <w:r w:rsidR="0044795B" w:rsidRPr="008F13C9">
        <w:rPr>
          <w:rFonts w:cs="Segoe UI"/>
          <w:szCs w:val="20"/>
        </w:rPr>
        <w:t xml:space="preserve">o zpracování odborných posudků </w:t>
      </w:r>
      <w:r w:rsidR="00CE1F09">
        <w:rPr>
          <w:rFonts w:cs="Segoe UI"/>
          <w:szCs w:val="20"/>
        </w:rPr>
        <w:t xml:space="preserve">projektů sanačních prací </w:t>
      </w:r>
      <w:r w:rsidR="00C61130">
        <w:rPr>
          <w:rFonts w:cs="Segoe UI"/>
          <w:szCs w:val="20"/>
        </w:rPr>
        <w:t xml:space="preserve">pro stabilizaci a sanaci </w:t>
      </w:r>
      <w:r w:rsidR="00165130">
        <w:rPr>
          <w:rFonts w:cs="Segoe UI"/>
          <w:szCs w:val="20"/>
        </w:rPr>
        <w:t xml:space="preserve">svahových deformací </w:t>
      </w:r>
      <w:r w:rsidR="00CE1F09">
        <w:rPr>
          <w:rFonts w:cs="Segoe UI"/>
          <w:szCs w:val="20"/>
        </w:rPr>
        <w:t xml:space="preserve">hodnocených v rámci </w:t>
      </w:r>
      <w:r w:rsidR="00BF0506" w:rsidRPr="008F13C9">
        <w:rPr>
          <w:rFonts w:cs="Segoe UI"/>
          <w:szCs w:val="20"/>
        </w:rPr>
        <w:t>OPŽP 2021-</w:t>
      </w:r>
      <w:r w:rsidR="00BF0506" w:rsidRPr="008F13C9">
        <w:rPr>
          <w:rFonts w:cs="Segoe UI"/>
          <w:szCs w:val="20"/>
        </w:rPr>
        <w:lastRenderedPageBreak/>
        <w:t>2027</w:t>
      </w:r>
      <w:r w:rsidR="00CE1F09">
        <w:rPr>
          <w:rFonts w:cs="Segoe UI"/>
          <w:szCs w:val="20"/>
        </w:rPr>
        <w:t xml:space="preserve"> </w:t>
      </w:r>
      <w:r w:rsidR="002F1A3B" w:rsidRPr="002F1A3B">
        <w:rPr>
          <w:rFonts w:cs="Segoe UI"/>
          <w:szCs w:val="20"/>
        </w:rPr>
        <w:t>Opatření 1.3.8 Obnova stability svahů, stabilizace a sanace extrémních svahových nestabilit vzniklých v důsledku přírodních jevů</w:t>
      </w:r>
      <w:r w:rsidR="002F1A3B">
        <w:rPr>
          <w:rFonts w:cs="Segoe UI"/>
          <w:szCs w:val="20"/>
        </w:rPr>
        <w:t xml:space="preserve"> </w:t>
      </w:r>
      <w:r w:rsidRPr="008F13C9">
        <w:rPr>
          <w:rFonts w:cs="Segoe UI"/>
        </w:rPr>
        <w:t xml:space="preserve">(dále jen </w:t>
      </w:r>
      <w:r w:rsidRPr="008F13C9">
        <w:rPr>
          <w:rFonts w:cs="Segoe UI"/>
          <w:i/>
          <w:iCs/>
        </w:rPr>
        <w:t>„</w:t>
      </w:r>
      <w:r w:rsidR="001B59FB" w:rsidRPr="008F13C9">
        <w:rPr>
          <w:rFonts w:cs="Segoe UI"/>
          <w:i/>
          <w:iCs/>
        </w:rPr>
        <w:t>S</w:t>
      </w:r>
      <w:r w:rsidRPr="008F13C9">
        <w:rPr>
          <w:rFonts w:cs="Segoe UI"/>
          <w:i/>
          <w:iCs/>
        </w:rPr>
        <w:t>mlouva“</w:t>
      </w:r>
      <w:r w:rsidRPr="008F13C9">
        <w:rPr>
          <w:rFonts w:cs="Segoe UI"/>
        </w:rPr>
        <w:t>).</w:t>
      </w:r>
    </w:p>
    <w:p w14:paraId="1432F2ED" w14:textId="586D63A7" w:rsidR="00B727F2" w:rsidRPr="008F13C9" w:rsidRDefault="002D4B40" w:rsidP="00451A8A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t>předmět smlouvy</w:t>
      </w:r>
    </w:p>
    <w:p w14:paraId="51F37492" w14:textId="56097AD8" w:rsidR="0067592D" w:rsidRPr="008F13C9" w:rsidRDefault="00802FBB" w:rsidP="00AA1042">
      <w:pPr>
        <w:pStyle w:val="Odstavecseseznamem"/>
        <w:spacing w:after="120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Předmětem </w:t>
      </w:r>
      <w:r w:rsidR="00AA1042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 xml:space="preserve">mlouvy je závazek </w:t>
      </w:r>
      <w:r w:rsidR="00AA1042" w:rsidRPr="008F13C9">
        <w:rPr>
          <w:rFonts w:cs="Segoe UI"/>
          <w:szCs w:val="20"/>
        </w:rPr>
        <w:t>Poskytovatele</w:t>
      </w:r>
      <w:r w:rsidR="00E865F5" w:rsidRPr="008F13C9">
        <w:rPr>
          <w:rFonts w:cs="Segoe UI"/>
          <w:szCs w:val="20"/>
        </w:rPr>
        <w:t xml:space="preserve"> </w:t>
      </w:r>
      <w:r w:rsidR="004069E4" w:rsidRPr="008F13C9">
        <w:rPr>
          <w:rFonts w:cs="Segoe UI"/>
          <w:szCs w:val="20"/>
        </w:rPr>
        <w:t xml:space="preserve">zpracovat </w:t>
      </w:r>
      <w:r w:rsidR="001140CC" w:rsidRPr="008F13C9">
        <w:rPr>
          <w:rFonts w:cs="Segoe UI"/>
          <w:szCs w:val="20"/>
        </w:rPr>
        <w:t>odborn</w:t>
      </w:r>
      <w:r w:rsidR="00B9752D" w:rsidRPr="008F13C9">
        <w:rPr>
          <w:rFonts w:cs="Segoe UI"/>
          <w:szCs w:val="20"/>
        </w:rPr>
        <w:t>é</w:t>
      </w:r>
      <w:r w:rsidR="001140CC" w:rsidRPr="008F13C9">
        <w:rPr>
          <w:rFonts w:cs="Segoe UI"/>
          <w:szCs w:val="20"/>
        </w:rPr>
        <w:t xml:space="preserve"> posudk</w:t>
      </w:r>
      <w:r w:rsidR="00B9752D" w:rsidRPr="008F13C9">
        <w:rPr>
          <w:rFonts w:cs="Segoe UI"/>
          <w:szCs w:val="20"/>
        </w:rPr>
        <w:t>y</w:t>
      </w:r>
      <w:r w:rsidR="00AA1042" w:rsidRPr="008F13C9">
        <w:rPr>
          <w:rFonts w:cs="Segoe UI"/>
          <w:szCs w:val="20"/>
        </w:rPr>
        <w:t>,</w:t>
      </w:r>
      <w:r w:rsidRPr="008F13C9">
        <w:rPr>
          <w:rFonts w:cs="Segoe UI"/>
          <w:szCs w:val="20"/>
        </w:rPr>
        <w:t xml:space="preserve"> jejichž potřeba vzejde z realizace Výzvy č</w:t>
      </w:r>
      <w:r w:rsidR="00597F1D">
        <w:rPr>
          <w:rFonts w:cs="Segoe UI"/>
          <w:szCs w:val="20"/>
        </w:rPr>
        <w:t>.</w:t>
      </w:r>
      <w:r w:rsidRPr="008F13C9">
        <w:rPr>
          <w:rFonts w:cs="Segoe UI"/>
          <w:szCs w:val="20"/>
        </w:rPr>
        <w:t xml:space="preserve"> 89 - Obnova stability svahů v rámci OPŽP 2021-2027 (dále jen „Výzva“),</w:t>
      </w:r>
      <w:r w:rsidR="00BF0506" w:rsidRPr="008F13C9">
        <w:rPr>
          <w:rFonts w:cs="Segoe UI"/>
          <w:szCs w:val="20"/>
        </w:rPr>
        <w:t xml:space="preserve"> a</w:t>
      </w:r>
      <w:r w:rsidR="00CC69B6">
        <w:rPr>
          <w:rFonts w:cs="Segoe UI"/>
          <w:szCs w:val="20"/>
        </w:rPr>
        <w:t> </w:t>
      </w:r>
      <w:r w:rsidRPr="008F13C9">
        <w:rPr>
          <w:rFonts w:cs="Segoe UI"/>
          <w:szCs w:val="20"/>
        </w:rPr>
        <w:t xml:space="preserve">závazek </w:t>
      </w:r>
      <w:r w:rsidR="00BF0506" w:rsidRPr="008F13C9">
        <w:rPr>
          <w:rFonts w:cs="Segoe UI"/>
          <w:szCs w:val="20"/>
        </w:rPr>
        <w:t>Objednatel</w:t>
      </w:r>
      <w:r w:rsidRPr="008F13C9">
        <w:rPr>
          <w:rFonts w:cs="Segoe UI"/>
          <w:szCs w:val="20"/>
        </w:rPr>
        <w:t>e</w:t>
      </w:r>
      <w:r w:rsidR="00E865F5" w:rsidRPr="008F13C9">
        <w:rPr>
          <w:rFonts w:cs="Segoe UI"/>
          <w:szCs w:val="20"/>
        </w:rPr>
        <w:t xml:space="preserve"> </w:t>
      </w:r>
      <w:r w:rsidR="00BF0506" w:rsidRPr="008F13C9">
        <w:rPr>
          <w:rFonts w:cs="Segoe UI"/>
          <w:szCs w:val="20"/>
        </w:rPr>
        <w:t>zaplatit za ně cenu</w:t>
      </w:r>
      <w:r w:rsidR="0067592D" w:rsidRPr="008F13C9">
        <w:rPr>
          <w:rFonts w:cs="Segoe UI"/>
          <w:szCs w:val="20"/>
        </w:rPr>
        <w:t xml:space="preserve"> stanovenou dle podmínek níže.</w:t>
      </w:r>
    </w:p>
    <w:p w14:paraId="6396891B" w14:textId="0B5CCAF8" w:rsidR="00BC7FC8" w:rsidRPr="008F13C9" w:rsidRDefault="00AA1042" w:rsidP="00E33936">
      <w:pPr>
        <w:pStyle w:val="Odstavecseseznamem"/>
        <w:spacing w:before="0"/>
        <w:rPr>
          <w:rFonts w:cs="Segoe UI"/>
          <w:szCs w:val="20"/>
        </w:rPr>
      </w:pPr>
      <w:r w:rsidRPr="008F13C9">
        <w:rPr>
          <w:rFonts w:cs="Segoe UI"/>
          <w:szCs w:val="20"/>
        </w:rPr>
        <w:t>Poskytovate</w:t>
      </w:r>
      <w:r w:rsidR="00BC7FC8" w:rsidRPr="008F13C9">
        <w:rPr>
          <w:rFonts w:cs="Segoe UI"/>
          <w:szCs w:val="20"/>
        </w:rPr>
        <w:t xml:space="preserve">l je povinen provést </w:t>
      </w:r>
      <w:r w:rsidR="009C23B9" w:rsidRPr="008F13C9">
        <w:rPr>
          <w:rFonts w:cs="Segoe UI"/>
          <w:szCs w:val="20"/>
        </w:rPr>
        <w:t>zpracování odborných posudků</w:t>
      </w:r>
      <w:r w:rsidR="00BC7FC8" w:rsidRPr="008F13C9">
        <w:rPr>
          <w:rFonts w:cs="Segoe UI"/>
          <w:szCs w:val="20"/>
        </w:rPr>
        <w:t xml:space="preserve"> s potřebnou péčí</w:t>
      </w:r>
      <w:r w:rsidR="002B7763">
        <w:rPr>
          <w:rFonts w:cs="Segoe UI"/>
          <w:szCs w:val="20"/>
        </w:rPr>
        <w:t xml:space="preserve">, </w:t>
      </w:r>
      <w:r w:rsidR="002B7763" w:rsidRPr="002B7763">
        <w:rPr>
          <w:rFonts w:cs="Segoe UI"/>
          <w:szCs w:val="20"/>
        </w:rPr>
        <w:t>podle svých odborných znalostí, zkušeností</w:t>
      </w:r>
      <w:r w:rsidR="002B7763">
        <w:rPr>
          <w:rFonts w:cs="Segoe UI"/>
          <w:szCs w:val="20"/>
        </w:rPr>
        <w:t xml:space="preserve"> a</w:t>
      </w:r>
      <w:r w:rsidR="002B7763" w:rsidRPr="002B7763">
        <w:rPr>
          <w:rFonts w:cs="Segoe UI"/>
          <w:szCs w:val="20"/>
        </w:rPr>
        <w:t xml:space="preserve"> praxe</w:t>
      </w:r>
      <w:r w:rsidR="00BC7FC8" w:rsidRPr="008F13C9">
        <w:rPr>
          <w:rFonts w:cs="Segoe UI"/>
          <w:szCs w:val="20"/>
        </w:rPr>
        <w:t xml:space="preserve"> a </w:t>
      </w:r>
      <w:r w:rsidR="00226B39" w:rsidRPr="00226B39">
        <w:rPr>
          <w:rFonts w:cs="Segoe UI"/>
          <w:szCs w:val="20"/>
        </w:rPr>
        <w:t>dle podkladů</w:t>
      </w:r>
      <w:r w:rsidR="002B7763">
        <w:rPr>
          <w:rFonts w:cs="Segoe UI"/>
          <w:szCs w:val="20"/>
        </w:rPr>
        <w:t xml:space="preserve"> </w:t>
      </w:r>
      <w:r w:rsidR="002B7763" w:rsidRPr="00226B39">
        <w:rPr>
          <w:rFonts w:cs="Segoe UI"/>
          <w:szCs w:val="20"/>
        </w:rPr>
        <w:t xml:space="preserve">předaných </w:t>
      </w:r>
      <w:r w:rsidR="002B7763">
        <w:rPr>
          <w:rFonts w:cs="Segoe UI"/>
          <w:szCs w:val="20"/>
        </w:rPr>
        <w:t xml:space="preserve">mu </w:t>
      </w:r>
      <w:r w:rsidR="009A1445">
        <w:rPr>
          <w:rFonts w:cs="Segoe UI"/>
          <w:szCs w:val="20"/>
        </w:rPr>
        <w:t>potencionálním žadatelem</w:t>
      </w:r>
      <w:r w:rsidR="00BC7FC8" w:rsidRPr="008F13C9">
        <w:rPr>
          <w:rFonts w:cs="Segoe UI"/>
          <w:szCs w:val="20"/>
        </w:rPr>
        <w:t xml:space="preserve">. </w:t>
      </w:r>
      <w:r w:rsidRPr="008F13C9">
        <w:rPr>
          <w:rFonts w:cs="Segoe UI"/>
          <w:szCs w:val="20"/>
        </w:rPr>
        <w:t>Poskytovate</w:t>
      </w:r>
      <w:r w:rsidR="00BC7FC8" w:rsidRPr="008F13C9">
        <w:rPr>
          <w:rFonts w:cs="Segoe UI"/>
          <w:szCs w:val="20"/>
        </w:rPr>
        <w:t xml:space="preserve">l je povinen v rámci zpracování jednotlivých </w:t>
      </w:r>
      <w:r w:rsidR="0067592D" w:rsidRPr="008F13C9">
        <w:rPr>
          <w:rFonts w:cs="Segoe UI"/>
          <w:szCs w:val="20"/>
        </w:rPr>
        <w:t>odborných posudků</w:t>
      </w:r>
      <w:r w:rsidR="00BC7FC8" w:rsidRPr="008F13C9">
        <w:rPr>
          <w:rFonts w:cs="Segoe UI"/>
          <w:szCs w:val="20"/>
        </w:rPr>
        <w:t xml:space="preserve"> zejm</w:t>
      </w:r>
      <w:r w:rsidR="00A65BA5" w:rsidRPr="008F13C9">
        <w:rPr>
          <w:rFonts w:cs="Segoe UI"/>
          <w:szCs w:val="20"/>
        </w:rPr>
        <w:t>éna</w:t>
      </w:r>
      <w:r w:rsidR="00BC7FC8" w:rsidRPr="008F13C9">
        <w:rPr>
          <w:rFonts w:cs="Segoe UI"/>
          <w:szCs w:val="20"/>
        </w:rPr>
        <w:t>:</w:t>
      </w:r>
    </w:p>
    <w:p w14:paraId="0D07E230" w14:textId="7CE89508" w:rsidR="001063A3" w:rsidRPr="008F13C9" w:rsidRDefault="00AA1042" w:rsidP="0042137A">
      <w:pPr>
        <w:pStyle w:val="Odstavecseseznamem"/>
        <w:numPr>
          <w:ilvl w:val="0"/>
          <w:numId w:val="9"/>
        </w:numPr>
        <w:spacing w:before="0"/>
        <w:rPr>
          <w:rFonts w:cs="Segoe UI"/>
          <w:szCs w:val="20"/>
        </w:rPr>
      </w:pPr>
      <w:r w:rsidRPr="008F13C9">
        <w:rPr>
          <w:rFonts w:cs="Segoe UI"/>
          <w:szCs w:val="20"/>
        </w:rPr>
        <w:t>vycházet ze</w:t>
      </w:r>
      <w:r w:rsidR="001063A3" w:rsidRPr="008F13C9">
        <w:rPr>
          <w:rFonts w:cs="Segoe UI"/>
          <w:szCs w:val="20"/>
        </w:rPr>
        <w:t xml:space="preserve"> skutečn</w:t>
      </w:r>
      <w:r w:rsidRPr="008F13C9">
        <w:rPr>
          <w:rFonts w:cs="Segoe UI"/>
          <w:szCs w:val="20"/>
        </w:rPr>
        <w:t>ého</w:t>
      </w:r>
      <w:r w:rsidR="001063A3" w:rsidRPr="008F13C9">
        <w:rPr>
          <w:rFonts w:cs="Segoe UI"/>
          <w:szCs w:val="20"/>
        </w:rPr>
        <w:t xml:space="preserve"> stav</w:t>
      </w:r>
      <w:r w:rsidRPr="008F13C9">
        <w:rPr>
          <w:rFonts w:cs="Segoe UI"/>
          <w:szCs w:val="20"/>
        </w:rPr>
        <w:t>u</w:t>
      </w:r>
      <w:r w:rsidR="001063A3" w:rsidRPr="008F13C9">
        <w:rPr>
          <w:rFonts w:cs="Segoe UI"/>
          <w:szCs w:val="20"/>
        </w:rPr>
        <w:t xml:space="preserve"> posuzované </w:t>
      </w:r>
      <w:r w:rsidR="0067592D" w:rsidRPr="008F13C9">
        <w:rPr>
          <w:rFonts w:cs="Segoe UI"/>
          <w:szCs w:val="20"/>
        </w:rPr>
        <w:t>lokality</w:t>
      </w:r>
      <w:r w:rsidR="001063A3" w:rsidRPr="008F13C9">
        <w:rPr>
          <w:rFonts w:cs="Segoe UI"/>
          <w:szCs w:val="20"/>
        </w:rPr>
        <w:t>,</w:t>
      </w:r>
    </w:p>
    <w:p w14:paraId="4E3A6148" w14:textId="4DAB8489" w:rsidR="004A1045" w:rsidRPr="008F13C9" w:rsidRDefault="004A1045" w:rsidP="0042137A">
      <w:pPr>
        <w:pStyle w:val="Odstavecseseznamem"/>
        <w:numPr>
          <w:ilvl w:val="0"/>
          <w:numId w:val="9"/>
        </w:numPr>
        <w:spacing w:before="0"/>
        <w:rPr>
          <w:rFonts w:cs="Segoe UI"/>
          <w:szCs w:val="20"/>
        </w:rPr>
      </w:pPr>
      <w:r w:rsidRPr="008F13C9">
        <w:rPr>
          <w:rFonts w:cs="Segoe UI"/>
          <w:szCs w:val="20"/>
        </w:rPr>
        <w:t>zpracovat odborný posudek dle stanoveného vzoru</w:t>
      </w:r>
      <w:r w:rsidR="002F1A3B">
        <w:rPr>
          <w:rFonts w:cs="Segoe UI"/>
          <w:szCs w:val="20"/>
        </w:rPr>
        <w:t>, který je nedílnou součásti smlouvy v příloze č. 1</w:t>
      </w:r>
      <w:r w:rsidRPr="008F13C9">
        <w:rPr>
          <w:rFonts w:cs="Segoe UI"/>
          <w:szCs w:val="20"/>
        </w:rPr>
        <w:t>.</w:t>
      </w:r>
    </w:p>
    <w:p w14:paraId="49A4F3D1" w14:textId="51F08D32" w:rsidR="001063A3" w:rsidRPr="008F13C9" w:rsidRDefault="001063A3" w:rsidP="00412864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t>způsob objednávání dílčích plnění</w:t>
      </w:r>
    </w:p>
    <w:p w14:paraId="6980BC79" w14:textId="01E345A5" w:rsidR="001063A3" w:rsidRPr="008F13C9" w:rsidRDefault="004A33BA" w:rsidP="0006671B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Jednotlivé o</w:t>
      </w:r>
      <w:r w:rsidR="00EA2779" w:rsidRPr="008F13C9">
        <w:rPr>
          <w:rFonts w:cs="Segoe UI"/>
          <w:szCs w:val="20"/>
        </w:rPr>
        <w:t>dborn</w:t>
      </w:r>
      <w:r w:rsidR="004C6449" w:rsidRPr="008F13C9">
        <w:rPr>
          <w:rFonts w:cs="Segoe UI"/>
          <w:szCs w:val="20"/>
        </w:rPr>
        <w:t>é</w:t>
      </w:r>
      <w:r w:rsidR="00EA2779" w:rsidRPr="008F13C9">
        <w:rPr>
          <w:rFonts w:cs="Segoe UI"/>
          <w:szCs w:val="20"/>
        </w:rPr>
        <w:t xml:space="preserve"> posudk</w:t>
      </w:r>
      <w:r w:rsidR="004C6449" w:rsidRPr="008F13C9">
        <w:rPr>
          <w:rFonts w:cs="Segoe UI"/>
          <w:szCs w:val="20"/>
        </w:rPr>
        <w:t>y</w:t>
      </w:r>
      <w:r w:rsidR="001063A3" w:rsidRPr="008F13C9">
        <w:rPr>
          <w:rFonts w:cs="Segoe UI"/>
          <w:szCs w:val="20"/>
        </w:rPr>
        <w:t xml:space="preserve"> budou</w:t>
      </w:r>
      <w:r w:rsidR="004C6449" w:rsidRPr="008F13C9">
        <w:rPr>
          <w:rFonts w:cs="Segoe UI"/>
          <w:szCs w:val="20"/>
        </w:rPr>
        <w:t xml:space="preserve"> </w:t>
      </w:r>
      <w:r w:rsidR="004C6449" w:rsidRPr="002F1A3B">
        <w:rPr>
          <w:rFonts w:cs="Segoe UI"/>
          <w:szCs w:val="20"/>
        </w:rPr>
        <w:t>objedná</w:t>
      </w:r>
      <w:r w:rsidRPr="002F1A3B">
        <w:rPr>
          <w:rFonts w:cs="Segoe UI"/>
          <w:szCs w:val="20"/>
        </w:rPr>
        <w:t>vá</w:t>
      </w:r>
      <w:r w:rsidR="004C6449" w:rsidRPr="002F1A3B">
        <w:rPr>
          <w:rFonts w:cs="Segoe UI"/>
          <w:szCs w:val="20"/>
        </w:rPr>
        <w:t>ny</w:t>
      </w:r>
      <w:r w:rsidR="002F1A3B" w:rsidRPr="002F1A3B">
        <w:rPr>
          <w:rFonts w:cs="Segoe UI"/>
          <w:szCs w:val="20"/>
        </w:rPr>
        <w:t xml:space="preserve"> </w:t>
      </w:r>
      <w:r w:rsidR="00165130">
        <w:rPr>
          <w:rFonts w:cs="Segoe UI"/>
          <w:szCs w:val="20"/>
        </w:rPr>
        <w:t xml:space="preserve">přes </w:t>
      </w:r>
      <w:r w:rsidR="002F1A3B" w:rsidRPr="002F1A3B">
        <w:rPr>
          <w:rFonts w:cs="Segoe UI"/>
          <w:szCs w:val="20"/>
        </w:rPr>
        <w:t>datovou schránku (</w:t>
      </w:r>
      <w:proofErr w:type="spellStart"/>
      <w:r w:rsidR="002F1A3B" w:rsidRPr="002F1A3B">
        <w:rPr>
          <w:rFonts w:cs="Segoe UI"/>
        </w:rPr>
        <w:t>siyhmun</w:t>
      </w:r>
      <w:proofErr w:type="spellEnd"/>
      <w:r w:rsidR="002F1A3B" w:rsidRPr="002F1A3B">
        <w:rPr>
          <w:rFonts w:cs="Segoe UI"/>
        </w:rPr>
        <w:t>) nebo přes podatelnu (</w:t>
      </w:r>
      <w:hyperlink r:id="rId8" w:history="1">
        <w:r w:rsidR="009A1445" w:rsidRPr="00282771">
          <w:rPr>
            <w:rStyle w:val="Hypertextovodkaz"/>
            <w:rFonts w:cs="Segoe UI"/>
            <w:szCs w:val="20"/>
          </w:rPr>
          <w:t>podatelna@</w:t>
        </w:r>
        <w:r w:rsidR="009A1445" w:rsidRPr="00282771">
          <w:rPr>
            <w:rStyle w:val="Hypertextovodkaz"/>
            <w:rFonts w:cs="Segoe UI"/>
          </w:rPr>
          <w:t>geology</w:t>
        </w:r>
        <w:r w:rsidR="009A1445" w:rsidRPr="00282771">
          <w:rPr>
            <w:rStyle w:val="Hypertextovodkaz"/>
            <w:rFonts w:cs="Segoe UI"/>
            <w:szCs w:val="20"/>
          </w:rPr>
          <w:t>.cz</w:t>
        </w:r>
      </w:hyperlink>
      <w:r w:rsidR="00165130">
        <w:rPr>
          <w:rFonts w:cs="Segoe UI"/>
          <w:szCs w:val="20"/>
        </w:rPr>
        <w:t>)</w:t>
      </w:r>
      <w:r w:rsidR="009A1445">
        <w:rPr>
          <w:rFonts w:cs="Segoe UI"/>
          <w:szCs w:val="20"/>
        </w:rPr>
        <w:t xml:space="preserve"> </w:t>
      </w:r>
      <w:r w:rsidR="009A1445" w:rsidRPr="009A1445">
        <w:rPr>
          <w:rFonts w:cs="Segoe UI"/>
          <w:szCs w:val="20"/>
        </w:rPr>
        <w:t>nebo v listinné podobě v podatelně</w:t>
      </w:r>
      <w:r w:rsidR="009A1445">
        <w:rPr>
          <w:rFonts w:cs="Segoe UI"/>
          <w:szCs w:val="20"/>
        </w:rPr>
        <w:t xml:space="preserve"> </w:t>
      </w:r>
      <w:r w:rsidR="00165130" w:rsidRPr="002F1A3B">
        <w:rPr>
          <w:rFonts w:cs="Segoe UI"/>
          <w:szCs w:val="20"/>
        </w:rPr>
        <w:t xml:space="preserve">u Poskytovatele </w:t>
      </w:r>
      <w:r w:rsidRPr="002F1A3B">
        <w:rPr>
          <w:rFonts w:cs="Segoe UI"/>
          <w:szCs w:val="20"/>
        </w:rPr>
        <w:t>potencionálními</w:t>
      </w:r>
      <w:r w:rsidRPr="008F13C9">
        <w:rPr>
          <w:rFonts w:cs="Segoe UI"/>
          <w:szCs w:val="20"/>
        </w:rPr>
        <w:t xml:space="preserve"> žadateli o</w:t>
      </w:r>
      <w:r w:rsidR="00CC69B6">
        <w:rPr>
          <w:rFonts w:cs="Segoe UI"/>
          <w:szCs w:val="20"/>
        </w:rPr>
        <w:t> </w:t>
      </w:r>
      <w:r w:rsidRPr="008F13C9">
        <w:rPr>
          <w:rFonts w:cs="Segoe UI"/>
          <w:szCs w:val="20"/>
        </w:rPr>
        <w:t>poskytnutí podpory</w:t>
      </w:r>
      <w:r w:rsidR="00190044" w:rsidRPr="008F13C9">
        <w:rPr>
          <w:rFonts w:cs="Segoe UI"/>
          <w:szCs w:val="20"/>
        </w:rPr>
        <w:t>.</w:t>
      </w:r>
      <w:r w:rsidRPr="008F13C9">
        <w:rPr>
          <w:rFonts w:cs="Segoe UI"/>
          <w:szCs w:val="20"/>
        </w:rPr>
        <w:t xml:space="preserve"> </w:t>
      </w:r>
    </w:p>
    <w:p w14:paraId="7DE082D4" w14:textId="34C4BEDF" w:rsidR="00E33936" w:rsidRPr="008F13C9" w:rsidRDefault="00E33936" w:rsidP="00412864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t>způsob provedení díla a jeho náležitosti</w:t>
      </w:r>
      <w:r w:rsidR="001B4508" w:rsidRPr="008F13C9">
        <w:rPr>
          <w:rFonts w:cs="Segoe UI"/>
          <w:szCs w:val="20"/>
        </w:rPr>
        <w:t>, předání a převzetí díla</w:t>
      </w:r>
    </w:p>
    <w:p w14:paraId="684890F9" w14:textId="48999D67" w:rsidR="00C434E0" w:rsidRPr="008F13C9" w:rsidRDefault="00AA1042" w:rsidP="00C434E0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Poskytovate</w:t>
      </w:r>
      <w:r w:rsidR="00C434E0" w:rsidRPr="008F13C9">
        <w:rPr>
          <w:rFonts w:cs="Segoe UI"/>
          <w:szCs w:val="20"/>
        </w:rPr>
        <w:t>l prohlašuje, že k veškerým činnostem podle této smlouvy má potřebná oprávnění a</w:t>
      </w:r>
      <w:r w:rsidR="00CC69B6">
        <w:rPr>
          <w:rFonts w:cs="Segoe UI"/>
          <w:szCs w:val="20"/>
        </w:rPr>
        <w:t> </w:t>
      </w:r>
      <w:r w:rsidR="00C434E0" w:rsidRPr="008F13C9">
        <w:rPr>
          <w:rFonts w:cs="Segoe UI"/>
          <w:szCs w:val="20"/>
        </w:rPr>
        <w:t>že je bude vykonávat v souladu s platnými právními předpisy České republiky.</w:t>
      </w:r>
    </w:p>
    <w:p w14:paraId="6B3A33FD" w14:textId="06F36B3D" w:rsidR="001B4508" w:rsidRPr="008F13C9" w:rsidRDefault="009C23B9" w:rsidP="001B4508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Odborné posudky budou </w:t>
      </w:r>
      <w:r w:rsidR="001140CC" w:rsidRPr="008F13C9">
        <w:rPr>
          <w:rFonts w:cs="Segoe UI"/>
          <w:szCs w:val="20"/>
        </w:rPr>
        <w:t>zpracov</w:t>
      </w:r>
      <w:r w:rsidRPr="008F13C9">
        <w:rPr>
          <w:rFonts w:cs="Segoe UI"/>
          <w:szCs w:val="20"/>
        </w:rPr>
        <w:t>ány</w:t>
      </w:r>
      <w:r w:rsidR="001140CC" w:rsidRPr="008F13C9">
        <w:rPr>
          <w:rFonts w:cs="Segoe UI"/>
          <w:szCs w:val="20"/>
        </w:rPr>
        <w:t xml:space="preserve"> </w:t>
      </w:r>
      <w:r w:rsidRPr="008F13C9">
        <w:rPr>
          <w:rFonts w:cs="Segoe UI"/>
          <w:szCs w:val="20"/>
        </w:rPr>
        <w:t xml:space="preserve">za účelem posouzení </w:t>
      </w:r>
      <w:r w:rsidR="00C61130">
        <w:rPr>
          <w:rFonts w:cs="Segoe UI"/>
          <w:szCs w:val="20"/>
        </w:rPr>
        <w:t xml:space="preserve">odborné úrovně a rozsahu </w:t>
      </w:r>
      <w:r w:rsidR="002F1A3B">
        <w:rPr>
          <w:rFonts w:cs="Segoe UI"/>
          <w:szCs w:val="20"/>
        </w:rPr>
        <w:t>projektů sana</w:t>
      </w:r>
      <w:r w:rsidR="00165130">
        <w:rPr>
          <w:rFonts w:cs="Segoe UI"/>
          <w:szCs w:val="20"/>
        </w:rPr>
        <w:t>čních prací</w:t>
      </w:r>
      <w:r w:rsidR="002F1A3B">
        <w:rPr>
          <w:rFonts w:cs="Segoe UI"/>
          <w:szCs w:val="20"/>
        </w:rPr>
        <w:t xml:space="preserve"> </w:t>
      </w:r>
      <w:r w:rsidR="001140CC" w:rsidRPr="008F13C9">
        <w:rPr>
          <w:rFonts w:cs="Segoe UI"/>
          <w:szCs w:val="20"/>
        </w:rPr>
        <w:t xml:space="preserve">dle vzoru, jenž je obsažen v příloze č. 1 Smlouvy. </w:t>
      </w:r>
    </w:p>
    <w:p w14:paraId="36B91573" w14:textId="21053412" w:rsidR="001B4508" w:rsidRPr="008F13C9" w:rsidRDefault="00F55CD6" w:rsidP="001B4508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Zpracovaný odborný posudek je </w:t>
      </w:r>
      <w:r w:rsidR="005A7D50" w:rsidRPr="008F13C9">
        <w:rPr>
          <w:rFonts w:cs="Segoe UI"/>
          <w:szCs w:val="20"/>
        </w:rPr>
        <w:t xml:space="preserve">Poskytovatel </w:t>
      </w:r>
      <w:r w:rsidRPr="008F13C9">
        <w:rPr>
          <w:rFonts w:cs="Segoe UI"/>
          <w:szCs w:val="20"/>
        </w:rPr>
        <w:t>povinen zaslat potencionálnímu žadateli</w:t>
      </w:r>
      <w:r w:rsidR="00984C8A">
        <w:rPr>
          <w:rFonts w:cs="Segoe UI"/>
          <w:szCs w:val="20"/>
        </w:rPr>
        <w:t xml:space="preserve"> ve lhůtě </w:t>
      </w:r>
      <w:r w:rsidR="002F1A3B">
        <w:rPr>
          <w:rFonts w:cs="Segoe UI"/>
          <w:szCs w:val="20"/>
        </w:rPr>
        <w:t>2</w:t>
      </w:r>
      <w:r w:rsidR="00984C8A">
        <w:rPr>
          <w:rFonts w:cs="Segoe UI"/>
          <w:szCs w:val="20"/>
        </w:rPr>
        <w:t>0 pracovních dnů ode dne jeho objednání</w:t>
      </w:r>
      <w:r w:rsidR="00620423">
        <w:rPr>
          <w:rFonts w:cs="Segoe UI"/>
          <w:szCs w:val="20"/>
        </w:rPr>
        <w:t xml:space="preserve">, nejpozději však do </w:t>
      </w:r>
      <w:r w:rsidR="00015107">
        <w:rPr>
          <w:rFonts w:cs="Segoe UI"/>
          <w:szCs w:val="20"/>
        </w:rPr>
        <w:t>29</w:t>
      </w:r>
      <w:r w:rsidR="00620423">
        <w:rPr>
          <w:rFonts w:cs="Segoe UI"/>
          <w:szCs w:val="20"/>
        </w:rPr>
        <w:t>. 1. 2026, aby potencionální žadatel mohl podat žádost o podporu v rámci Výzvy, v níž končí příjem žádostí dne 3</w:t>
      </w:r>
      <w:r w:rsidR="002F1A3B">
        <w:rPr>
          <w:rFonts w:cs="Segoe UI"/>
          <w:szCs w:val="20"/>
        </w:rPr>
        <w:t>0</w:t>
      </w:r>
      <w:r w:rsidR="00620423">
        <w:rPr>
          <w:rFonts w:cs="Segoe UI"/>
          <w:szCs w:val="20"/>
        </w:rPr>
        <w:t>. 1. 2026</w:t>
      </w:r>
      <w:r w:rsidR="002F1A3B">
        <w:rPr>
          <w:rFonts w:cs="Segoe UI"/>
          <w:szCs w:val="20"/>
        </w:rPr>
        <w:t xml:space="preserve"> (20:00)</w:t>
      </w:r>
      <w:r w:rsidR="00190044" w:rsidRPr="008F13C9">
        <w:rPr>
          <w:rFonts w:cs="Segoe UI"/>
          <w:szCs w:val="20"/>
        </w:rPr>
        <w:t>.</w:t>
      </w:r>
    </w:p>
    <w:p w14:paraId="05B74CB1" w14:textId="53B71576" w:rsidR="00396663" w:rsidRPr="008F13C9" w:rsidRDefault="008C3015" w:rsidP="00412864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Doba trvání smlouvy </w:t>
      </w:r>
    </w:p>
    <w:p w14:paraId="6405E2F6" w14:textId="77777777" w:rsidR="00972B5C" w:rsidRPr="008F13C9" w:rsidRDefault="00972B5C" w:rsidP="0042137A">
      <w:pPr>
        <w:pStyle w:val="Odstavecseseznamem"/>
        <w:numPr>
          <w:ilvl w:val="0"/>
          <w:numId w:val="6"/>
        </w:numPr>
        <w:rPr>
          <w:rFonts w:cs="Segoe UI"/>
          <w:vanish/>
          <w:szCs w:val="20"/>
        </w:rPr>
      </w:pPr>
    </w:p>
    <w:p w14:paraId="50E0EE34" w14:textId="6644013E" w:rsidR="009F4103" w:rsidRPr="008F13C9" w:rsidRDefault="00D53197" w:rsidP="00F559AD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Tato </w:t>
      </w:r>
      <w:r w:rsidR="00F559AD" w:rsidRPr="008F13C9">
        <w:rPr>
          <w:rFonts w:cs="Segoe UI"/>
          <w:szCs w:val="20"/>
        </w:rPr>
        <w:t>S</w:t>
      </w:r>
      <w:r w:rsidR="009F4103" w:rsidRPr="008F13C9">
        <w:rPr>
          <w:rFonts w:cs="Segoe UI"/>
          <w:szCs w:val="20"/>
        </w:rPr>
        <w:t xml:space="preserve">mlouva se uzavírá na dobu </w:t>
      </w:r>
      <w:r w:rsidR="000025F7" w:rsidRPr="008F13C9">
        <w:rPr>
          <w:rFonts w:cs="Segoe UI"/>
          <w:szCs w:val="20"/>
        </w:rPr>
        <w:t>určitou</w:t>
      </w:r>
      <w:r w:rsidR="009F4103" w:rsidRPr="008F13C9">
        <w:rPr>
          <w:rFonts w:cs="Segoe UI"/>
          <w:szCs w:val="20"/>
        </w:rPr>
        <w:t xml:space="preserve">, a to ode dne </w:t>
      </w:r>
      <w:r w:rsidR="00B22569" w:rsidRPr="008F13C9">
        <w:rPr>
          <w:rFonts w:cs="Segoe UI"/>
          <w:szCs w:val="20"/>
        </w:rPr>
        <w:t>účinnosti</w:t>
      </w:r>
      <w:r w:rsidR="009F4103" w:rsidRPr="008F13C9">
        <w:rPr>
          <w:rFonts w:cs="Segoe UI"/>
          <w:szCs w:val="20"/>
        </w:rPr>
        <w:t xml:space="preserve"> této </w:t>
      </w:r>
      <w:r w:rsidR="00F559AD" w:rsidRPr="008F13C9">
        <w:rPr>
          <w:rFonts w:cs="Segoe UI"/>
          <w:szCs w:val="20"/>
        </w:rPr>
        <w:t>S</w:t>
      </w:r>
      <w:r w:rsidR="009F4103" w:rsidRPr="008F13C9">
        <w:rPr>
          <w:rFonts w:cs="Segoe UI"/>
          <w:szCs w:val="20"/>
        </w:rPr>
        <w:t xml:space="preserve">mlouvy </w:t>
      </w:r>
      <w:r w:rsidR="000025F7" w:rsidRPr="008F13C9">
        <w:rPr>
          <w:rFonts w:cs="Segoe UI"/>
          <w:szCs w:val="20"/>
        </w:rPr>
        <w:t>na 6 měsíců</w:t>
      </w:r>
      <w:r w:rsidR="00D17E26" w:rsidRPr="008F13C9">
        <w:rPr>
          <w:rFonts w:cs="Segoe UI"/>
          <w:szCs w:val="20"/>
        </w:rPr>
        <w:t>,</w:t>
      </w:r>
      <w:r w:rsidR="00C96EA8" w:rsidRPr="008F13C9">
        <w:rPr>
          <w:rFonts w:cs="Segoe UI"/>
          <w:szCs w:val="20"/>
        </w:rPr>
        <w:t xml:space="preserve"> nebo do vyčerpání</w:t>
      </w:r>
      <w:r w:rsidR="000025F7" w:rsidRPr="008F13C9">
        <w:rPr>
          <w:rFonts w:cs="Segoe UI"/>
          <w:szCs w:val="20"/>
        </w:rPr>
        <w:t xml:space="preserve"> maximální</w:t>
      </w:r>
      <w:r w:rsidR="00C96EA8" w:rsidRPr="008F13C9">
        <w:rPr>
          <w:rFonts w:cs="Segoe UI"/>
          <w:szCs w:val="20"/>
        </w:rPr>
        <w:t xml:space="preserve"> částky </w:t>
      </w:r>
      <w:r w:rsidR="000025F7" w:rsidRPr="008F13C9">
        <w:rPr>
          <w:rFonts w:cs="Segoe UI"/>
          <w:szCs w:val="20"/>
        </w:rPr>
        <w:t>stanovené v čl. 5 Smlouvy</w:t>
      </w:r>
      <w:r w:rsidRPr="008F13C9">
        <w:rPr>
          <w:rFonts w:cs="Segoe UI"/>
          <w:szCs w:val="20"/>
        </w:rPr>
        <w:t xml:space="preserve"> </w:t>
      </w:r>
      <w:r w:rsidR="000025F7" w:rsidRPr="008F13C9">
        <w:rPr>
          <w:rFonts w:cs="Segoe UI"/>
          <w:szCs w:val="20"/>
        </w:rPr>
        <w:t xml:space="preserve">dle toho, která skutečnost </w:t>
      </w:r>
      <w:r w:rsidRPr="008F13C9">
        <w:rPr>
          <w:rFonts w:cs="Segoe UI"/>
          <w:szCs w:val="20"/>
        </w:rPr>
        <w:t>nastane dříve</w:t>
      </w:r>
      <w:r w:rsidR="009F4103" w:rsidRPr="008F13C9">
        <w:rPr>
          <w:rFonts w:cs="Segoe UI"/>
          <w:szCs w:val="20"/>
        </w:rPr>
        <w:t>.</w:t>
      </w:r>
    </w:p>
    <w:p w14:paraId="24CA042D" w14:textId="77777777" w:rsidR="00B727F2" w:rsidRPr="008F13C9" w:rsidRDefault="008C3015" w:rsidP="00972B5C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t>Cena a platební podmínky</w:t>
      </w:r>
    </w:p>
    <w:p w14:paraId="7E8AAA4B" w14:textId="6ADD675A" w:rsidR="00EA2779" w:rsidRPr="006545D7" w:rsidRDefault="00B9276D" w:rsidP="00EA2779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Maximální finanční objem za všechny odborné posudky nepřesáhne částku 500.000 Kč bez DPH</w:t>
      </w:r>
      <w:r w:rsidR="00EA2779" w:rsidRPr="008F13C9">
        <w:rPr>
          <w:rFonts w:cs="Segoe UI"/>
          <w:szCs w:val="20"/>
        </w:rPr>
        <w:t>, přičemž Objednatel není povinen vyčerpat tuto částku celou.</w:t>
      </w:r>
    </w:p>
    <w:p w14:paraId="36235B6E" w14:textId="2284F2B6" w:rsidR="00F55CD6" w:rsidRPr="006545D7" w:rsidRDefault="00C33549" w:rsidP="00F55CD6">
      <w:pPr>
        <w:pStyle w:val="Odstavecseseznamem"/>
        <w:rPr>
          <w:rFonts w:eastAsiaTheme="minorHAnsi" w:cs="Segoe UI"/>
          <w:szCs w:val="20"/>
          <w:lang w:eastAsia="en-US"/>
        </w:rPr>
      </w:pPr>
      <w:r w:rsidRPr="008F13C9">
        <w:rPr>
          <w:rFonts w:cs="Segoe UI"/>
          <w:szCs w:val="20"/>
        </w:rPr>
        <w:t xml:space="preserve">Cena za </w:t>
      </w:r>
      <w:r w:rsidR="00F55CD6" w:rsidRPr="008F13C9">
        <w:rPr>
          <w:rFonts w:cs="Segoe UI"/>
          <w:szCs w:val="20"/>
        </w:rPr>
        <w:t xml:space="preserve">odborný </w:t>
      </w:r>
      <w:r w:rsidRPr="008F13C9">
        <w:rPr>
          <w:rFonts w:cs="Segoe UI"/>
          <w:szCs w:val="20"/>
        </w:rPr>
        <w:t xml:space="preserve">posudek bude </w:t>
      </w:r>
      <w:r w:rsidR="00F55CD6" w:rsidRPr="008F13C9">
        <w:rPr>
          <w:rFonts w:cs="Segoe UI"/>
          <w:szCs w:val="20"/>
        </w:rPr>
        <w:t xml:space="preserve">Poskytovatelem </w:t>
      </w:r>
      <w:r w:rsidRPr="008F13C9">
        <w:rPr>
          <w:rFonts w:cs="Segoe UI"/>
          <w:szCs w:val="20"/>
        </w:rPr>
        <w:t xml:space="preserve">určena v závislosti na rozsahu </w:t>
      </w:r>
      <w:r w:rsidR="001E7D08" w:rsidRPr="008F13C9">
        <w:rPr>
          <w:rFonts w:cs="Segoe UI"/>
          <w:szCs w:val="20"/>
        </w:rPr>
        <w:t>projektu</w:t>
      </w:r>
      <w:r w:rsidRPr="008F13C9">
        <w:rPr>
          <w:rFonts w:cs="Segoe UI"/>
          <w:szCs w:val="20"/>
        </w:rPr>
        <w:t xml:space="preserve"> a nutnosti místního šetření</w:t>
      </w:r>
      <w:r w:rsidR="00F55CD6" w:rsidRPr="008F13C9">
        <w:rPr>
          <w:rFonts w:cs="Segoe UI"/>
          <w:szCs w:val="20"/>
        </w:rPr>
        <w:t xml:space="preserve"> dle tabul</w:t>
      </w:r>
      <w:r w:rsidR="00D00DAB" w:rsidRPr="008F13C9">
        <w:rPr>
          <w:rFonts w:cs="Segoe UI"/>
          <w:szCs w:val="20"/>
        </w:rPr>
        <w:t>e</w:t>
      </w:r>
      <w:r w:rsidR="00F55CD6" w:rsidRPr="008F13C9">
        <w:rPr>
          <w:rFonts w:cs="Segoe UI"/>
          <w:szCs w:val="20"/>
        </w:rPr>
        <w:t>k níže</w:t>
      </w:r>
      <w:r w:rsidR="00BE0377">
        <w:rPr>
          <w:rFonts w:cs="Segoe UI"/>
          <w:szCs w:val="20"/>
        </w:rPr>
        <w:t>, v nichž jsou ceny za posudek stanoveny jako maximální</w:t>
      </w:r>
      <w:r w:rsidRPr="008F13C9">
        <w:rPr>
          <w:rFonts w:cs="Segoe UI"/>
          <w:szCs w:val="20"/>
        </w:rPr>
        <w:t>.</w:t>
      </w:r>
    </w:p>
    <w:p w14:paraId="0238AC6B" w14:textId="69A67C9C" w:rsidR="00C647F8" w:rsidRPr="006545D7" w:rsidRDefault="00C647F8" w:rsidP="00451A8A">
      <w:pPr>
        <w:pStyle w:val="Odstavecseseznamem"/>
        <w:keepNext/>
        <w:numPr>
          <w:ilvl w:val="0"/>
          <w:numId w:val="0"/>
        </w:numPr>
        <w:ind w:left="567"/>
        <w:rPr>
          <w:rFonts w:eastAsiaTheme="minorHAnsi" w:cs="Segoe UI"/>
          <w:szCs w:val="20"/>
          <w:lang w:eastAsia="en-US"/>
        </w:rPr>
      </w:pPr>
      <w:r w:rsidRPr="008F13C9">
        <w:rPr>
          <w:rFonts w:cs="Segoe UI"/>
          <w:szCs w:val="20"/>
        </w:rPr>
        <w:lastRenderedPageBreak/>
        <w:t>Posudek sesuvu s terénní rekognoskací</w:t>
      </w:r>
      <w:r w:rsidRPr="008F13C9">
        <w:rPr>
          <w:rFonts w:cs="Segoe UI"/>
          <w:szCs w:val="20"/>
        </w:rPr>
        <w:fldChar w:fldCharType="begin"/>
      </w:r>
      <w:r w:rsidRPr="008F13C9">
        <w:rPr>
          <w:rFonts w:cs="Segoe UI"/>
          <w:szCs w:val="20"/>
        </w:rPr>
        <w:instrText xml:space="preserve"> LINK Excel.Sheet.12 "C:\\Users\\dneradova\\AppData\\Local\\Microsoft\\Windows\\INetCache\\Content.Outlook\\FHQTJTO4\\nacenění posudků k sesuvům.xlsx" "List1!R2C1:R4C13" \a \f 4 \h </w:instrText>
      </w:r>
      <w:r w:rsidR="00F55CD6" w:rsidRPr="008F13C9">
        <w:rPr>
          <w:rFonts w:cs="Segoe UI"/>
          <w:szCs w:val="20"/>
        </w:rPr>
        <w:instrText xml:space="preserve"> \* MERGEFORMAT </w:instrText>
      </w:r>
      <w:r w:rsidRPr="008F13C9">
        <w:rPr>
          <w:rFonts w:cs="Segoe UI"/>
          <w:szCs w:val="20"/>
        </w:rPr>
        <w:fldChar w:fldCharType="separate"/>
      </w:r>
    </w:p>
    <w:tbl>
      <w:tblPr>
        <w:tblW w:w="856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1417"/>
        <w:gridCol w:w="854"/>
        <w:gridCol w:w="960"/>
        <w:gridCol w:w="967"/>
        <w:gridCol w:w="679"/>
        <w:gridCol w:w="1140"/>
      </w:tblGrid>
      <w:tr w:rsidR="00F55CD6" w:rsidRPr="008F13C9" w14:paraId="6EBA3794" w14:textId="77777777" w:rsidTr="002102FE">
        <w:trPr>
          <w:trHeight w:val="1200"/>
          <w:jc w:val="right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A494" w14:textId="6A1D5FDA" w:rsidR="00C647F8" w:rsidRPr="006545D7" w:rsidRDefault="00C647F8" w:rsidP="00451A8A">
            <w:pPr>
              <w:keepNext/>
              <w:spacing w:line="240" w:lineRule="auto"/>
              <w:rPr>
                <w:rFonts w:cs="Segoe UI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B202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Celková pracnost (dnů)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D450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Hodinová sazba práce vč. odvodů (Kč)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5E1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Režie (Kč)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A42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Celkem (Kč)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4091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Cestovné (Kč)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FC87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Hodin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98A3" w14:textId="513079F7" w:rsidR="00C647F8" w:rsidRPr="006545D7" w:rsidRDefault="00BE0377" w:rsidP="00451A8A">
            <w:pPr>
              <w:keepNext/>
              <w:spacing w:line="240" w:lineRule="auto"/>
              <w:jc w:val="center"/>
              <w:rPr>
                <w:rFonts w:cs="Segoe UI"/>
                <w:b/>
                <w:bCs/>
                <w:color w:val="000000"/>
                <w:szCs w:val="20"/>
              </w:rPr>
            </w:pPr>
            <w:r>
              <w:rPr>
                <w:rFonts w:cs="Segoe UI"/>
                <w:b/>
                <w:bCs/>
                <w:color w:val="000000"/>
                <w:szCs w:val="20"/>
              </w:rPr>
              <w:t>Maximální c</w:t>
            </w:r>
            <w:r w:rsidR="00C647F8" w:rsidRPr="006545D7">
              <w:rPr>
                <w:rFonts w:cs="Segoe UI"/>
                <w:b/>
                <w:bCs/>
                <w:color w:val="000000"/>
                <w:szCs w:val="20"/>
              </w:rPr>
              <w:t>ena za posudek celkem (Kč)</w:t>
            </w:r>
          </w:p>
        </w:tc>
      </w:tr>
      <w:tr w:rsidR="00F55CD6" w:rsidRPr="008F13C9" w14:paraId="7935B7E1" w14:textId="77777777" w:rsidTr="002102FE">
        <w:trPr>
          <w:trHeight w:val="300"/>
          <w:jc w:val="right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3859" w14:textId="77777777" w:rsidR="00C647F8" w:rsidRPr="006545D7" w:rsidRDefault="00C647F8" w:rsidP="00451A8A">
            <w:pPr>
              <w:keepNext/>
              <w:spacing w:line="240" w:lineRule="auto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Velký posudek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79C9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EA7C" w14:textId="77777777" w:rsidR="00C647F8" w:rsidRPr="006545D7" w:rsidRDefault="00C647F8" w:rsidP="00451A8A">
            <w:pPr>
              <w:keepNext/>
              <w:spacing w:line="240" w:lineRule="auto"/>
              <w:ind w:firstLineChars="200" w:firstLine="400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525 Kč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8869" w14:textId="77777777" w:rsidR="00C647F8" w:rsidRPr="006545D7" w:rsidRDefault="00C647F8" w:rsidP="00451A8A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190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1D88" w14:textId="77777777" w:rsidR="00C647F8" w:rsidRPr="006545D7" w:rsidRDefault="00C647F8" w:rsidP="00451A8A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715 Kč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A7C6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206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27B4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F6E3" w14:textId="77777777" w:rsidR="00C647F8" w:rsidRPr="006545D7" w:rsidRDefault="00C647F8" w:rsidP="00451A8A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30 248</w:t>
            </w:r>
          </w:p>
        </w:tc>
      </w:tr>
      <w:tr w:rsidR="00F55CD6" w:rsidRPr="008F13C9" w14:paraId="22986C37" w14:textId="77777777" w:rsidTr="002102FE">
        <w:trPr>
          <w:trHeight w:val="300"/>
          <w:jc w:val="right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2EEB" w14:textId="77777777" w:rsidR="00C647F8" w:rsidRPr="006545D7" w:rsidRDefault="00C647F8" w:rsidP="00451A8A">
            <w:pPr>
              <w:keepNext/>
              <w:spacing w:line="240" w:lineRule="auto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Malý posudek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96E2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27B5" w14:textId="77777777" w:rsidR="00C647F8" w:rsidRPr="006545D7" w:rsidRDefault="00C647F8" w:rsidP="00451A8A">
            <w:pPr>
              <w:keepNext/>
              <w:spacing w:line="240" w:lineRule="auto"/>
              <w:ind w:firstLineChars="200" w:firstLine="400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525 Kč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08CC" w14:textId="77777777" w:rsidR="00C647F8" w:rsidRPr="006545D7" w:rsidRDefault="00C647F8" w:rsidP="00451A8A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190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3CE0" w14:textId="77777777" w:rsidR="00C647F8" w:rsidRPr="006545D7" w:rsidRDefault="00C647F8" w:rsidP="00451A8A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715 Kč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0AC8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206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7759" w14:textId="77777777" w:rsidR="00C647F8" w:rsidRPr="006545D7" w:rsidRDefault="00C647F8" w:rsidP="00451A8A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4FE7" w14:textId="77777777" w:rsidR="00C647F8" w:rsidRPr="006545D7" w:rsidRDefault="00C647F8" w:rsidP="00451A8A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24 528</w:t>
            </w:r>
          </w:p>
        </w:tc>
      </w:tr>
    </w:tbl>
    <w:p w14:paraId="207DF687" w14:textId="77777777" w:rsidR="00D00DAB" w:rsidRPr="008F13C9" w:rsidRDefault="00C647F8" w:rsidP="00451A8A">
      <w:pPr>
        <w:keepNext/>
        <w:rPr>
          <w:rFonts w:cs="Segoe UI"/>
          <w:szCs w:val="20"/>
        </w:rPr>
      </w:pPr>
      <w:r w:rsidRPr="008F13C9">
        <w:rPr>
          <w:rFonts w:cs="Segoe UI"/>
          <w:szCs w:val="20"/>
        </w:rPr>
        <w:fldChar w:fldCharType="end"/>
      </w:r>
    </w:p>
    <w:p w14:paraId="0DDE0C2F" w14:textId="58145E99" w:rsidR="00C647F8" w:rsidRPr="008F13C9" w:rsidRDefault="00C647F8" w:rsidP="006545D7">
      <w:pPr>
        <w:keepNext/>
        <w:ind w:left="567"/>
        <w:rPr>
          <w:rFonts w:cs="Segoe UI"/>
          <w:szCs w:val="20"/>
        </w:rPr>
      </w:pPr>
      <w:r w:rsidRPr="008F13C9">
        <w:rPr>
          <w:rFonts w:cs="Segoe UI"/>
          <w:szCs w:val="20"/>
        </w:rPr>
        <w:t>Posudek sesuvu bez terénní rekognoskace</w:t>
      </w:r>
    </w:p>
    <w:tbl>
      <w:tblPr>
        <w:tblW w:w="851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2"/>
        <w:gridCol w:w="1010"/>
        <w:gridCol w:w="1417"/>
        <w:gridCol w:w="819"/>
        <w:gridCol w:w="953"/>
        <w:gridCol w:w="967"/>
        <w:gridCol w:w="679"/>
        <w:gridCol w:w="1132"/>
      </w:tblGrid>
      <w:tr w:rsidR="00D00DAB" w:rsidRPr="008F13C9" w14:paraId="2A598919" w14:textId="77777777" w:rsidTr="002102FE">
        <w:trPr>
          <w:trHeight w:val="1200"/>
          <w:jc w:val="right"/>
        </w:trPr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4364" w14:textId="2A863A54" w:rsidR="00C647F8" w:rsidRPr="006545D7" w:rsidRDefault="00C647F8" w:rsidP="006545D7">
            <w:pPr>
              <w:keepNext/>
              <w:spacing w:line="240" w:lineRule="auto"/>
              <w:rPr>
                <w:rFonts w:cs="Segoe UI"/>
                <w:color w:val="00000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1EDC" w14:textId="77777777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Celková pracnost (dnů)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94FF" w14:textId="77777777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Hodinová sazba práce vč. odvodů (Kč)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186" w14:textId="77777777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Režie (Kč)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EB6" w14:textId="77777777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Celkem (Kč)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CC54" w14:textId="77777777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Cestovné (Kč)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85C2" w14:textId="77777777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Hodin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5C1D" w14:textId="4BC3D7E4" w:rsidR="00C647F8" w:rsidRPr="006545D7" w:rsidRDefault="00BE0377" w:rsidP="006545D7">
            <w:pPr>
              <w:keepNext/>
              <w:spacing w:line="240" w:lineRule="auto"/>
              <w:jc w:val="center"/>
              <w:rPr>
                <w:rFonts w:cs="Segoe UI"/>
                <w:b/>
                <w:bCs/>
                <w:color w:val="000000"/>
                <w:szCs w:val="20"/>
              </w:rPr>
            </w:pPr>
            <w:r>
              <w:rPr>
                <w:rFonts w:cs="Segoe UI"/>
                <w:b/>
                <w:bCs/>
                <w:color w:val="000000"/>
                <w:szCs w:val="20"/>
              </w:rPr>
              <w:t>Maximální c</w:t>
            </w:r>
            <w:r w:rsidR="00C647F8" w:rsidRPr="006545D7">
              <w:rPr>
                <w:rFonts w:cs="Segoe UI"/>
                <w:b/>
                <w:bCs/>
                <w:color w:val="000000"/>
                <w:szCs w:val="20"/>
              </w:rPr>
              <w:t>ena za posudek celkem (Kč)</w:t>
            </w:r>
          </w:p>
        </w:tc>
      </w:tr>
      <w:tr w:rsidR="00D00DAB" w:rsidRPr="008F13C9" w14:paraId="4032D289" w14:textId="77777777" w:rsidTr="002102FE">
        <w:trPr>
          <w:trHeight w:val="300"/>
          <w:jc w:val="right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3F46" w14:textId="77777777" w:rsidR="00C647F8" w:rsidRPr="006545D7" w:rsidRDefault="00C647F8" w:rsidP="006545D7">
            <w:pPr>
              <w:keepNext/>
              <w:spacing w:line="240" w:lineRule="auto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Velký posudek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4D4C" w14:textId="77777777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59E5" w14:textId="77777777" w:rsidR="00C647F8" w:rsidRPr="006545D7" w:rsidRDefault="00C647F8" w:rsidP="006545D7">
            <w:pPr>
              <w:keepNext/>
              <w:spacing w:line="240" w:lineRule="auto"/>
              <w:ind w:firstLineChars="200" w:firstLine="400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525 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4E47" w14:textId="77777777" w:rsidR="00C647F8" w:rsidRPr="006545D7" w:rsidRDefault="00C647F8" w:rsidP="006545D7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190 Kč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DA74" w14:textId="77777777" w:rsidR="00C647F8" w:rsidRPr="006545D7" w:rsidRDefault="00C647F8" w:rsidP="006545D7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715 Kč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C53C1" w14:textId="48AD6EEC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F51F" w14:textId="40851D64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7037" w14:textId="77777777" w:rsidR="00C647F8" w:rsidRPr="006545D7" w:rsidRDefault="00C647F8" w:rsidP="006545D7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22 880</w:t>
            </w:r>
          </w:p>
        </w:tc>
      </w:tr>
      <w:tr w:rsidR="00D00DAB" w:rsidRPr="008F13C9" w14:paraId="6ADBCE32" w14:textId="77777777" w:rsidTr="002102FE">
        <w:trPr>
          <w:trHeight w:val="300"/>
          <w:jc w:val="right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A277" w14:textId="77777777" w:rsidR="00C647F8" w:rsidRPr="006545D7" w:rsidRDefault="00C647F8" w:rsidP="006545D7">
            <w:pPr>
              <w:keepNext/>
              <w:spacing w:line="240" w:lineRule="auto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Malý posudek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A120" w14:textId="77777777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FFB3" w14:textId="77777777" w:rsidR="00C647F8" w:rsidRPr="006545D7" w:rsidRDefault="00C647F8" w:rsidP="006545D7">
            <w:pPr>
              <w:keepNext/>
              <w:spacing w:line="240" w:lineRule="auto"/>
              <w:ind w:firstLineChars="200" w:firstLine="400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525 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3CE9" w14:textId="77777777" w:rsidR="00C647F8" w:rsidRPr="006545D7" w:rsidRDefault="00C647F8" w:rsidP="006545D7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190 Kč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8A0B" w14:textId="77777777" w:rsidR="00C647F8" w:rsidRPr="006545D7" w:rsidRDefault="00C647F8" w:rsidP="006545D7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715 Kč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81D8" w14:textId="4DC54E02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F7A3" w14:textId="254E83E9" w:rsidR="00C647F8" w:rsidRPr="006545D7" w:rsidRDefault="00C647F8" w:rsidP="006545D7">
            <w:pPr>
              <w:keepNext/>
              <w:spacing w:line="240" w:lineRule="auto"/>
              <w:jc w:val="center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FC96" w14:textId="77777777" w:rsidR="00C647F8" w:rsidRPr="006545D7" w:rsidRDefault="00C647F8" w:rsidP="006545D7">
            <w:pPr>
              <w:keepNext/>
              <w:spacing w:line="240" w:lineRule="auto"/>
              <w:jc w:val="right"/>
              <w:rPr>
                <w:rFonts w:cs="Segoe UI"/>
                <w:color w:val="000000"/>
                <w:szCs w:val="20"/>
              </w:rPr>
            </w:pPr>
            <w:r w:rsidRPr="006545D7">
              <w:rPr>
                <w:rFonts w:cs="Segoe UI"/>
                <w:color w:val="000000"/>
                <w:szCs w:val="20"/>
              </w:rPr>
              <w:t>17 160</w:t>
            </w:r>
          </w:p>
        </w:tc>
      </w:tr>
    </w:tbl>
    <w:p w14:paraId="56A4D255" w14:textId="33076E60" w:rsidR="00B9276D" w:rsidRPr="008F13C9" w:rsidRDefault="00B9276D" w:rsidP="006545D7">
      <w:pPr>
        <w:pStyle w:val="Odstavecseseznamem"/>
        <w:spacing w:before="240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K ceně za odborné posudky bude připočtena daň z přidané hodnoty ve výši dle sazby odpovídající zákonné úpravě účinné ke dni uskutečnění zdanitelného plnění. </w:t>
      </w:r>
    </w:p>
    <w:p w14:paraId="6F0A19D2" w14:textId="268E61D5" w:rsidR="00D364F9" w:rsidRPr="008F13C9" w:rsidRDefault="008B6DFE" w:rsidP="006A3208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Poskytovatel předloží Objednateli ve lhůtě 14 dnů od nabytí účinnosti smlouvy</w:t>
      </w:r>
      <w:r w:rsidR="00D364F9" w:rsidRPr="008F13C9">
        <w:rPr>
          <w:rFonts w:cs="Segoe UI"/>
          <w:szCs w:val="20"/>
        </w:rPr>
        <w:t xml:space="preserve"> </w:t>
      </w:r>
      <w:r w:rsidR="00666D3A" w:rsidRPr="008F13C9">
        <w:rPr>
          <w:rFonts w:cs="Segoe UI"/>
          <w:szCs w:val="20"/>
        </w:rPr>
        <w:t>zálohovou</w:t>
      </w:r>
      <w:r w:rsidR="00D364F9" w:rsidRPr="008F13C9">
        <w:rPr>
          <w:rFonts w:cs="Segoe UI"/>
          <w:szCs w:val="20"/>
        </w:rPr>
        <w:t xml:space="preserve"> faktur</w:t>
      </w:r>
      <w:r w:rsidRPr="008F13C9">
        <w:rPr>
          <w:rFonts w:cs="Segoe UI"/>
          <w:szCs w:val="20"/>
        </w:rPr>
        <w:t>u s částkou ve výši dle čl. 5.1 Smlouvy</w:t>
      </w:r>
      <w:r w:rsidR="00BA0CD2" w:rsidRPr="008F13C9">
        <w:rPr>
          <w:rFonts w:cs="Segoe UI"/>
          <w:szCs w:val="20"/>
        </w:rPr>
        <w:t>,</w:t>
      </w:r>
      <w:r w:rsidR="00666D3A" w:rsidRPr="008F13C9">
        <w:rPr>
          <w:rFonts w:cs="Segoe UI"/>
          <w:szCs w:val="20"/>
        </w:rPr>
        <w:t xml:space="preserve"> splatností 30 dnů</w:t>
      </w:r>
      <w:r w:rsidR="00BA0CD2" w:rsidRPr="008F13C9">
        <w:rPr>
          <w:rFonts w:cs="Segoe UI"/>
          <w:szCs w:val="20"/>
        </w:rPr>
        <w:t xml:space="preserve"> a číslem smlouvy 126/2025</w:t>
      </w:r>
      <w:r w:rsidR="00666D3A" w:rsidRPr="008F13C9">
        <w:rPr>
          <w:rFonts w:cs="Segoe UI"/>
          <w:szCs w:val="20"/>
        </w:rPr>
        <w:t>. Objednatel se zavazuje uhradit zálohovou fakturu s tím, že</w:t>
      </w:r>
      <w:r w:rsidR="006C1778" w:rsidRPr="008F13C9">
        <w:rPr>
          <w:rFonts w:cs="Segoe UI"/>
          <w:szCs w:val="20"/>
        </w:rPr>
        <w:t xml:space="preserve"> </w:t>
      </w:r>
      <w:r w:rsidR="00FC5AEE">
        <w:rPr>
          <w:rFonts w:cs="Segoe UI"/>
          <w:szCs w:val="20"/>
        </w:rPr>
        <w:t xml:space="preserve">nejpozději </w:t>
      </w:r>
      <w:r w:rsidR="006C1778" w:rsidRPr="008F13C9">
        <w:rPr>
          <w:rFonts w:cs="Segoe UI"/>
          <w:szCs w:val="20"/>
        </w:rPr>
        <w:t>k </w:t>
      </w:r>
      <w:r w:rsidRPr="008F13C9">
        <w:rPr>
          <w:rFonts w:cs="Segoe UI"/>
          <w:szCs w:val="20"/>
        </w:rPr>
        <w:t>15</w:t>
      </w:r>
      <w:r w:rsidR="006C1778" w:rsidRPr="008F13C9">
        <w:rPr>
          <w:rFonts w:cs="Segoe UI"/>
          <w:szCs w:val="20"/>
        </w:rPr>
        <w:t xml:space="preserve">. </w:t>
      </w:r>
      <w:r w:rsidRPr="008F13C9">
        <w:rPr>
          <w:rFonts w:cs="Segoe UI"/>
          <w:szCs w:val="20"/>
        </w:rPr>
        <w:t>2</w:t>
      </w:r>
      <w:r w:rsidR="006C1778" w:rsidRPr="008F13C9">
        <w:rPr>
          <w:rFonts w:cs="Segoe UI"/>
          <w:szCs w:val="20"/>
        </w:rPr>
        <w:t xml:space="preserve">. 2026 </w:t>
      </w:r>
      <w:r w:rsidR="00666D3A" w:rsidRPr="008F13C9">
        <w:rPr>
          <w:rFonts w:cs="Segoe UI"/>
          <w:szCs w:val="20"/>
        </w:rPr>
        <w:t xml:space="preserve">bude Poskytovatelem částka </w:t>
      </w:r>
      <w:r w:rsidR="006C1778" w:rsidRPr="008F13C9">
        <w:rPr>
          <w:rFonts w:cs="Segoe UI"/>
          <w:szCs w:val="20"/>
        </w:rPr>
        <w:t>vyúčtována dle skutečn</w:t>
      </w:r>
      <w:r w:rsidR="002021B8" w:rsidRPr="008F13C9">
        <w:rPr>
          <w:rFonts w:cs="Segoe UI"/>
          <w:szCs w:val="20"/>
        </w:rPr>
        <w:t xml:space="preserve">ého počtu </w:t>
      </w:r>
      <w:r w:rsidRPr="008F13C9">
        <w:rPr>
          <w:rFonts w:cs="Segoe UI"/>
          <w:szCs w:val="20"/>
        </w:rPr>
        <w:t>zpracovaných</w:t>
      </w:r>
      <w:r w:rsidR="002021B8" w:rsidRPr="008F13C9">
        <w:rPr>
          <w:rFonts w:cs="Segoe UI"/>
          <w:szCs w:val="20"/>
        </w:rPr>
        <w:t xml:space="preserve"> odborných posudků</w:t>
      </w:r>
      <w:r w:rsidR="006C1778" w:rsidRPr="008F13C9">
        <w:rPr>
          <w:rFonts w:cs="Segoe UI"/>
          <w:szCs w:val="20"/>
        </w:rPr>
        <w:t>.</w:t>
      </w:r>
      <w:r w:rsidR="00D364F9" w:rsidRPr="008F13C9">
        <w:rPr>
          <w:rFonts w:cs="Segoe UI"/>
          <w:szCs w:val="20"/>
        </w:rPr>
        <w:t xml:space="preserve"> </w:t>
      </w:r>
      <w:r w:rsidR="00AA1042" w:rsidRPr="008F13C9">
        <w:rPr>
          <w:rFonts w:cs="Segoe UI"/>
          <w:szCs w:val="20"/>
        </w:rPr>
        <w:t>Poskytovate</w:t>
      </w:r>
      <w:r w:rsidR="008A32CC" w:rsidRPr="008F13C9">
        <w:rPr>
          <w:rFonts w:cs="Segoe UI"/>
          <w:szCs w:val="20"/>
        </w:rPr>
        <w:t xml:space="preserve">l se zavazuje Objednateli vrátit </w:t>
      </w:r>
      <w:r w:rsidR="00666D3A" w:rsidRPr="008F13C9">
        <w:rPr>
          <w:rFonts w:cs="Segoe UI"/>
          <w:szCs w:val="20"/>
        </w:rPr>
        <w:t xml:space="preserve">přeplatek (tj. </w:t>
      </w:r>
      <w:r w:rsidR="008A32CC" w:rsidRPr="008F13C9">
        <w:rPr>
          <w:rFonts w:cs="Segoe UI"/>
          <w:szCs w:val="20"/>
        </w:rPr>
        <w:t>nespotřebované finanční prostředky</w:t>
      </w:r>
      <w:r w:rsidR="00666D3A" w:rsidRPr="008F13C9">
        <w:rPr>
          <w:rFonts w:cs="Segoe UI"/>
          <w:szCs w:val="20"/>
        </w:rPr>
        <w:t>)</w:t>
      </w:r>
      <w:r w:rsidR="008A32CC" w:rsidRPr="008F13C9">
        <w:rPr>
          <w:rFonts w:cs="Segoe UI"/>
          <w:szCs w:val="20"/>
        </w:rPr>
        <w:t xml:space="preserve"> do 30 dnů ode dne vyúčtování.</w:t>
      </w:r>
    </w:p>
    <w:p w14:paraId="75C948DA" w14:textId="1E02A6DA" w:rsidR="00666D3A" w:rsidRPr="008F13C9" w:rsidRDefault="00666D3A" w:rsidP="00666D3A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Vyúčtování musí odpovídat svou povahou pojmu účetního dokladu podle § 11 zákona č. 563/1991 Sb., o účetnictví, ve znění pozdějších předpisů a musí splňovat náležitosti obsažené v § 29 zákona č. 235/2004 Sb., o dani z přidané hodnoty, ve znění pozdějších předpisů a § 435 občanského zákoníku, musí zejména obsahovat číslo smlouvy 126/2025, popis poskytnutého plnění </w:t>
      </w:r>
      <w:r w:rsidR="00F17AF4" w:rsidRPr="008F13C9">
        <w:rPr>
          <w:rFonts w:cs="Segoe UI"/>
          <w:szCs w:val="20"/>
        </w:rPr>
        <w:t>(identifikaci odborných posudků) s uvedením</w:t>
      </w:r>
      <w:r w:rsidRPr="008F13C9">
        <w:rPr>
          <w:rFonts w:cs="Segoe UI"/>
          <w:szCs w:val="20"/>
        </w:rPr>
        <w:t xml:space="preserve"> cen</w:t>
      </w:r>
      <w:r w:rsidR="00F17AF4" w:rsidRPr="008F13C9">
        <w:rPr>
          <w:rFonts w:cs="Segoe UI"/>
          <w:szCs w:val="20"/>
        </w:rPr>
        <w:t>y za každý jednotlivý odborný posudek a</w:t>
      </w:r>
      <w:r w:rsidR="00CC69B6">
        <w:rPr>
          <w:rFonts w:cs="Segoe UI"/>
          <w:szCs w:val="20"/>
        </w:rPr>
        <w:t> </w:t>
      </w:r>
      <w:r w:rsidR="00F17AF4" w:rsidRPr="008F13C9">
        <w:rPr>
          <w:rFonts w:cs="Segoe UI"/>
          <w:szCs w:val="20"/>
        </w:rPr>
        <w:t>s uvedením celkové ceny za všechny odborné posudky</w:t>
      </w:r>
      <w:r w:rsidRPr="008F13C9">
        <w:rPr>
          <w:rFonts w:cs="Segoe UI"/>
          <w:szCs w:val="20"/>
        </w:rPr>
        <w:t xml:space="preserve">. </w:t>
      </w:r>
    </w:p>
    <w:p w14:paraId="15DFEA16" w14:textId="23230359" w:rsidR="000F5FA6" w:rsidRPr="008F13C9" w:rsidRDefault="000E48CB" w:rsidP="00412864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Práva a </w:t>
      </w:r>
      <w:r w:rsidR="000F5FA6" w:rsidRPr="008F13C9">
        <w:rPr>
          <w:rFonts w:cs="Segoe UI"/>
          <w:szCs w:val="20"/>
        </w:rPr>
        <w:t>povinnosti smluvních stran</w:t>
      </w:r>
    </w:p>
    <w:p w14:paraId="3BFA0F39" w14:textId="66C7B12A" w:rsidR="000F5FA6" w:rsidRPr="008F13C9" w:rsidRDefault="00AA1042" w:rsidP="000F5FA6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Poskytovate</w:t>
      </w:r>
      <w:r w:rsidR="000F5FA6" w:rsidRPr="008F13C9">
        <w:rPr>
          <w:rFonts w:cs="Segoe UI"/>
          <w:szCs w:val="20"/>
        </w:rPr>
        <w:t>l se zavazuje provést činnost řádně a včas, přičemž odpovídá za správnost, úplnost a</w:t>
      </w:r>
      <w:r w:rsidR="00CC69B6">
        <w:rPr>
          <w:rFonts w:cs="Segoe UI"/>
          <w:szCs w:val="20"/>
        </w:rPr>
        <w:t> </w:t>
      </w:r>
      <w:r w:rsidR="000F5FA6" w:rsidRPr="008F13C9">
        <w:rPr>
          <w:rFonts w:cs="Segoe UI"/>
          <w:szCs w:val="20"/>
        </w:rPr>
        <w:t>kvalitu poskytovaných služeb.</w:t>
      </w:r>
    </w:p>
    <w:p w14:paraId="555DACED" w14:textId="575F3237" w:rsidR="000E48CB" w:rsidRPr="008F13C9" w:rsidRDefault="00AA1042" w:rsidP="000F5FA6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Poskytovate</w:t>
      </w:r>
      <w:r w:rsidR="000E48CB" w:rsidRPr="008F13C9">
        <w:rPr>
          <w:rFonts w:cs="Segoe UI"/>
          <w:szCs w:val="20"/>
        </w:rPr>
        <w:t>l si v době uzavření Smlouvy není vědom žádných okolností, které by zakládaly možný střet zájmů.</w:t>
      </w:r>
    </w:p>
    <w:p w14:paraId="7F29C5AB" w14:textId="2AAEA357" w:rsidR="000E48CB" w:rsidRPr="008F13C9" w:rsidRDefault="000E48CB" w:rsidP="000F5FA6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Zaplacením ceny za jednotlivé odborné posudky přechází na Objednatele veškerá práva k užití předmětu Smlouvy a Objednatel je poté oprávněn předmět Smlouvy v neomezeném rozsahu bez souhlasu </w:t>
      </w:r>
      <w:r w:rsidR="00AA1042" w:rsidRPr="008F13C9">
        <w:rPr>
          <w:rFonts w:cs="Segoe UI"/>
          <w:szCs w:val="20"/>
        </w:rPr>
        <w:t>Poskytovate</w:t>
      </w:r>
      <w:r w:rsidRPr="008F13C9">
        <w:rPr>
          <w:rFonts w:cs="Segoe UI"/>
          <w:szCs w:val="20"/>
        </w:rPr>
        <w:t>le poskytnout třetím osobám.</w:t>
      </w:r>
    </w:p>
    <w:p w14:paraId="2BA258F2" w14:textId="77777777" w:rsidR="000E48CB" w:rsidRPr="008F13C9" w:rsidRDefault="000E48CB" w:rsidP="000E48CB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t>Povinnost mlčenlivosti</w:t>
      </w:r>
    </w:p>
    <w:p w14:paraId="2A7FEF4E" w14:textId="15E48C66" w:rsidR="000E48CB" w:rsidRPr="008F13C9" w:rsidRDefault="000E48CB" w:rsidP="000E48CB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Smluvní strany jsou povinny zachovávat mlčenlivost o všech skutečnostech, informacích a</w:t>
      </w:r>
      <w:r w:rsidR="00A54C48">
        <w:rPr>
          <w:rFonts w:cs="Segoe UI"/>
          <w:szCs w:val="20"/>
        </w:rPr>
        <w:t> </w:t>
      </w:r>
      <w:r w:rsidRPr="008F13C9">
        <w:rPr>
          <w:rFonts w:cs="Segoe UI"/>
          <w:szCs w:val="20"/>
        </w:rPr>
        <w:t xml:space="preserve">materiálech, které získají v průběhu činnosti podle této Smlouvy, jakož i po jejím ukončení. </w:t>
      </w:r>
      <w:r w:rsidRPr="008F13C9">
        <w:rPr>
          <w:rFonts w:cs="Segoe UI"/>
          <w:szCs w:val="20"/>
        </w:rPr>
        <w:lastRenderedPageBreak/>
        <w:t xml:space="preserve">Smluvní strany uchovají v tajnosti veškeré informace týkající se </w:t>
      </w:r>
      <w:r w:rsidR="00AA1042" w:rsidRPr="008F13C9">
        <w:rPr>
          <w:rFonts w:cs="Segoe UI"/>
          <w:szCs w:val="20"/>
        </w:rPr>
        <w:t>Poskytovate</w:t>
      </w:r>
      <w:r w:rsidR="005C71AE" w:rsidRPr="008F13C9">
        <w:rPr>
          <w:rFonts w:cs="Segoe UI"/>
          <w:szCs w:val="20"/>
        </w:rPr>
        <w:t>le</w:t>
      </w:r>
      <w:r w:rsidRPr="008F13C9">
        <w:rPr>
          <w:rFonts w:cs="Segoe UI"/>
          <w:szCs w:val="20"/>
        </w:rPr>
        <w:t xml:space="preserve"> či Objednatele, které nejsou veřejně přístupné. V této souvislosti </w:t>
      </w:r>
      <w:r w:rsidR="005C71AE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>mluvní strany zaváží k utajování informací veškeré své zaměstnance nebo osoby, které jsou pověřeny dílčími úkoly v souvislosti s realizací této Smlouvy.</w:t>
      </w:r>
    </w:p>
    <w:p w14:paraId="090C46A0" w14:textId="280F92EC" w:rsidR="000E48CB" w:rsidRPr="008F13C9" w:rsidRDefault="000E48CB" w:rsidP="000E48CB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Smluvní strany berou na vědomí, že pokud dojde v souvislosti s plněním předmětu této Smlouvy k předání/poskytnutí osobních údajů druhé </w:t>
      </w:r>
      <w:r w:rsidR="005C71AE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 xml:space="preserve">mluvní straně, jsou </w:t>
      </w:r>
      <w:r w:rsidR="005C71AE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>mluvní strany povinny:</w:t>
      </w:r>
    </w:p>
    <w:p w14:paraId="36FE1FF3" w14:textId="77777777" w:rsidR="000E48CB" w:rsidRPr="008F13C9" w:rsidRDefault="000E48CB" w:rsidP="0042137A">
      <w:pPr>
        <w:pStyle w:val="Odstavecseseznamem"/>
        <w:numPr>
          <w:ilvl w:val="0"/>
          <w:numId w:val="10"/>
        </w:numPr>
        <w:ind w:left="709" w:hanging="142"/>
        <w:rPr>
          <w:rFonts w:cs="Segoe UI"/>
          <w:szCs w:val="20"/>
        </w:rPr>
      </w:pPr>
      <w:r w:rsidRPr="008F13C9">
        <w:rPr>
          <w:rFonts w:cs="Segoe UI"/>
          <w:szCs w:val="20"/>
        </w:rPr>
        <w:t>zajistit povinnost mlčenlivosti osob oprávněných k nakládání s poskytnutými osobními údaji;</w:t>
      </w:r>
    </w:p>
    <w:p w14:paraId="4E1C6D1E" w14:textId="77777777" w:rsidR="000E48CB" w:rsidRPr="008F13C9" w:rsidRDefault="000E48CB" w:rsidP="0042137A">
      <w:pPr>
        <w:pStyle w:val="Odstavecseseznamem"/>
        <w:numPr>
          <w:ilvl w:val="0"/>
          <w:numId w:val="10"/>
        </w:numPr>
        <w:ind w:left="709" w:hanging="142"/>
        <w:rPr>
          <w:rFonts w:cs="Segoe UI"/>
          <w:szCs w:val="20"/>
        </w:rPr>
      </w:pPr>
      <w:r w:rsidRPr="008F13C9">
        <w:rPr>
          <w:rFonts w:cs="Segoe UI"/>
          <w:szCs w:val="20"/>
        </w:rPr>
        <w:t>zajistit bezpečnost poskytnutých osobních údajů;</w:t>
      </w:r>
    </w:p>
    <w:p w14:paraId="3392E873" w14:textId="77777777" w:rsidR="000E48CB" w:rsidRPr="008F13C9" w:rsidRDefault="000E48CB" w:rsidP="0042137A">
      <w:pPr>
        <w:pStyle w:val="Odstavecseseznamem"/>
        <w:numPr>
          <w:ilvl w:val="0"/>
          <w:numId w:val="10"/>
        </w:numPr>
        <w:ind w:left="709" w:hanging="142"/>
        <w:rPr>
          <w:rFonts w:cs="Segoe UI"/>
          <w:szCs w:val="20"/>
        </w:rPr>
      </w:pPr>
      <w:r w:rsidRPr="008F13C9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25EC415F" w14:textId="77777777" w:rsidR="000E48CB" w:rsidRPr="008F13C9" w:rsidRDefault="000E48CB" w:rsidP="000E48CB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Smluvní strany se výslovně dohodly, že osobní údaje předané/poskytnuté v souvislosti s plněním předmětu této Smlouvy dále neposkytnou třetím stranám dle čl. 4 odst. 10 GDPR, ledaže by se jednalo o žádost oprávněného subjektu.</w:t>
      </w:r>
    </w:p>
    <w:p w14:paraId="739498D3" w14:textId="67E0D7F3" w:rsidR="000E48CB" w:rsidRPr="008F13C9" w:rsidRDefault="000E48CB" w:rsidP="000E48CB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Pro vyloučení veškerých pochybností </w:t>
      </w:r>
      <w:r w:rsidR="005C71AE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>mluvní strany výslovně prohlašují, že pokud dojde v</w:t>
      </w:r>
      <w:r w:rsidR="00095E29">
        <w:rPr>
          <w:rFonts w:cs="Segoe UI"/>
          <w:szCs w:val="20"/>
        </w:rPr>
        <w:t> </w:t>
      </w:r>
      <w:r w:rsidRPr="008F13C9">
        <w:rPr>
          <w:rFonts w:cs="Segoe UI"/>
          <w:szCs w:val="20"/>
        </w:rPr>
        <w:t xml:space="preserve">souvislosti s plněním předmětu této Smlouvy k předání/poskytnutí osobních údajů druhé straně, je každá ze </w:t>
      </w:r>
      <w:r w:rsidR="005C71AE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>mluvních stran v pozici příjemce dle čl. 4 odst. 9 GDPR.</w:t>
      </w:r>
    </w:p>
    <w:p w14:paraId="11698101" w14:textId="513C6AF4" w:rsidR="00AE14B4" w:rsidRPr="008F13C9" w:rsidRDefault="00AE14B4" w:rsidP="00412864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t>smluvní pokuta</w:t>
      </w:r>
    </w:p>
    <w:p w14:paraId="0EC06D82" w14:textId="4C38B947" w:rsidR="00AE14B4" w:rsidRPr="008F13C9" w:rsidRDefault="00AE14B4" w:rsidP="00AE14B4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Pro případ prodlení Objednatele s platbou dle této Smlouvy je </w:t>
      </w:r>
      <w:r w:rsidR="00AA1042" w:rsidRPr="008F13C9">
        <w:rPr>
          <w:rFonts w:cs="Segoe UI"/>
          <w:szCs w:val="20"/>
        </w:rPr>
        <w:t>Poskytovate</w:t>
      </w:r>
      <w:r w:rsidRPr="008F13C9">
        <w:rPr>
          <w:rFonts w:cs="Segoe UI"/>
          <w:szCs w:val="20"/>
        </w:rPr>
        <w:t xml:space="preserve">l oprávněn požadovat po Objednateli úrok z prodlení ve výši 0,5 % z dlužné částky za každý započatý kalendářní den. </w:t>
      </w:r>
      <w:r w:rsidR="00AA1042" w:rsidRPr="008F13C9">
        <w:rPr>
          <w:rFonts w:cs="Segoe UI"/>
          <w:szCs w:val="20"/>
        </w:rPr>
        <w:t>Poskytovate</w:t>
      </w:r>
      <w:r w:rsidRPr="008F13C9">
        <w:rPr>
          <w:rFonts w:cs="Segoe UI"/>
          <w:szCs w:val="20"/>
        </w:rPr>
        <w:t>l nemá nárok na další náhradu škody způsobenou prodlením Objednatele s úhradou ceny.</w:t>
      </w:r>
    </w:p>
    <w:p w14:paraId="7F185AEE" w14:textId="2D10DD90" w:rsidR="008A32CC" w:rsidRPr="008F13C9" w:rsidRDefault="008A32CC" w:rsidP="008A32CC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Pro případ prodlení </w:t>
      </w:r>
      <w:r w:rsidR="00AA1042" w:rsidRPr="008F13C9">
        <w:rPr>
          <w:rFonts w:cs="Segoe UI"/>
          <w:szCs w:val="20"/>
        </w:rPr>
        <w:t>Poskytovate</w:t>
      </w:r>
      <w:r w:rsidRPr="008F13C9">
        <w:rPr>
          <w:rFonts w:cs="Segoe UI"/>
          <w:szCs w:val="20"/>
        </w:rPr>
        <w:t xml:space="preserve">le s platbou dle této Smlouvy je Objednatel oprávněn požadovat po </w:t>
      </w:r>
      <w:r w:rsidR="00AA1042" w:rsidRPr="008F13C9">
        <w:rPr>
          <w:rFonts w:cs="Segoe UI"/>
          <w:szCs w:val="20"/>
        </w:rPr>
        <w:t>Poskytovate</w:t>
      </w:r>
      <w:r w:rsidRPr="008F13C9">
        <w:rPr>
          <w:rFonts w:cs="Segoe UI"/>
          <w:szCs w:val="20"/>
        </w:rPr>
        <w:t xml:space="preserve">li úrok z prodlení ve výši 0,5 % z dlužné částky za každý započatý kalendářní den. Objednatel nemá nárok na další náhradu škody způsobenou prodlením </w:t>
      </w:r>
      <w:r w:rsidR="00AA1042" w:rsidRPr="008F13C9">
        <w:rPr>
          <w:rFonts w:cs="Segoe UI"/>
          <w:szCs w:val="20"/>
        </w:rPr>
        <w:t>Poskytovate</w:t>
      </w:r>
      <w:r w:rsidRPr="008F13C9">
        <w:rPr>
          <w:rFonts w:cs="Segoe UI"/>
          <w:szCs w:val="20"/>
        </w:rPr>
        <w:t>le s úhradou ceny.</w:t>
      </w:r>
    </w:p>
    <w:p w14:paraId="47EA8316" w14:textId="1F5D3122" w:rsidR="003C475A" w:rsidRPr="008F13C9" w:rsidRDefault="003C475A" w:rsidP="00AE14B4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Za poručení mlčenlivosti dle čl. </w:t>
      </w:r>
      <w:r w:rsidR="000F5FA6" w:rsidRPr="008F13C9">
        <w:rPr>
          <w:rFonts w:cs="Segoe UI"/>
          <w:szCs w:val="20"/>
        </w:rPr>
        <w:t>7</w:t>
      </w:r>
      <w:r w:rsidR="002021B8" w:rsidRPr="008F13C9">
        <w:rPr>
          <w:rFonts w:cs="Segoe UI"/>
          <w:szCs w:val="20"/>
        </w:rPr>
        <w:t xml:space="preserve"> </w:t>
      </w:r>
      <w:r w:rsidRPr="008F13C9">
        <w:rPr>
          <w:rFonts w:cs="Segoe UI"/>
          <w:szCs w:val="20"/>
        </w:rPr>
        <w:t xml:space="preserve">Smlouvy má Objednatel právo účtovat </w:t>
      </w:r>
      <w:r w:rsidR="00AA1042" w:rsidRPr="008F13C9">
        <w:rPr>
          <w:rFonts w:cs="Segoe UI"/>
          <w:szCs w:val="20"/>
        </w:rPr>
        <w:t>Poskytovate</w:t>
      </w:r>
      <w:r w:rsidRPr="008F13C9">
        <w:rPr>
          <w:rFonts w:cs="Segoe UI"/>
          <w:szCs w:val="20"/>
        </w:rPr>
        <w:t>li smluvní pokutu ve výši 100.000 Kč bez DPH za každý jednotlivý případ porušení takové povinnosti. Tím není dotčeno právo Objednatele na náhradu případně vzniklé škody.</w:t>
      </w:r>
    </w:p>
    <w:p w14:paraId="0815FA34" w14:textId="52CFC8E1" w:rsidR="00D364F9" w:rsidRPr="008F13C9" w:rsidRDefault="00D364F9" w:rsidP="00D364F9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Uplatněním nároku na smluvní pokutu ani jejím zaplacením nezaniká povinnost </w:t>
      </w:r>
      <w:r w:rsidR="002021B8" w:rsidRPr="008F13C9">
        <w:rPr>
          <w:rFonts w:cs="Segoe UI"/>
          <w:szCs w:val="20"/>
        </w:rPr>
        <w:t>smluvní strany</w:t>
      </w:r>
      <w:r w:rsidRPr="008F13C9">
        <w:rPr>
          <w:rFonts w:cs="Segoe UI"/>
          <w:szCs w:val="20"/>
        </w:rPr>
        <w:t xml:space="preserve"> splnit povinnost, jejíž plnění bylo zajištěno smluvní pokutou.</w:t>
      </w:r>
    </w:p>
    <w:p w14:paraId="5DCFEEBF" w14:textId="44CFDAF9" w:rsidR="00010176" w:rsidRPr="008F13C9" w:rsidRDefault="00010176" w:rsidP="00D364F9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Všechny smluvní pokuty jsou splatné do 10 dnů od porušení smluvní povinnosti. </w:t>
      </w:r>
    </w:p>
    <w:p w14:paraId="6DB2E26A" w14:textId="4DA6655F" w:rsidR="00B727F2" w:rsidRPr="008F13C9" w:rsidRDefault="008C3015" w:rsidP="00412864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t>Komunikace mezi smluvními stranami</w:t>
      </w:r>
    </w:p>
    <w:p w14:paraId="2BA20979" w14:textId="77777777" w:rsidR="008F13C9" w:rsidRPr="008F13C9" w:rsidRDefault="008F13C9" w:rsidP="008F13C9">
      <w:pPr>
        <w:pStyle w:val="Odstavecseseznamem"/>
        <w:rPr>
          <w:rFonts w:cs="Segoe UI"/>
          <w:vanish/>
          <w:szCs w:val="20"/>
        </w:rPr>
      </w:pPr>
      <w:r w:rsidRPr="008F13C9">
        <w:rPr>
          <w:rFonts w:cs="Segoe UI"/>
          <w:szCs w:val="20"/>
        </w:rPr>
        <w:t xml:space="preserve">Smluvní strany se výslovně dohodly na tom, že za doručené se považují písemnosti doručené držitelem poštovní licence nebo prostřednictvím datové schránky, a dále písemnosti doručené na adresy elektronické pošty (e-mail) uvedené v záhlaví této Smlouvy. </w:t>
      </w:r>
    </w:p>
    <w:p w14:paraId="02523317" w14:textId="38EFA7AC" w:rsidR="008F13C9" w:rsidRPr="008F13C9" w:rsidRDefault="008F13C9" w:rsidP="008F13C9">
      <w:pPr>
        <w:pStyle w:val="Odstavecseseznamem"/>
        <w:rPr>
          <w:rFonts w:cs="Segoe UI"/>
          <w:szCs w:val="20"/>
        </w:rPr>
      </w:pPr>
    </w:p>
    <w:p w14:paraId="6CAC14DE" w14:textId="77777777" w:rsidR="008F13C9" w:rsidRPr="008F13C9" w:rsidRDefault="008F13C9" w:rsidP="008F13C9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lastRenderedPageBreak/>
        <w:t>Ukončení smlouvy</w:t>
      </w:r>
    </w:p>
    <w:p w14:paraId="1EA9BF53" w14:textId="5A78D4C4" w:rsidR="008F13C9" w:rsidRPr="008F13C9" w:rsidRDefault="008F13C9" w:rsidP="008F13C9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Smluvní strany mohou tuto Smlouvu ukončit písemnou dohodou podepsanou oběma smluvními stranami.</w:t>
      </w:r>
    </w:p>
    <w:p w14:paraId="6F470A63" w14:textId="544AE1D6" w:rsidR="00B727F2" w:rsidRPr="008F13C9" w:rsidRDefault="00116445" w:rsidP="00972B5C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Kterákoliv ze </w:t>
      </w:r>
      <w:r w:rsidR="00010176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 xml:space="preserve">mluvních stran může tuto </w:t>
      </w:r>
      <w:r w:rsidR="00363743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 xml:space="preserve">mlouvu písemně vypovědět, a to i bez uvedení důvodu, přičemž výpovědní doba činí </w:t>
      </w:r>
      <w:r w:rsidR="000E48CB" w:rsidRPr="008F13C9">
        <w:rPr>
          <w:rFonts w:cs="Segoe UI"/>
          <w:szCs w:val="20"/>
        </w:rPr>
        <w:t>1</w:t>
      </w:r>
      <w:r w:rsidRPr="008F13C9">
        <w:rPr>
          <w:rFonts w:cs="Segoe UI"/>
          <w:szCs w:val="20"/>
        </w:rPr>
        <w:t xml:space="preserve"> měsíc a začíná běžet prvním dnem kalendářního měsíce následujícího </w:t>
      </w:r>
      <w:r w:rsidR="00363743" w:rsidRPr="008F13C9">
        <w:rPr>
          <w:rFonts w:cs="Segoe UI"/>
          <w:szCs w:val="20"/>
        </w:rPr>
        <w:t xml:space="preserve">měsíci, v němž byla výpověď prokazatelně doručena druhé </w:t>
      </w:r>
      <w:r w:rsidR="00B22569" w:rsidRPr="008F13C9">
        <w:rPr>
          <w:rFonts w:cs="Segoe UI"/>
          <w:szCs w:val="20"/>
        </w:rPr>
        <w:t>s</w:t>
      </w:r>
      <w:r w:rsidR="00363743" w:rsidRPr="008F13C9">
        <w:rPr>
          <w:rFonts w:cs="Segoe UI"/>
          <w:szCs w:val="20"/>
        </w:rPr>
        <w:t>mluvní straně</w:t>
      </w:r>
      <w:r w:rsidRPr="008F13C9">
        <w:rPr>
          <w:rFonts w:cs="Segoe UI"/>
          <w:szCs w:val="20"/>
        </w:rPr>
        <w:t>.</w:t>
      </w:r>
    </w:p>
    <w:p w14:paraId="1366704E" w14:textId="0C784C5F" w:rsidR="00C429FC" w:rsidRPr="008F13C9" w:rsidRDefault="00B727F2" w:rsidP="00972B5C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Každá ze </w:t>
      </w:r>
      <w:r w:rsidR="00010176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 xml:space="preserve">mluvních stran má právo od této </w:t>
      </w:r>
      <w:r w:rsidR="00363743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>mlouvy písemně odstoupit</w:t>
      </w:r>
      <w:r w:rsidR="00363743" w:rsidRPr="008F13C9">
        <w:rPr>
          <w:rFonts w:cs="Segoe UI"/>
          <w:szCs w:val="20"/>
        </w:rPr>
        <w:t xml:space="preserve"> z důvodu podstatného porušení této Smlouvy druhou </w:t>
      </w:r>
      <w:r w:rsidR="00010176" w:rsidRPr="008F13C9">
        <w:rPr>
          <w:rFonts w:cs="Segoe UI"/>
          <w:szCs w:val="20"/>
        </w:rPr>
        <w:t>s</w:t>
      </w:r>
      <w:r w:rsidR="00363743" w:rsidRPr="008F13C9">
        <w:rPr>
          <w:rFonts w:cs="Segoe UI"/>
          <w:szCs w:val="20"/>
        </w:rPr>
        <w:t>mluvní stranou</w:t>
      </w:r>
      <w:r w:rsidRPr="008F13C9">
        <w:rPr>
          <w:rFonts w:cs="Segoe UI"/>
          <w:szCs w:val="20"/>
        </w:rPr>
        <w:t>.</w:t>
      </w:r>
      <w:r w:rsidR="00116445" w:rsidRPr="008F13C9">
        <w:rPr>
          <w:rFonts w:cs="Segoe UI"/>
          <w:szCs w:val="20"/>
        </w:rPr>
        <w:t xml:space="preserve"> Odstoupení od </w:t>
      </w:r>
      <w:r w:rsidR="00363743" w:rsidRPr="008F13C9">
        <w:rPr>
          <w:rFonts w:cs="Segoe UI"/>
          <w:szCs w:val="20"/>
        </w:rPr>
        <w:t>S</w:t>
      </w:r>
      <w:r w:rsidR="00116445" w:rsidRPr="008F13C9">
        <w:rPr>
          <w:rFonts w:cs="Segoe UI"/>
          <w:szCs w:val="20"/>
        </w:rPr>
        <w:t xml:space="preserve">mlouvy je účinné </w:t>
      </w:r>
      <w:r w:rsidR="00363743" w:rsidRPr="008F13C9">
        <w:rPr>
          <w:rFonts w:cs="Segoe UI"/>
          <w:szCs w:val="20"/>
        </w:rPr>
        <w:t>dnem prokazatelného doručení</w:t>
      </w:r>
      <w:r w:rsidR="00116445" w:rsidRPr="008F13C9">
        <w:rPr>
          <w:rFonts w:cs="Segoe UI"/>
          <w:szCs w:val="20"/>
        </w:rPr>
        <w:t xml:space="preserve"> druhé </w:t>
      </w:r>
      <w:r w:rsidR="00010176" w:rsidRPr="008F13C9">
        <w:rPr>
          <w:rFonts w:cs="Segoe UI"/>
          <w:szCs w:val="20"/>
        </w:rPr>
        <w:t>s</w:t>
      </w:r>
      <w:r w:rsidR="00116445" w:rsidRPr="008F13C9">
        <w:rPr>
          <w:rFonts w:cs="Segoe UI"/>
          <w:szCs w:val="20"/>
        </w:rPr>
        <w:t>mluvní straně.</w:t>
      </w:r>
      <w:r w:rsidR="00363743" w:rsidRPr="008F13C9">
        <w:rPr>
          <w:rFonts w:cs="Segoe UI"/>
          <w:szCs w:val="20"/>
        </w:rPr>
        <w:t xml:space="preserve"> V případě, že odstoupení od Smlouvy není možné doručit druhé </w:t>
      </w:r>
      <w:r w:rsidR="00010176" w:rsidRPr="008F13C9">
        <w:rPr>
          <w:rFonts w:cs="Segoe UI"/>
          <w:szCs w:val="20"/>
        </w:rPr>
        <w:t>s</w:t>
      </w:r>
      <w:r w:rsidR="00363743" w:rsidRPr="008F13C9">
        <w:rPr>
          <w:rFonts w:cs="Segoe UI"/>
          <w:szCs w:val="20"/>
        </w:rPr>
        <w:t>mluvní straně ve lhůtě 10 dnů od odeslání, považuje se za doručené uplynutím 10. dne ode dne jeho prokazatelného odeslání.</w:t>
      </w:r>
    </w:p>
    <w:p w14:paraId="5BEF0905" w14:textId="709C02C7" w:rsidR="009A6460" w:rsidRPr="008F13C9" w:rsidRDefault="009A6460" w:rsidP="00972B5C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V důsledku zániku Smlouvy nedochází k zániku nároků na náhradu škody vzniklých porušením této Smlouvy, nároků na uhrazení smluvních pokut, ani jiných ustanovení, která podle projevené vůle </w:t>
      </w:r>
      <w:r w:rsidR="00B22569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>mluvních stran nebo vzhledem ke své povaze mají trvat i po zániku Smlouvy.</w:t>
      </w:r>
    </w:p>
    <w:p w14:paraId="7C39F6DB" w14:textId="77777777" w:rsidR="00B727F2" w:rsidRPr="008F13C9" w:rsidRDefault="008C3015" w:rsidP="00412864">
      <w:pPr>
        <w:pStyle w:val="Nadpis1"/>
        <w:rPr>
          <w:rFonts w:cs="Segoe UI"/>
          <w:szCs w:val="20"/>
        </w:rPr>
      </w:pPr>
      <w:r w:rsidRPr="008F13C9">
        <w:rPr>
          <w:rFonts w:cs="Segoe UI"/>
          <w:szCs w:val="20"/>
        </w:rPr>
        <w:t>Závěrečná ustanovení</w:t>
      </w:r>
    </w:p>
    <w:p w14:paraId="038092A8" w14:textId="6BCEF0A5" w:rsidR="003C475A" w:rsidRPr="008F13C9" w:rsidRDefault="003C475A" w:rsidP="00214B12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Tato Smlouva se řídí obecně závaznými právními předpisy České republiky, zejména pak ustanoveními občanského zákoníku. </w:t>
      </w:r>
    </w:p>
    <w:p w14:paraId="7686F8BE" w14:textId="6A84194C" w:rsidR="003C475A" w:rsidRPr="008F13C9" w:rsidRDefault="003C475A" w:rsidP="003C475A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Případná neplatnost některého ustanovení této Smlouvy nezakládá neplatnost celé Smlouvy. Pro takový případ se </w:t>
      </w:r>
      <w:r w:rsidR="00B22569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>mluvní strany zavazují nahradit neplatné ustanovení Smlouvy platným ustanovením, které nejlépe odpovídá obsahu a účelu neplatného ustanovení.</w:t>
      </w:r>
    </w:p>
    <w:p w14:paraId="33017654" w14:textId="1D38D350" w:rsidR="003C475A" w:rsidRPr="008F13C9" w:rsidRDefault="003C475A" w:rsidP="003C475A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Jakékoliv změny nebo doplňky této Smlouvy je možné činit pouze formou písemných, vzestupně číslovaných dodatků, podepsaných oprávněnými osobami za každou </w:t>
      </w:r>
      <w:r w:rsidR="00B22569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 xml:space="preserve">mluvní stranu. Ke změnám či doplněním neprovedeným písemnou formou se nepřihlíží. Ustanovení předcházející věty se neuplatní na změny kontaktních osob a dále na změny textu, který má být uveden na </w:t>
      </w:r>
      <w:r w:rsidR="00BA0CD2" w:rsidRPr="008F13C9">
        <w:rPr>
          <w:rFonts w:cs="Segoe UI"/>
          <w:szCs w:val="20"/>
        </w:rPr>
        <w:t>zálohové faktuře a na vyúčtování</w:t>
      </w:r>
      <w:r w:rsidRPr="008F13C9">
        <w:rPr>
          <w:rFonts w:cs="Segoe UI"/>
          <w:szCs w:val="20"/>
        </w:rPr>
        <w:t xml:space="preserve">, kdy tyto případné změny budou </w:t>
      </w:r>
      <w:r w:rsidR="00AA1042" w:rsidRPr="008F13C9">
        <w:rPr>
          <w:rFonts w:cs="Segoe UI"/>
          <w:szCs w:val="20"/>
        </w:rPr>
        <w:t>Poskytovate</w:t>
      </w:r>
      <w:r w:rsidRPr="008F13C9">
        <w:rPr>
          <w:rFonts w:cs="Segoe UI"/>
          <w:szCs w:val="20"/>
        </w:rPr>
        <w:t xml:space="preserve">li oznámeny písemně na jeho adresu uvedenou v záhlaví této Smlouvy, prostřednictvím datové schránky, nebo prostřednictvím elektronických prostředků. </w:t>
      </w:r>
    </w:p>
    <w:p w14:paraId="5A253E2B" w14:textId="2B36E16D" w:rsidR="003C475A" w:rsidRPr="008F13C9" w:rsidRDefault="00AA1042" w:rsidP="003C475A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Poskytovate</w:t>
      </w:r>
      <w:r w:rsidR="003C475A" w:rsidRPr="008F13C9">
        <w:rPr>
          <w:rFonts w:cs="Segoe UI"/>
          <w:szCs w:val="20"/>
        </w:rPr>
        <w:t xml:space="preserve">l bere na vědomí, že tato Smlouva bude uveřejněna v registru smluv v souladu se zákonem č. 340/2015 Sb., o zvláštních podmínkách účinnosti některých smluv, uveřejňování těchto smluv a o registru smluv (zákon o registru smluv), ve znění pozdějších předpisů. Uveřejnění Smlouvy v registru smluv zajistí Objednatel a bude o něm informovat </w:t>
      </w:r>
      <w:r w:rsidRPr="008F13C9">
        <w:rPr>
          <w:rFonts w:cs="Segoe UI"/>
          <w:szCs w:val="20"/>
        </w:rPr>
        <w:t>Poskytovate</w:t>
      </w:r>
      <w:r w:rsidR="003C475A" w:rsidRPr="008F13C9">
        <w:rPr>
          <w:rFonts w:cs="Segoe UI"/>
          <w:szCs w:val="20"/>
        </w:rPr>
        <w:t>le.</w:t>
      </w:r>
      <w:r w:rsidR="00BA0CD2" w:rsidRPr="008F13C9">
        <w:rPr>
          <w:rFonts w:cs="Segoe UI"/>
          <w:szCs w:val="20"/>
        </w:rPr>
        <w:t xml:space="preserve"> V registru smluv bude uveřejněno i vyúčtování dle čl. 5.5 Smlouvy.</w:t>
      </w:r>
    </w:p>
    <w:p w14:paraId="61CEE6AA" w14:textId="2C2A5B06" w:rsidR="003C475A" w:rsidRPr="008F13C9" w:rsidRDefault="00AA1042" w:rsidP="003C475A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Poskytovate</w:t>
      </w:r>
      <w:r w:rsidR="003C475A" w:rsidRPr="008F13C9">
        <w:rPr>
          <w:rFonts w:cs="Segoe UI"/>
          <w:szCs w:val="20"/>
        </w:rPr>
        <w:t>l dále bere na vědomí, že Objednatel je povinným subjektem podle zákona č. 106/1999 Sb., o svobodném přístupu k informacím, ve znění pozdějších předpisů a tato Smlouva, popř. její část, může být předmětem poskytování informací.</w:t>
      </w:r>
    </w:p>
    <w:p w14:paraId="5973E8F0" w14:textId="1D1187D9" w:rsidR="003C475A" w:rsidRPr="008F13C9" w:rsidRDefault="003C475A" w:rsidP="003C475A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Nebude-li Smlouva uzavřena elektronicky a podepsána certifikovanými elektronickými podpisy zástupci </w:t>
      </w:r>
      <w:r w:rsidR="00B22569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 xml:space="preserve">mluvních stran, bude vyhotovena ve dvou stejnopisech s platností originálu, přičemž každá ze </w:t>
      </w:r>
      <w:r w:rsidR="00B22569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>mluvních stran obdrží po jednom vyhotovení.</w:t>
      </w:r>
    </w:p>
    <w:p w14:paraId="4EBC2F94" w14:textId="2FFE7FF2" w:rsidR="003C475A" w:rsidRPr="008F13C9" w:rsidRDefault="003C475A" w:rsidP="003C475A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 xml:space="preserve">Tato Smlouva nabývá platnosti dnem podpisu oběma </w:t>
      </w:r>
      <w:r w:rsidR="00B22569" w:rsidRPr="008F13C9">
        <w:rPr>
          <w:rFonts w:cs="Segoe UI"/>
          <w:szCs w:val="20"/>
        </w:rPr>
        <w:t>s</w:t>
      </w:r>
      <w:r w:rsidRPr="008F13C9">
        <w:rPr>
          <w:rFonts w:cs="Segoe UI"/>
          <w:szCs w:val="20"/>
        </w:rPr>
        <w:t>mluvními stranami a účinnosti dnem uveřejnění Smlouvy v registru smluv.</w:t>
      </w:r>
    </w:p>
    <w:p w14:paraId="7E01DF75" w14:textId="0C1B0134" w:rsidR="003C475A" w:rsidRPr="008F13C9" w:rsidRDefault="003C475A" w:rsidP="003C475A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lastRenderedPageBreak/>
        <w:t>Nedílnou součástí této Smlouvy je příloha č. 1 –</w:t>
      </w:r>
      <w:r w:rsidR="00525443" w:rsidRPr="008F13C9">
        <w:rPr>
          <w:rFonts w:cs="Segoe UI"/>
          <w:szCs w:val="20"/>
        </w:rPr>
        <w:t xml:space="preserve"> vzor</w:t>
      </w:r>
      <w:r w:rsidRPr="008F13C9">
        <w:rPr>
          <w:rFonts w:cs="Segoe UI"/>
          <w:szCs w:val="20"/>
        </w:rPr>
        <w:t xml:space="preserve"> </w:t>
      </w:r>
      <w:r w:rsidR="00525443" w:rsidRPr="008F13C9">
        <w:rPr>
          <w:rFonts w:cs="Segoe UI"/>
          <w:szCs w:val="20"/>
        </w:rPr>
        <w:t>Odborného posudku pro záměry realizované v rámci Opatření 1.3.8 Obnova stability svahů, stabilizace a sanace extrémních svahových nestabilit vzniklých v důsledku přírodních jevů.</w:t>
      </w:r>
    </w:p>
    <w:p w14:paraId="4DE1CF32" w14:textId="77777777" w:rsidR="003C475A" w:rsidRPr="008F13C9" w:rsidRDefault="003C475A" w:rsidP="003C475A">
      <w:pPr>
        <w:pStyle w:val="Odstavecseseznamem"/>
        <w:rPr>
          <w:rFonts w:cs="Segoe UI"/>
          <w:szCs w:val="20"/>
        </w:rPr>
      </w:pPr>
      <w:r w:rsidRPr="008F13C9">
        <w:rPr>
          <w:rFonts w:cs="Segoe UI"/>
          <w:szCs w:val="20"/>
        </w:rPr>
        <w:t>Smluvní strany prohlašují, že obsah Smlouvy je určitý a srozumitelný, že s obsahem Smlouvy souhlasí, že Smlouvu uzavřely na základě své svobodné a vážné vůle, a že nebyla uzavřena v tísni ani za nápadně nevýhodných podmínek. Na základě těchto skutečnosti připojují své podpisy.</w:t>
      </w:r>
    </w:p>
    <w:p w14:paraId="47048906" w14:textId="77777777" w:rsidR="00095E29" w:rsidRDefault="00095E29" w:rsidP="006545D7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120"/>
        <w:rPr>
          <w:rFonts w:cs="Segoe UI"/>
          <w:szCs w:val="20"/>
        </w:rPr>
      </w:pPr>
    </w:p>
    <w:p w14:paraId="4A3899E5" w14:textId="77777777" w:rsidR="00095E29" w:rsidRDefault="00095E29" w:rsidP="006545D7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120"/>
        <w:rPr>
          <w:rFonts w:cs="Segoe UI"/>
          <w:szCs w:val="20"/>
        </w:rPr>
      </w:pPr>
    </w:p>
    <w:p w14:paraId="39EAB9B4" w14:textId="6E9F6D43" w:rsidR="008F13C9" w:rsidRPr="008F13C9" w:rsidRDefault="0027283C" w:rsidP="0042137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120"/>
        <w:rPr>
          <w:rFonts w:cs="Segoe UI"/>
          <w:szCs w:val="20"/>
        </w:rPr>
      </w:pPr>
      <w:r w:rsidRPr="008F13C9">
        <w:rPr>
          <w:rFonts w:cs="Segoe UI"/>
          <w:szCs w:val="20"/>
        </w:rPr>
        <w:t>V </w:t>
      </w:r>
      <w:r w:rsidR="006A3208" w:rsidRPr="008F13C9">
        <w:rPr>
          <w:rFonts w:cs="Segoe UI"/>
          <w:szCs w:val="20"/>
        </w:rPr>
        <w:t>Praze</w:t>
      </w:r>
      <w:r w:rsidRPr="008F13C9">
        <w:rPr>
          <w:rFonts w:cs="Segoe UI"/>
          <w:caps/>
          <w:szCs w:val="20"/>
        </w:rPr>
        <w:t xml:space="preserve"> </w:t>
      </w:r>
      <w:r w:rsidRPr="00CE65BE">
        <w:rPr>
          <w:rFonts w:cs="Segoe UI"/>
          <w:szCs w:val="20"/>
        </w:rPr>
        <w:t>dne</w:t>
      </w:r>
      <w:r w:rsidR="008F13C9" w:rsidRPr="00CE65BE">
        <w:rPr>
          <w:rFonts w:cs="Segoe UI"/>
          <w:szCs w:val="20"/>
        </w:rPr>
        <w:t xml:space="preserve"> </w:t>
      </w:r>
      <w:r w:rsidR="0042137A" w:rsidRPr="00CE65BE">
        <w:rPr>
          <w:rFonts w:cs="Segoe UI"/>
          <w:szCs w:val="20"/>
        </w:rPr>
        <w:t xml:space="preserve">20. 11. 2025 </w:t>
      </w:r>
      <w:r w:rsidR="008F13C9" w:rsidRPr="00CE65BE">
        <w:rPr>
          <w:rFonts w:cs="Segoe UI"/>
          <w:szCs w:val="20"/>
        </w:rPr>
        <w:t xml:space="preserve">                                                  </w:t>
      </w:r>
      <w:r w:rsidRPr="00CE65BE">
        <w:rPr>
          <w:rFonts w:cs="Segoe UI"/>
          <w:szCs w:val="20"/>
        </w:rPr>
        <w:t>V</w:t>
      </w:r>
      <w:r w:rsidR="008F13C9" w:rsidRPr="00CE65BE">
        <w:rPr>
          <w:rFonts w:cs="Segoe UI"/>
          <w:szCs w:val="20"/>
        </w:rPr>
        <w:t> </w:t>
      </w:r>
      <w:r w:rsidR="005C71AE" w:rsidRPr="00CE65BE">
        <w:rPr>
          <w:rFonts w:cs="Segoe UI"/>
          <w:szCs w:val="20"/>
        </w:rPr>
        <w:t>Praze</w:t>
      </w:r>
      <w:r w:rsidR="008F13C9" w:rsidRPr="00CE65BE">
        <w:rPr>
          <w:rFonts w:cs="Segoe UI"/>
          <w:szCs w:val="20"/>
        </w:rPr>
        <w:t xml:space="preserve"> </w:t>
      </w:r>
      <w:r w:rsidRPr="00CE65BE">
        <w:rPr>
          <w:rFonts w:cs="Segoe UI"/>
          <w:szCs w:val="20"/>
        </w:rPr>
        <w:t>dne</w:t>
      </w:r>
      <w:r w:rsidR="008F13C9" w:rsidRPr="00CE65BE">
        <w:rPr>
          <w:rFonts w:cs="Segoe UI"/>
          <w:szCs w:val="20"/>
        </w:rPr>
        <w:t xml:space="preserve"> </w:t>
      </w:r>
      <w:r w:rsidR="0042137A" w:rsidRPr="00CE65BE">
        <w:rPr>
          <w:rFonts w:cs="Segoe UI"/>
          <w:szCs w:val="20"/>
        </w:rPr>
        <w:t>14. 11. 2025</w:t>
      </w:r>
    </w:p>
    <w:p w14:paraId="67AFBFAB" w14:textId="77777777" w:rsidR="0027283C" w:rsidRPr="008F13C9" w:rsidRDefault="0027283C" w:rsidP="00095E29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20"/>
        <w:rPr>
          <w:rFonts w:cs="Segoe UI"/>
          <w:szCs w:val="20"/>
        </w:rPr>
      </w:pPr>
      <w:r w:rsidRPr="008F13C9">
        <w:rPr>
          <w:rFonts w:cs="Segoe UI"/>
          <w:szCs w:val="20"/>
        </w:rPr>
        <w:tab/>
      </w:r>
      <w:r w:rsidRPr="008F13C9">
        <w:rPr>
          <w:rFonts w:cs="Segoe UI"/>
          <w:szCs w:val="20"/>
        </w:rPr>
        <w:tab/>
      </w:r>
      <w:r w:rsidRPr="008F13C9">
        <w:rPr>
          <w:rFonts w:cs="Segoe UI"/>
          <w:szCs w:val="20"/>
        </w:rPr>
        <w:tab/>
      </w:r>
    </w:p>
    <w:p w14:paraId="5C58ED98" w14:textId="6FF2C1FB" w:rsidR="0027283C" w:rsidRPr="008F13C9" w:rsidRDefault="0027283C" w:rsidP="00493B24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  <w:szCs w:val="20"/>
        </w:rPr>
      </w:pPr>
      <w:r w:rsidRPr="008F13C9">
        <w:rPr>
          <w:rFonts w:cs="Segoe UI"/>
          <w:i/>
          <w:szCs w:val="20"/>
        </w:rPr>
        <w:t xml:space="preserve">za </w:t>
      </w:r>
      <w:r w:rsidR="00010176" w:rsidRPr="008F13C9">
        <w:rPr>
          <w:rFonts w:cs="Segoe UI"/>
          <w:i/>
          <w:iCs/>
          <w:szCs w:val="20"/>
        </w:rPr>
        <w:t>Objednatele</w:t>
      </w:r>
      <w:r w:rsidRPr="008F13C9">
        <w:rPr>
          <w:rFonts w:cs="Segoe UI"/>
          <w:szCs w:val="20"/>
        </w:rPr>
        <w:tab/>
      </w:r>
      <w:r w:rsidRPr="008F13C9">
        <w:rPr>
          <w:rFonts w:cs="Segoe UI"/>
          <w:i/>
          <w:szCs w:val="20"/>
        </w:rPr>
        <w:t xml:space="preserve">za </w:t>
      </w:r>
      <w:r w:rsidR="00AA1042" w:rsidRPr="008F13C9">
        <w:rPr>
          <w:rFonts w:cs="Segoe UI"/>
          <w:i/>
          <w:iCs/>
          <w:szCs w:val="20"/>
        </w:rPr>
        <w:t>Poskytovate</w:t>
      </w:r>
      <w:r w:rsidR="00010176" w:rsidRPr="008F13C9">
        <w:rPr>
          <w:rFonts w:cs="Segoe UI"/>
          <w:i/>
          <w:iCs/>
          <w:szCs w:val="20"/>
        </w:rPr>
        <w:t>le</w:t>
      </w:r>
    </w:p>
    <w:p w14:paraId="5A9FBE54" w14:textId="1F1D13A6" w:rsidR="0027283C" w:rsidRPr="008F13C9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8F13C9">
        <w:rPr>
          <w:rFonts w:cs="Segoe UI"/>
          <w:b/>
          <w:iCs/>
        </w:rPr>
        <w:t>Ing. Petr Valdman</w:t>
      </w:r>
      <w:r w:rsidR="0027283C" w:rsidRPr="008F13C9">
        <w:rPr>
          <w:rFonts w:cs="Segoe UI"/>
        </w:rPr>
        <w:tab/>
      </w:r>
      <w:r w:rsidR="005C71AE" w:rsidRPr="008F13C9">
        <w:rPr>
          <w:rFonts w:cs="Segoe UI"/>
          <w:b/>
          <w:bCs/>
        </w:rPr>
        <w:t>Mgr. Zdeněk Venera, Ph.D.</w:t>
      </w:r>
    </w:p>
    <w:p w14:paraId="3D557BC0" w14:textId="5C675E3A" w:rsidR="00B727F2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8F13C9">
        <w:rPr>
          <w:rFonts w:cs="Segoe UI"/>
        </w:rPr>
        <w:t>ředitel Státního fondu životního prostředí ČR</w:t>
      </w:r>
      <w:r w:rsidR="0027283C" w:rsidRPr="008F13C9">
        <w:rPr>
          <w:rFonts w:cs="Segoe UI"/>
        </w:rPr>
        <w:tab/>
      </w:r>
      <w:r w:rsidR="005C71AE" w:rsidRPr="006545D7">
        <w:rPr>
          <w:rFonts w:cs="Segoe UI"/>
        </w:rPr>
        <w:t>ředitel České geologické služby</w:t>
      </w:r>
    </w:p>
    <w:p w14:paraId="0496B9AE" w14:textId="255DFD30" w:rsidR="002F1A3B" w:rsidRDefault="002F1A3B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21C6DE06" w14:textId="65405FDF" w:rsidR="002F1A3B" w:rsidRDefault="002F1A3B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71AAEA17" w14:textId="2560B2E8" w:rsidR="002F1A3B" w:rsidRDefault="002F1A3B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>
        <w:rPr>
          <w:rFonts w:cs="Segoe UI"/>
        </w:rPr>
        <w:lastRenderedPageBreak/>
        <w:t xml:space="preserve">Příloha č. 1 </w:t>
      </w:r>
      <w:r w:rsidRPr="002F1A3B">
        <w:rPr>
          <w:rFonts w:cs="Segoe UI"/>
        </w:rPr>
        <w:t>Odborný posudek ČGS pro záměry realizované v rámci Opatření 1.3.8 Obnova stability svahů, stabilizace a sanace extrémních svahových nestabilit vzniklých v důsledku přírodních jevů</w:t>
      </w:r>
    </w:p>
    <w:p w14:paraId="5AD2F4B8" w14:textId="77777777" w:rsidR="00A57F25" w:rsidRDefault="00A57F25" w:rsidP="00A57F25">
      <w:pPr>
        <w:autoSpaceDE w:val="0"/>
        <w:autoSpaceDN w:val="0"/>
        <w:adjustRightInd w:val="0"/>
        <w:spacing w:line="240" w:lineRule="auto"/>
        <w:jc w:val="right"/>
        <w:rPr>
          <w:rFonts w:cs="Segoe UI"/>
          <w:szCs w:val="20"/>
        </w:rPr>
      </w:pPr>
    </w:p>
    <w:p w14:paraId="24710828" w14:textId="28803DE3" w:rsidR="00A57F25" w:rsidRPr="00ED0A53" w:rsidRDefault="00A57F25" w:rsidP="00A57F25">
      <w:pPr>
        <w:autoSpaceDE w:val="0"/>
        <w:autoSpaceDN w:val="0"/>
        <w:adjustRightInd w:val="0"/>
        <w:spacing w:line="240" w:lineRule="auto"/>
        <w:jc w:val="right"/>
        <w:rPr>
          <w:rFonts w:cs="Segoe UI"/>
          <w:szCs w:val="20"/>
        </w:rPr>
      </w:pPr>
      <w:r w:rsidRPr="00ED0A53">
        <w:rPr>
          <w:rFonts w:cs="Segoe UI"/>
          <w:szCs w:val="20"/>
        </w:rPr>
        <w:t>čj. ČGS-441/2x/</w:t>
      </w:r>
      <w:proofErr w:type="spellStart"/>
      <w:r>
        <w:rPr>
          <w:rFonts w:cs="Segoe UI"/>
          <w:szCs w:val="20"/>
        </w:rPr>
        <w:t>zzzz</w:t>
      </w:r>
      <w:proofErr w:type="spellEnd"/>
      <w:r w:rsidRPr="00ED0A53">
        <w:rPr>
          <w:rFonts w:cs="Segoe UI"/>
          <w:szCs w:val="20"/>
        </w:rPr>
        <w:t>*SOG-441/</w:t>
      </w:r>
      <w:proofErr w:type="spellStart"/>
      <w:r w:rsidRPr="00ED0A53">
        <w:rPr>
          <w:rFonts w:cs="Segoe UI"/>
          <w:szCs w:val="20"/>
        </w:rPr>
        <w:t>yyyy</w:t>
      </w:r>
      <w:proofErr w:type="spellEnd"/>
      <w:r w:rsidRPr="00ED0A53">
        <w:rPr>
          <w:rFonts w:cs="Segoe UI"/>
          <w:szCs w:val="20"/>
        </w:rPr>
        <w:t>/202</w:t>
      </w:r>
      <w:r>
        <w:rPr>
          <w:rFonts w:cs="Segoe UI"/>
          <w:szCs w:val="20"/>
        </w:rPr>
        <w:t>x</w:t>
      </w:r>
    </w:p>
    <w:p w14:paraId="1F52A7F2" w14:textId="77777777" w:rsidR="00A57F25" w:rsidRDefault="00A57F25" w:rsidP="00A57F25">
      <w:pPr>
        <w:autoSpaceDE w:val="0"/>
        <w:autoSpaceDN w:val="0"/>
        <w:adjustRightInd w:val="0"/>
        <w:spacing w:line="240" w:lineRule="auto"/>
        <w:jc w:val="both"/>
        <w:rPr>
          <w:rFonts w:cs="Segoe UI"/>
          <w:b/>
          <w:sz w:val="24"/>
        </w:rPr>
      </w:pPr>
    </w:p>
    <w:p w14:paraId="4101B858" w14:textId="77777777" w:rsidR="00A57F25" w:rsidRDefault="00A57F25" w:rsidP="00A57F25">
      <w:pPr>
        <w:pStyle w:val="Nadpis2"/>
        <w:jc w:val="both"/>
        <w:rPr>
          <w:b w:val="0"/>
        </w:rPr>
      </w:pPr>
      <w:r w:rsidRPr="00026D5A">
        <w:t>Operační program Životní prostředí 2021</w:t>
      </w:r>
      <w:r>
        <w:t>–</w:t>
      </w:r>
      <w:r w:rsidRPr="00026D5A">
        <w:t xml:space="preserve">2027 </w:t>
      </w:r>
    </w:p>
    <w:p w14:paraId="7A09E21B" w14:textId="77777777" w:rsidR="00A57F25" w:rsidRDefault="00A57F25" w:rsidP="00A57F25">
      <w:pPr>
        <w:pStyle w:val="Nadpis2"/>
        <w:jc w:val="both"/>
        <w:rPr>
          <w:b w:val="0"/>
        </w:rPr>
      </w:pPr>
    </w:p>
    <w:p w14:paraId="6834135A" w14:textId="77777777" w:rsidR="00A57F25" w:rsidRDefault="00A57F25" w:rsidP="00A57F25">
      <w:pPr>
        <w:pStyle w:val="Nadpis2"/>
        <w:jc w:val="both"/>
        <w:rPr>
          <w:b w:val="0"/>
        </w:rPr>
      </w:pPr>
      <w:r w:rsidRPr="00026D5A">
        <w:t>Odborný posudek</w:t>
      </w:r>
      <w:r>
        <w:t xml:space="preserve"> ČGS</w:t>
      </w:r>
      <w:r w:rsidRPr="00026D5A">
        <w:t xml:space="preserve"> pro záměry realizované </w:t>
      </w:r>
      <w:r>
        <w:t>v rámci Opatření</w:t>
      </w:r>
      <w:r w:rsidRPr="005F6EFE">
        <w:t xml:space="preserve"> 1.3.8 Obnova stability svahů, stabilizace a sanace extrémních svahových</w:t>
      </w:r>
      <w:r>
        <w:t xml:space="preserve"> </w:t>
      </w:r>
      <w:r w:rsidRPr="005F6EFE">
        <w:t>nestabilit vzniklých v důsledku přírodních jevů</w:t>
      </w:r>
      <w:r w:rsidRPr="00026D5A">
        <w:t xml:space="preserve"> </w:t>
      </w:r>
    </w:p>
    <w:p w14:paraId="30D7531D" w14:textId="77777777" w:rsidR="00A57F25" w:rsidRDefault="00A57F25" w:rsidP="00A57F2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57F25" w14:paraId="4C39B1AC" w14:textId="77777777" w:rsidTr="00A57F25">
        <w:tc>
          <w:tcPr>
            <w:tcW w:w="2972" w:type="dxa"/>
            <w:vAlign w:val="center"/>
          </w:tcPr>
          <w:p w14:paraId="4F9C5D32" w14:textId="77777777" w:rsidR="00A57F25" w:rsidRDefault="00A57F25" w:rsidP="005070EC">
            <w:r>
              <w:rPr>
                <w:rFonts w:cs="Segoe UI"/>
                <w:b/>
                <w:szCs w:val="20"/>
              </w:rPr>
              <w:t>Identifikace žadatele</w:t>
            </w:r>
          </w:p>
        </w:tc>
        <w:tc>
          <w:tcPr>
            <w:tcW w:w="6088" w:type="dxa"/>
          </w:tcPr>
          <w:p w14:paraId="3CB022F4" w14:textId="77777777" w:rsidR="00A57F25" w:rsidRDefault="00A57F25" w:rsidP="005070EC"/>
        </w:tc>
      </w:tr>
      <w:tr w:rsidR="00A57F25" w14:paraId="6E5C871B" w14:textId="77777777" w:rsidTr="00A57F25">
        <w:tc>
          <w:tcPr>
            <w:tcW w:w="2972" w:type="dxa"/>
            <w:vAlign w:val="center"/>
          </w:tcPr>
          <w:p w14:paraId="5C61F4D1" w14:textId="77777777" w:rsidR="00A57F25" w:rsidRDefault="00A57F25" w:rsidP="005070EC">
            <w:r>
              <w:rPr>
                <w:rFonts w:cs="Segoe UI"/>
                <w:b/>
                <w:szCs w:val="20"/>
              </w:rPr>
              <w:t>Název projektu</w:t>
            </w:r>
          </w:p>
        </w:tc>
        <w:tc>
          <w:tcPr>
            <w:tcW w:w="6088" w:type="dxa"/>
          </w:tcPr>
          <w:p w14:paraId="34F9CDE5" w14:textId="77777777" w:rsidR="00A57F25" w:rsidRDefault="00A57F25" w:rsidP="005070EC"/>
        </w:tc>
      </w:tr>
      <w:tr w:rsidR="00A57F25" w14:paraId="77A9C18F" w14:textId="77777777" w:rsidTr="00A57F25">
        <w:tc>
          <w:tcPr>
            <w:tcW w:w="2972" w:type="dxa"/>
            <w:vAlign w:val="center"/>
          </w:tcPr>
          <w:p w14:paraId="6EB80A7F" w14:textId="77777777" w:rsidR="00A57F25" w:rsidRDefault="00A57F25" w:rsidP="005070EC">
            <w:r w:rsidRPr="009E14CC">
              <w:rPr>
                <w:rFonts w:cs="Segoe UI"/>
                <w:b/>
                <w:szCs w:val="20"/>
              </w:rPr>
              <w:t>Číslo projektu</w:t>
            </w:r>
            <w:r>
              <w:rPr>
                <w:rFonts w:cs="Segoe UI"/>
                <w:b/>
                <w:szCs w:val="20"/>
              </w:rPr>
              <w:t xml:space="preserve"> </w:t>
            </w:r>
            <w:r w:rsidRPr="005A0A8F">
              <w:rPr>
                <w:rFonts w:cs="Segoe UI"/>
                <w:i/>
                <w:szCs w:val="20"/>
              </w:rPr>
              <w:t>(přiděluje SFŽP)</w:t>
            </w:r>
            <w:r w:rsidRPr="005A0A8F">
              <w:rPr>
                <w:rFonts w:cs="Segoe UI"/>
                <w:b/>
                <w:i/>
                <w:szCs w:val="20"/>
              </w:rPr>
              <w:tab/>
            </w:r>
          </w:p>
        </w:tc>
        <w:tc>
          <w:tcPr>
            <w:tcW w:w="6088" w:type="dxa"/>
          </w:tcPr>
          <w:p w14:paraId="2577955C" w14:textId="77777777" w:rsidR="00A57F25" w:rsidRDefault="00A57F25" w:rsidP="005070EC"/>
        </w:tc>
      </w:tr>
      <w:tr w:rsidR="00A57F25" w14:paraId="3E55E15A" w14:textId="77777777" w:rsidTr="00A57F25">
        <w:tc>
          <w:tcPr>
            <w:tcW w:w="2972" w:type="dxa"/>
            <w:vAlign w:val="center"/>
          </w:tcPr>
          <w:p w14:paraId="467394AB" w14:textId="77777777" w:rsidR="00A57F25" w:rsidRDefault="00A57F25" w:rsidP="005070EC">
            <w:r>
              <w:rPr>
                <w:rFonts w:cs="Segoe UI"/>
                <w:b/>
                <w:szCs w:val="20"/>
              </w:rPr>
              <w:t>Zpracovatel projektu</w:t>
            </w:r>
          </w:p>
        </w:tc>
        <w:tc>
          <w:tcPr>
            <w:tcW w:w="6088" w:type="dxa"/>
          </w:tcPr>
          <w:p w14:paraId="5B1B3890" w14:textId="77777777" w:rsidR="00A57F25" w:rsidRDefault="00A57F25" w:rsidP="005070EC"/>
        </w:tc>
      </w:tr>
    </w:tbl>
    <w:p w14:paraId="7FB308E4" w14:textId="77777777" w:rsidR="00A57F25" w:rsidRDefault="00A57F25" w:rsidP="00A57F25">
      <w:pPr>
        <w:pStyle w:val="Default"/>
        <w:jc w:val="both"/>
        <w:rPr>
          <w:rFonts w:ascii="Segoe UI" w:hAnsi="Segoe UI" w:cs="Segoe UI"/>
          <w:color w:val="auto"/>
          <w:sz w:val="20"/>
          <w:szCs w:val="20"/>
        </w:rPr>
      </w:pPr>
    </w:p>
    <w:p w14:paraId="126912CF" w14:textId="77777777" w:rsidR="00A57F25" w:rsidRPr="009E14CC" w:rsidRDefault="00A57F25" w:rsidP="00A57F25">
      <w:pPr>
        <w:pStyle w:val="Default"/>
        <w:spacing w:after="60"/>
        <w:jc w:val="both"/>
        <w:rPr>
          <w:rFonts w:ascii="Segoe UI" w:hAnsi="Segoe UI" w:cs="Segoe UI"/>
          <w:color w:val="auto"/>
          <w:sz w:val="20"/>
          <w:szCs w:val="20"/>
        </w:rPr>
      </w:pPr>
    </w:p>
    <w:p w14:paraId="64034BF7" w14:textId="77777777" w:rsidR="00A57F25" w:rsidRPr="00F03A6C" w:rsidRDefault="00A57F25" w:rsidP="004213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b/>
          <w:szCs w:val="20"/>
        </w:rPr>
      </w:pPr>
      <w:r w:rsidRPr="00F03A6C">
        <w:rPr>
          <w:rFonts w:cs="Segoe UI"/>
          <w:b/>
          <w:szCs w:val="20"/>
        </w:rPr>
        <w:t xml:space="preserve">Nebezpečnost řešeného jevu </w:t>
      </w:r>
    </w:p>
    <w:p w14:paraId="6D86287B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9E14CC">
        <w:rPr>
          <w:rFonts w:cs="Segoe UI"/>
          <w:i/>
          <w:szCs w:val="20"/>
        </w:rPr>
        <w:t>Vybrat:</w:t>
      </w:r>
    </w:p>
    <w:p w14:paraId="4ECBEA26" w14:textId="77777777" w:rsidR="00A57F25" w:rsidRPr="009E14CC" w:rsidRDefault="00A57F25" w:rsidP="0042137A">
      <w:pPr>
        <w:pStyle w:val="Default"/>
        <w:numPr>
          <w:ilvl w:val="0"/>
          <w:numId w:val="12"/>
        </w:numPr>
        <w:spacing w:after="60"/>
        <w:jc w:val="both"/>
        <w:rPr>
          <w:rFonts w:ascii="Segoe UI" w:hAnsi="Segoe UI" w:cs="Segoe UI"/>
          <w:sz w:val="20"/>
          <w:szCs w:val="20"/>
        </w:rPr>
      </w:pPr>
      <w:r w:rsidRPr="00B41D83">
        <w:rPr>
          <w:rFonts w:ascii="Segoe UI" w:hAnsi="Segoe UI" w:cs="Segoe UI"/>
          <w:sz w:val="20"/>
          <w:szCs w:val="20"/>
        </w:rPr>
        <w:t xml:space="preserve">Řešená lokalita </w:t>
      </w:r>
      <w:r>
        <w:rPr>
          <w:rFonts w:ascii="Segoe UI" w:hAnsi="Segoe UI" w:cs="Segoe UI"/>
          <w:sz w:val="20"/>
          <w:szCs w:val="20"/>
        </w:rPr>
        <w:t>je</w:t>
      </w:r>
      <w:r w:rsidRPr="00B41D83">
        <w:rPr>
          <w:rFonts w:ascii="Segoe UI" w:hAnsi="Segoe UI" w:cs="Segoe UI"/>
          <w:sz w:val="20"/>
          <w:szCs w:val="20"/>
        </w:rPr>
        <w:t xml:space="preserve"> dokumentována Českou geologickou službou</w:t>
      </w:r>
      <w:r>
        <w:rPr>
          <w:rFonts w:ascii="Segoe UI" w:hAnsi="Segoe UI" w:cs="Segoe UI"/>
          <w:sz w:val="20"/>
          <w:szCs w:val="20"/>
        </w:rPr>
        <w:t xml:space="preserve"> (ČGS)</w:t>
      </w:r>
      <w:r w:rsidRPr="00B41D83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 xml:space="preserve">je </w:t>
      </w:r>
      <w:r w:rsidRPr="00B41D83">
        <w:rPr>
          <w:rFonts w:ascii="Segoe UI" w:hAnsi="Segoe UI" w:cs="Segoe UI"/>
          <w:sz w:val="20"/>
          <w:szCs w:val="20"/>
        </w:rPr>
        <w:t xml:space="preserve">dohledatelná v databázi Registr svahových </w:t>
      </w:r>
      <w:r>
        <w:rPr>
          <w:rFonts w:ascii="Segoe UI" w:hAnsi="Segoe UI" w:cs="Segoe UI"/>
          <w:sz w:val="20"/>
          <w:szCs w:val="20"/>
        </w:rPr>
        <w:t>deformací</w:t>
      </w:r>
      <w:r w:rsidRPr="00B41D83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ČGS </w:t>
      </w:r>
      <w:r w:rsidRPr="00B41D83">
        <w:rPr>
          <w:rFonts w:ascii="Segoe UI" w:hAnsi="Segoe UI" w:cs="Segoe UI"/>
          <w:sz w:val="20"/>
          <w:szCs w:val="20"/>
        </w:rPr>
        <w:t xml:space="preserve">a </w:t>
      </w:r>
      <w:r>
        <w:rPr>
          <w:rFonts w:ascii="Segoe UI" w:hAnsi="Segoe UI" w:cs="Segoe UI"/>
          <w:sz w:val="20"/>
          <w:szCs w:val="20"/>
        </w:rPr>
        <w:t>je</w:t>
      </w:r>
      <w:r w:rsidRPr="00B41D83">
        <w:rPr>
          <w:rFonts w:ascii="Segoe UI" w:hAnsi="Segoe UI" w:cs="Segoe UI"/>
          <w:sz w:val="20"/>
          <w:szCs w:val="20"/>
        </w:rPr>
        <w:t xml:space="preserve"> zařazena do kategorie rizika III (nejvyšší riziko)</w:t>
      </w:r>
      <w:r>
        <w:rPr>
          <w:rFonts w:ascii="Segoe UI" w:hAnsi="Segoe UI" w:cs="Segoe UI"/>
          <w:sz w:val="20"/>
          <w:szCs w:val="20"/>
        </w:rPr>
        <w:t>.</w:t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</w:p>
    <w:p w14:paraId="7FE28A32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9E14CC">
        <w:rPr>
          <w:rFonts w:cs="Segoe UI"/>
          <w:i/>
          <w:szCs w:val="20"/>
        </w:rPr>
        <w:t>nebo</w:t>
      </w:r>
    </w:p>
    <w:p w14:paraId="30DC8A90" w14:textId="77777777" w:rsidR="00A57F25" w:rsidRPr="00DC701C" w:rsidRDefault="00A57F25" w:rsidP="0042137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szCs w:val="20"/>
        </w:rPr>
      </w:pPr>
      <w:r w:rsidRPr="00927FE0">
        <w:rPr>
          <w:rFonts w:cs="Segoe UI"/>
          <w:szCs w:val="20"/>
        </w:rPr>
        <w:t>Řešená lokalita není dokumentována Č</w:t>
      </w:r>
      <w:r>
        <w:rPr>
          <w:rFonts w:cs="Segoe UI"/>
          <w:szCs w:val="20"/>
        </w:rPr>
        <w:t>GS</w:t>
      </w:r>
      <w:r w:rsidRPr="00927FE0">
        <w:rPr>
          <w:rFonts w:cs="Segoe UI"/>
          <w:szCs w:val="20"/>
        </w:rPr>
        <w:t xml:space="preserve">, není dohledatelná v databázi Registr svahových </w:t>
      </w:r>
      <w:r>
        <w:rPr>
          <w:rFonts w:cs="Segoe UI"/>
          <w:szCs w:val="20"/>
        </w:rPr>
        <w:t>deformací</w:t>
      </w:r>
      <w:r w:rsidRPr="00927FE0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 xml:space="preserve">ČGS </w:t>
      </w:r>
      <w:r w:rsidRPr="00927FE0">
        <w:rPr>
          <w:rFonts w:cs="Segoe UI"/>
          <w:szCs w:val="20"/>
        </w:rPr>
        <w:t>nebo není zařazena do kategorie rizika III (nejvyšší riziko).</w:t>
      </w:r>
    </w:p>
    <w:p w14:paraId="17BC8D75" w14:textId="77777777" w:rsidR="00A57F25" w:rsidRPr="00927FE0" w:rsidRDefault="00A57F25" w:rsidP="00A57F2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60" w:line="240" w:lineRule="auto"/>
        <w:ind w:left="567"/>
        <w:rPr>
          <w:rFonts w:cs="Segoe UI"/>
          <w:szCs w:val="20"/>
        </w:rPr>
      </w:pPr>
      <w:r w:rsidRPr="00927FE0">
        <w:rPr>
          <w:rFonts w:cs="Segoe UI"/>
          <w:color w:val="000000"/>
          <w:szCs w:val="20"/>
        </w:rPr>
        <w:tab/>
      </w:r>
      <w:r w:rsidRPr="00927FE0">
        <w:rPr>
          <w:rFonts w:cs="Segoe UI"/>
          <w:color w:val="000000"/>
          <w:szCs w:val="20"/>
        </w:rPr>
        <w:tab/>
      </w:r>
    </w:p>
    <w:p w14:paraId="378B7E7F" w14:textId="77777777" w:rsidR="00A57F25" w:rsidRPr="00DC701C" w:rsidRDefault="00A57F25" w:rsidP="00A57F2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60" w:line="240" w:lineRule="auto"/>
        <w:rPr>
          <w:rFonts w:cs="Segoe UI"/>
          <w:i/>
          <w:szCs w:val="20"/>
        </w:rPr>
      </w:pPr>
      <w:r w:rsidRPr="00DC701C">
        <w:rPr>
          <w:rFonts w:cs="Segoe UI"/>
          <w:i/>
          <w:color w:val="000000"/>
          <w:szCs w:val="20"/>
        </w:rPr>
        <w:t>V případě platnosti varianty b) bude hodnocení ukončeno.</w:t>
      </w:r>
    </w:p>
    <w:p w14:paraId="7D80A26D" w14:textId="77777777" w:rsidR="00A57F25" w:rsidRPr="00927FE0" w:rsidRDefault="00A57F25" w:rsidP="00A57F2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60" w:line="240" w:lineRule="auto"/>
        <w:rPr>
          <w:rFonts w:cs="Segoe UI"/>
          <w:b/>
          <w:szCs w:val="20"/>
        </w:rPr>
      </w:pPr>
    </w:p>
    <w:p w14:paraId="4AE43D10" w14:textId="77777777" w:rsidR="00A57F25" w:rsidRPr="00F03A6C" w:rsidRDefault="00A57F25" w:rsidP="004213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b/>
          <w:szCs w:val="20"/>
        </w:rPr>
      </w:pPr>
      <w:r w:rsidRPr="00F03A6C">
        <w:rPr>
          <w:rFonts w:cs="Segoe UI"/>
          <w:b/>
          <w:szCs w:val="20"/>
        </w:rPr>
        <w:t xml:space="preserve">Charakter vzniku svahové </w:t>
      </w:r>
      <w:r>
        <w:rPr>
          <w:rFonts w:cs="Segoe UI"/>
          <w:b/>
          <w:szCs w:val="20"/>
        </w:rPr>
        <w:t>deformace</w:t>
      </w:r>
      <w:r w:rsidRPr="00F03A6C">
        <w:rPr>
          <w:rFonts w:cs="Segoe UI"/>
          <w:b/>
          <w:szCs w:val="20"/>
        </w:rPr>
        <w:t xml:space="preserve"> </w:t>
      </w:r>
    </w:p>
    <w:p w14:paraId="31076641" w14:textId="77777777" w:rsidR="00A57F25" w:rsidRDefault="00A57F25" w:rsidP="00A57F25">
      <w:pPr>
        <w:autoSpaceDE w:val="0"/>
        <w:autoSpaceDN w:val="0"/>
        <w:adjustRightInd w:val="0"/>
        <w:spacing w:after="60" w:line="240" w:lineRule="auto"/>
        <w:ind w:left="360"/>
        <w:jc w:val="both"/>
        <w:rPr>
          <w:rFonts w:cs="Segoe UI"/>
          <w:color w:val="000000"/>
          <w:szCs w:val="20"/>
        </w:rPr>
      </w:pPr>
    </w:p>
    <w:p w14:paraId="03EAA47B" w14:textId="77777777" w:rsidR="00A57F25" w:rsidRPr="002E1FEA" w:rsidRDefault="00A57F25" w:rsidP="00A57F25">
      <w:pPr>
        <w:autoSpaceDE w:val="0"/>
        <w:autoSpaceDN w:val="0"/>
        <w:adjustRightInd w:val="0"/>
        <w:spacing w:after="60" w:line="240" w:lineRule="auto"/>
        <w:ind w:left="360"/>
        <w:jc w:val="both"/>
        <w:rPr>
          <w:rFonts w:cs="Segoe UI"/>
          <w:i/>
          <w:szCs w:val="20"/>
        </w:rPr>
      </w:pPr>
      <w:r w:rsidRPr="002E1FEA">
        <w:rPr>
          <w:rFonts w:cs="Segoe UI"/>
          <w:color w:val="000000"/>
          <w:szCs w:val="20"/>
        </w:rPr>
        <w:t xml:space="preserve">Ploužení </w:t>
      </w:r>
      <w:r w:rsidRPr="002E1FEA">
        <w:sym w:font="Symbol" w:char="F0FF"/>
      </w:r>
      <w:r w:rsidRPr="002E1FEA">
        <w:rPr>
          <w:rFonts w:cs="Segoe UI"/>
          <w:color w:val="000000"/>
          <w:szCs w:val="20"/>
        </w:rPr>
        <w:t xml:space="preserve">          Sesouvání </w:t>
      </w:r>
      <w:r w:rsidRPr="002E1FEA">
        <w:sym w:font="Symbol" w:char="F0FF"/>
      </w:r>
      <w:r w:rsidRPr="002E1FEA">
        <w:rPr>
          <w:rFonts w:cs="Segoe UI"/>
          <w:color w:val="000000"/>
          <w:szCs w:val="20"/>
        </w:rPr>
        <w:t xml:space="preserve">            Stékání </w:t>
      </w:r>
      <w:r w:rsidRPr="002E1FEA">
        <w:sym w:font="Symbol" w:char="F0FF"/>
      </w:r>
      <w:r w:rsidRPr="002E1FEA">
        <w:rPr>
          <w:rFonts w:cs="Segoe UI"/>
          <w:color w:val="000000"/>
          <w:szCs w:val="20"/>
        </w:rPr>
        <w:t xml:space="preserve">         Řícení </w:t>
      </w:r>
      <w:r w:rsidRPr="002E1FEA">
        <w:sym w:font="Symbol" w:char="F0FF"/>
      </w:r>
    </w:p>
    <w:p w14:paraId="5BB4C67E" w14:textId="77777777" w:rsidR="00A57F25" w:rsidRPr="002E1FEA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szCs w:val="20"/>
        </w:rPr>
      </w:pPr>
      <w:r w:rsidRPr="002E1FEA">
        <w:rPr>
          <w:rFonts w:cs="Segoe UI"/>
          <w:i/>
          <w:szCs w:val="20"/>
        </w:rPr>
        <w:t>Vybrat:</w:t>
      </w:r>
    </w:p>
    <w:p w14:paraId="412FB860" w14:textId="77777777" w:rsidR="00A57F25" w:rsidRPr="002E1FEA" w:rsidRDefault="00A57F25" w:rsidP="0042137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szCs w:val="20"/>
        </w:rPr>
      </w:pPr>
      <w:r w:rsidRPr="002E1FEA">
        <w:rPr>
          <w:rFonts w:cs="Segoe UI"/>
          <w:bCs/>
          <w:color w:val="000000"/>
          <w:szCs w:val="20"/>
        </w:rPr>
        <w:t xml:space="preserve">Svahová deformace </w:t>
      </w:r>
      <w:r w:rsidRPr="002E1FEA">
        <w:rPr>
          <w:rFonts w:cs="Segoe UI"/>
          <w:color w:val="000000"/>
          <w:szCs w:val="20"/>
        </w:rPr>
        <w:t xml:space="preserve">je způsobena přírodními faktory (extrémní meteorologické jevy, zvětrávání apod.). </w:t>
      </w:r>
    </w:p>
    <w:p w14:paraId="5EC1043A" w14:textId="77777777" w:rsidR="00A57F25" w:rsidRPr="001206D1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1206D1">
        <w:rPr>
          <w:rFonts w:cs="Segoe UI"/>
          <w:i/>
          <w:szCs w:val="20"/>
        </w:rPr>
        <w:t>nebo</w:t>
      </w:r>
    </w:p>
    <w:p w14:paraId="2DCC1E9B" w14:textId="77777777" w:rsidR="00A57F25" w:rsidRDefault="00A57F25" w:rsidP="0042137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color w:val="000000"/>
          <w:szCs w:val="20"/>
        </w:rPr>
      </w:pPr>
      <w:r w:rsidRPr="002E1FEA">
        <w:rPr>
          <w:rFonts w:cs="Segoe UI"/>
          <w:color w:val="000000"/>
          <w:szCs w:val="20"/>
        </w:rPr>
        <w:t>Svahová deformace je způsobena současnými antropogenními faktory, popř. za spolupůsobení přírodních faktorů.</w:t>
      </w:r>
      <w:r w:rsidRPr="002E1FEA">
        <w:rPr>
          <w:rFonts w:cs="Segoe UI"/>
          <w:color w:val="000000"/>
          <w:szCs w:val="20"/>
        </w:rPr>
        <w:tab/>
      </w:r>
    </w:p>
    <w:p w14:paraId="0ABEEB9D" w14:textId="77777777" w:rsidR="00A57F25" w:rsidRPr="00013BA8" w:rsidRDefault="00A57F25" w:rsidP="00A57F2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60" w:line="240" w:lineRule="auto"/>
        <w:ind w:left="567"/>
        <w:rPr>
          <w:rFonts w:cs="Segoe UI"/>
          <w:color w:val="00000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7F25" w:rsidRPr="002E1FEA" w14:paraId="1372C3ED" w14:textId="77777777" w:rsidTr="005070EC">
        <w:tc>
          <w:tcPr>
            <w:tcW w:w="10456" w:type="dxa"/>
          </w:tcPr>
          <w:p w14:paraId="5961AE91" w14:textId="77777777" w:rsidR="00A57F25" w:rsidRPr="002E1FEA" w:rsidRDefault="00A57F25" w:rsidP="005070E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="Segoe UI"/>
                <w:szCs w:val="20"/>
              </w:rPr>
            </w:pPr>
            <w:r w:rsidRPr="002E1FEA">
              <w:rPr>
                <w:rFonts w:cs="Segoe UI"/>
                <w:szCs w:val="20"/>
              </w:rPr>
              <w:t>Zdůvodnění:</w:t>
            </w:r>
          </w:p>
        </w:tc>
      </w:tr>
    </w:tbl>
    <w:p w14:paraId="34D30702" w14:textId="77777777" w:rsidR="00A57F25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b/>
          <w:szCs w:val="20"/>
        </w:rPr>
      </w:pPr>
    </w:p>
    <w:p w14:paraId="1EC09C23" w14:textId="77777777" w:rsidR="00A57F25" w:rsidRPr="00F03A6C" w:rsidRDefault="00A57F25" w:rsidP="004213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b/>
          <w:szCs w:val="20"/>
        </w:rPr>
      </w:pPr>
      <w:r w:rsidRPr="00F03A6C">
        <w:rPr>
          <w:rFonts w:cs="Segoe UI"/>
          <w:b/>
          <w:szCs w:val="20"/>
        </w:rPr>
        <w:t xml:space="preserve">Předpokládaná doba </w:t>
      </w:r>
      <w:r>
        <w:rPr>
          <w:rFonts w:cs="Segoe UI"/>
          <w:b/>
          <w:szCs w:val="20"/>
        </w:rPr>
        <w:t xml:space="preserve">funkčnosti </w:t>
      </w:r>
      <w:r w:rsidRPr="00DA03E7">
        <w:rPr>
          <w:rFonts w:cs="Segoe UI"/>
          <w:szCs w:val="20"/>
        </w:rPr>
        <w:t>stabilizačních opatření</w:t>
      </w:r>
      <w:r w:rsidRPr="00F03A6C">
        <w:rPr>
          <w:rFonts w:cs="Segoe UI"/>
          <w:b/>
          <w:szCs w:val="20"/>
        </w:rPr>
        <w:t xml:space="preserve"> </w:t>
      </w:r>
    </w:p>
    <w:p w14:paraId="5E32BE55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9E14CC">
        <w:rPr>
          <w:rFonts w:cs="Segoe UI"/>
          <w:i/>
          <w:szCs w:val="20"/>
        </w:rPr>
        <w:lastRenderedPageBreak/>
        <w:t>Vybrat:</w:t>
      </w:r>
    </w:p>
    <w:p w14:paraId="5BBCB7FE" w14:textId="77777777" w:rsidR="00A57F25" w:rsidRPr="009E14CC" w:rsidRDefault="00A57F25" w:rsidP="0042137A">
      <w:pPr>
        <w:pStyle w:val="Default"/>
        <w:numPr>
          <w:ilvl w:val="0"/>
          <w:numId w:val="13"/>
        </w:numPr>
        <w:spacing w:after="60"/>
        <w:jc w:val="both"/>
        <w:rPr>
          <w:rFonts w:ascii="Segoe UI" w:hAnsi="Segoe UI" w:cs="Segoe UI"/>
          <w:sz w:val="20"/>
          <w:szCs w:val="20"/>
        </w:rPr>
      </w:pPr>
      <w:r w:rsidRPr="009E14CC">
        <w:rPr>
          <w:rFonts w:ascii="Segoe UI" w:hAnsi="Segoe UI" w:cs="Segoe UI"/>
          <w:sz w:val="20"/>
          <w:szCs w:val="20"/>
        </w:rPr>
        <w:t xml:space="preserve">Déle než </w:t>
      </w:r>
      <w:r>
        <w:rPr>
          <w:rFonts w:ascii="Segoe UI" w:hAnsi="Segoe UI" w:cs="Segoe UI"/>
          <w:sz w:val="20"/>
          <w:szCs w:val="20"/>
        </w:rPr>
        <w:t>1</w:t>
      </w:r>
      <w:r w:rsidRPr="009E14CC">
        <w:rPr>
          <w:rFonts w:ascii="Segoe UI" w:hAnsi="Segoe UI" w:cs="Segoe UI"/>
          <w:sz w:val="20"/>
          <w:szCs w:val="20"/>
        </w:rPr>
        <w:t xml:space="preserve">0 let. </w:t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</w:p>
    <w:p w14:paraId="71EB6170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9E14CC">
        <w:rPr>
          <w:rFonts w:cs="Segoe UI"/>
          <w:i/>
          <w:szCs w:val="20"/>
        </w:rPr>
        <w:t>nebo</w:t>
      </w:r>
    </w:p>
    <w:p w14:paraId="1C87EBB0" w14:textId="77777777" w:rsidR="00A57F25" w:rsidRDefault="00A57F25" w:rsidP="0042137A">
      <w:pPr>
        <w:pStyle w:val="Default"/>
        <w:numPr>
          <w:ilvl w:val="0"/>
          <w:numId w:val="13"/>
        </w:numPr>
        <w:spacing w:after="6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Nedosahuje délky udržitelnosti projektu 10 let a záměr je proto neslučitelný s poskytnutím podpory v OPŽP.</w:t>
      </w:r>
      <w:r w:rsidRPr="009E14CC">
        <w:rPr>
          <w:rFonts w:ascii="Segoe UI" w:hAnsi="Segoe UI" w:cs="Segoe UI"/>
          <w:sz w:val="20"/>
          <w:szCs w:val="20"/>
        </w:rPr>
        <w:tab/>
      </w:r>
    </w:p>
    <w:p w14:paraId="6E06018B" w14:textId="32D47B38" w:rsidR="00A57F25" w:rsidRPr="009E14CC" w:rsidRDefault="00A57F25" w:rsidP="00A57F25">
      <w:pPr>
        <w:pStyle w:val="Default"/>
        <w:spacing w:after="60"/>
        <w:ind w:left="720"/>
        <w:jc w:val="both"/>
        <w:rPr>
          <w:rFonts w:ascii="Segoe UI" w:hAnsi="Segoe UI" w:cs="Segoe UI"/>
          <w:sz w:val="20"/>
          <w:szCs w:val="20"/>
        </w:rPr>
      </w:pP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7F25" w14:paraId="0813632E" w14:textId="77777777" w:rsidTr="005070EC">
        <w:tc>
          <w:tcPr>
            <w:tcW w:w="10456" w:type="dxa"/>
          </w:tcPr>
          <w:p w14:paraId="77761513" w14:textId="77777777" w:rsidR="00A57F25" w:rsidRDefault="00A57F25" w:rsidP="005070E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Zdůvodnění:</w:t>
            </w:r>
          </w:p>
        </w:tc>
      </w:tr>
    </w:tbl>
    <w:p w14:paraId="6AD09720" w14:textId="77777777" w:rsidR="00A57F25" w:rsidRPr="009E14CC" w:rsidRDefault="00A57F25" w:rsidP="00A57F25">
      <w:pPr>
        <w:pStyle w:val="Default"/>
        <w:spacing w:after="60"/>
        <w:jc w:val="both"/>
        <w:rPr>
          <w:rFonts w:ascii="Segoe UI" w:hAnsi="Segoe UI" w:cs="Segoe UI"/>
          <w:color w:val="auto"/>
          <w:sz w:val="20"/>
          <w:szCs w:val="20"/>
        </w:rPr>
      </w:pPr>
    </w:p>
    <w:p w14:paraId="7E46BD07" w14:textId="77777777" w:rsidR="00A57F25" w:rsidRPr="00F03A6C" w:rsidRDefault="00A57F25" w:rsidP="004213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b/>
          <w:szCs w:val="20"/>
        </w:rPr>
      </w:pPr>
      <w:r w:rsidRPr="00F03A6C">
        <w:rPr>
          <w:rFonts w:cs="Segoe UI"/>
          <w:b/>
          <w:szCs w:val="20"/>
        </w:rPr>
        <w:t xml:space="preserve">Odůvodněnost realizace </w:t>
      </w:r>
      <w:r>
        <w:rPr>
          <w:rFonts w:cs="Segoe UI"/>
          <w:b/>
          <w:szCs w:val="20"/>
        </w:rPr>
        <w:t>navržených opatření</w:t>
      </w:r>
      <w:r w:rsidRPr="00F03A6C">
        <w:rPr>
          <w:rFonts w:cs="Segoe UI"/>
          <w:b/>
          <w:szCs w:val="20"/>
        </w:rPr>
        <w:t xml:space="preserve"> </w:t>
      </w:r>
      <w:r w:rsidRPr="00DA03E7">
        <w:rPr>
          <w:rFonts w:cs="Segoe UI"/>
          <w:szCs w:val="20"/>
        </w:rPr>
        <w:t xml:space="preserve">ve vztahu k vynaloženým prostředkům </w:t>
      </w:r>
    </w:p>
    <w:p w14:paraId="7ACEB1FF" w14:textId="77777777" w:rsidR="00A57F25" w:rsidRPr="009D7B8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szCs w:val="20"/>
        </w:rPr>
      </w:pPr>
      <w:r w:rsidRPr="009E14CC">
        <w:rPr>
          <w:rFonts w:cs="Segoe UI"/>
          <w:i/>
          <w:szCs w:val="20"/>
        </w:rPr>
        <w:t>Vybrat:</w:t>
      </w:r>
    </w:p>
    <w:p w14:paraId="668F7899" w14:textId="77777777" w:rsidR="00A57F25" w:rsidRDefault="00A57F25" w:rsidP="0042137A">
      <w:pPr>
        <w:pStyle w:val="Default"/>
        <w:numPr>
          <w:ilvl w:val="0"/>
          <w:numId w:val="14"/>
        </w:numPr>
        <w:spacing w:after="60"/>
        <w:jc w:val="both"/>
        <w:rPr>
          <w:rFonts w:ascii="Segoe UI" w:hAnsi="Segoe UI" w:cs="Segoe UI"/>
          <w:sz w:val="20"/>
          <w:szCs w:val="20"/>
        </w:rPr>
      </w:pPr>
      <w:r w:rsidRPr="009D7B8C">
        <w:rPr>
          <w:rFonts w:ascii="Segoe UI" w:hAnsi="Segoe UI" w:cs="Segoe UI"/>
          <w:sz w:val="20"/>
          <w:szCs w:val="20"/>
        </w:rPr>
        <w:t>Finanční náročnost záměru nepřevyšuje orientační hodnotu ohrožených objektů</w:t>
      </w:r>
      <w:r>
        <w:rPr>
          <w:rFonts w:ascii="Segoe UI" w:hAnsi="Segoe UI" w:cs="Segoe UI"/>
          <w:sz w:val="20"/>
          <w:szCs w:val="20"/>
        </w:rPr>
        <w:t>.</w:t>
      </w:r>
    </w:p>
    <w:p w14:paraId="29127441" w14:textId="77777777" w:rsidR="00A57F25" w:rsidRPr="000B3670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0B3670">
        <w:rPr>
          <w:rFonts w:cs="Segoe UI"/>
          <w:i/>
          <w:szCs w:val="20"/>
        </w:rPr>
        <w:t>nebo</w:t>
      </w:r>
    </w:p>
    <w:p w14:paraId="44029FF4" w14:textId="77777777" w:rsidR="00A57F25" w:rsidRPr="009D7B8C" w:rsidRDefault="00A57F25" w:rsidP="0042137A">
      <w:pPr>
        <w:pStyle w:val="Default"/>
        <w:numPr>
          <w:ilvl w:val="0"/>
          <w:numId w:val="14"/>
        </w:numPr>
        <w:spacing w:after="60"/>
        <w:jc w:val="both"/>
        <w:rPr>
          <w:rFonts w:ascii="Segoe UI" w:hAnsi="Segoe UI" w:cs="Segoe UI"/>
          <w:sz w:val="20"/>
          <w:szCs w:val="20"/>
        </w:rPr>
      </w:pPr>
      <w:r w:rsidRPr="009D7B8C">
        <w:rPr>
          <w:rFonts w:ascii="Segoe UI" w:hAnsi="Segoe UI" w:cs="Segoe UI"/>
          <w:sz w:val="20"/>
          <w:szCs w:val="20"/>
        </w:rPr>
        <w:t>Finanční náročnost záměru převyšuje orientační hodnotu ohrožených objektů, ale pokud nebude záměr realizován, mohou být ohroženy životy či</w:t>
      </w:r>
      <w:r>
        <w:rPr>
          <w:rFonts w:ascii="Segoe UI" w:hAnsi="Segoe UI" w:cs="Segoe UI"/>
          <w:sz w:val="20"/>
          <w:szCs w:val="20"/>
        </w:rPr>
        <w:t xml:space="preserve"> zdraví občanů.</w:t>
      </w:r>
      <w:r w:rsidRPr="009D7B8C">
        <w:rPr>
          <w:rFonts w:ascii="Segoe UI" w:hAnsi="Segoe UI" w:cs="Segoe UI"/>
          <w:sz w:val="20"/>
          <w:szCs w:val="20"/>
        </w:rPr>
        <w:tab/>
      </w:r>
      <w:r w:rsidRPr="009D7B8C">
        <w:rPr>
          <w:rFonts w:ascii="Segoe UI" w:hAnsi="Segoe UI" w:cs="Segoe UI"/>
          <w:sz w:val="20"/>
          <w:szCs w:val="20"/>
        </w:rPr>
        <w:tab/>
      </w:r>
      <w:r w:rsidRPr="009D7B8C">
        <w:rPr>
          <w:rFonts w:ascii="Segoe UI" w:hAnsi="Segoe UI" w:cs="Segoe UI"/>
          <w:sz w:val="20"/>
          <w:szCs w:val="20"/>
        </w:rPr>
        <w:tab/>
      </w:r>
      <w:r w:rsidRPr="009D7B8C">
        <w:rPr>
          <w:rFonts w:ascii="Segoe UI" w:hAnsi="Segoe UI" w:cs="Segoe UI"/>
          <w:sz w:val="20"/>
          <w:szCs w:val="20"/>
        </w:rPr>
        <w:tab/>
      </w:r>
      <w:r w:rsidRPr="009D7B8C">
        <w:rPr>
          <w:rFonts w:ascii="Segoe UI" w:hAnsi="Segoe UI" w:cs="Segoe UI"/>
          <w:sz w:val="20"/>
          <w:szCs w:val="20"/>
        </w:rPr>
        <w:tab/>
      </w:r>
    </w:p>
    <w:p w14:paraId="33BF3247" w14:textId="77777777" w:rsidR="00A57F25" w:rsidRPr="000B3670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0B3670">
        <w:rPr>
          <w:rFonts w:cs="Segoe UI"/>
          <w:i/>
          <w:szCs w:val="20"/>
        </w:rPr>
        <w:t>nebo</w:t>
      </w:r>
    </w:p>
    <w:p w14:paraId="48F89114" w14:textId="77777777" w:rsidR="00A57F25" w:rsidRPr="009E14CC" w:rsidRDefault="00A57F25" w:rsidP="0042137A">
      <w:pPr>
        <w:pStyle w:val="Default"/>
        <w:numPr>
          <w:ilvl w:val="0"/>
          <w:numId w:val="14"/>
        </w:numPr>
        <w:spacing w:after="60"/>
        <w:jc w:val="both"/>
        <w:rPr>
          <w:rFonts w:ascii="Segoe UI" w:hAnsi="Segoe UI" w:cs="Segoe UI"/>
          <w:sz w:val="20"/>
          <w:szCs w:val="20"/>
        </w:rPr>
      </w:pPr>
      <w:r w:rsidRPr="009D7B8C">
        <w:rPr>
          <w:rFonts w:ascii="Segoe UI" w:hAnsi="Segoe UI" w:cs="Segoe UI"/>
          <w:sz w:val="20"/>
          <w:szCs w:val="20"/>
        </w:rPr>
        <w:t>Finanční náročnost záměru převyšuje orientační hodnotu ohrožených objektů, ale pokud nebude záměr realizován, nebudou ohroženy životy či zdraví občanů</w:t>
      </w:r>
      <w:r>
        <w:rPr>
          <w:rFonts w:ascii="Segoe UI" w:hAnsi="Segoe UI" w:cs="Segoe UI"/>
          <w:sz w:val="20"/>
          <w:szCs w:val="20"/>
        </w:rPr>
        <w:t>.</w:t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7F25" w14:paraId="67CAC4BB" w14:textId="77777777" w:rsidTr="00A57F25">
        <w:tc>
          <w:tcPr>
            <w:tcW w:w="9060" w:type="dxa"/>
          </w:tcPr>
          <w:p w14:paraId="47E643FB" w14:textId="77777777" w:rsidR="00A57F25" w:rsidRDefault="00A57F25" w:rsidP="005070E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Zdůvodnění:</w:t>
            </w:r>
          </w:p>
        </w:tc>
      </w:tr>
    </w:tbl>
    <w:p w14:paraId="68EA34E4" w14:textId="77777777" w:rsidR="00A57F25" w:rsidRPr="009E14CC" w:rsidRDefault="00A57F25" w:rsidP="00A57F25">
      <w:pPr>
        <w:pStyle w:val="Default"/>
        <w:spacing w:after="60"/>
        <w:jc w:val="both"/>
        <w:rPr>
          <w:rFonts w:ascii="Segoe UI" w:hAnsi="Segoe UI" w:cs="Segoe UI"/>
          <w:color w:val="auto"/>
          <w:sz w:val="20"/>
          <w:szCs w:val="20"/>
        </w:rPr>
      </w:pPr>
    </w:p>
    <w:p w14:paraId="7BFBEB70" w14:textId="77777777" w:rsidR="00A57F25" w:rsidRPr="00DA03E7" w:rsidRDefault="00A57F25" w:rsidP="004213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szCs w:val="20"/>
        </w:rPr>
      </w:pPr>
      <w:r w:rsidRPr="00F03A6C">
        <w:rPr>
          <w:rFonts w:cs="Segoe UI"/>
          <w:b/>
          <w:szCs w:val="20"/>
        </w:rPr>
        <w:t xml:space="preserve">Kvalita zpracování záměru </w:t>
      </w:r>
      <w:r w:rsidRPr="00DA03E7">
        <w:rPr>
          <w:rFonts w:cs="Segoe UI"/>
          <w:szCs w:val="20"/>
        </w:rPr>
        <w:t xml:space="preserve">z hlediska technického (návrh záměru vzhledem k typu svahové deformace, nebezpečnosti jevu, jeho cíli a dosažitelnosti) </w:t>
      </w:r>
    </w:p>
    <w:p w14:paraId="0A841503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9E14CC">
        <w:rPr>
          <w:rFonts w:cs="Segoe UI"/>
          <w:i/>
          <w:szCs w:val="20"/>
        </w:rPr>
        <w:t>Vybrat:</w:t>
      </w:r>
    </w:p>
    <w:p w14:paraId="0826C82B" w14:textId="2D57570F" w:rsidR="00A57F25" w:rsidRPr="009E14CC" w:rsidRDefault="00A57F25" w:rsidP="0042137A">
      <w:pPr>
        <w:pStyle w:val="Default"/>
        <w:numPr>
          <w:ilvl w:val="0"/>
          <w:numId w:val="15"/>
        </w:numPr>
        <w:spacing w:after="60"/>
        <w:jc w:val="both"/>
        <w:rPr>
          <w:rFonts w:ascii="Segoe UI" w:hAnsi="Segoe UI" w:cs="Segoe UI"/>
          <w:sz w:val="20"/>
          <w:szCs w:val="20"/>
        </w:rPr>
      </w:pPr>
      <w:r w:rsidRPr="009E14CC">
        <w:rPr>
          <w:rFonts w:ascii="Segoe UI" w:hAnsi="Segoe UI" w:cs="Segoe UI"/>
          <w:sz w:val="20"/>
          <w:szCs w:val="20"/>
        </w:rPr>
        <w:t xml:space="preserve">Záměr je optimálně navržen. </w:t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</w:p>
    <w:p w14:paraId="52D9D650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9E14CC">
        <w:rPr>
          <w:rFonts w:cs="Segoe UI"/>
          <w:i/>
          <w:szCs w:val="20"/>
        </w:rPr>
        <w:t>nebo</w:t>
      </w:r>
    </w:p>
    <w:p w14:paraId="09FF99DA" w14:textId="77777777" w:rsidR="00A57F25" w:rsidRPr="009D7B8C" w:rsidRDefault="00A57F25" w:rsidP="0042137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color w:val="000000"/>
          <w:szCs w:val="20"/>
        </w:rPr>
      </w:pPr>
      <w:r w:rsidRPr="009D7B8C">
        <w:rPr>
          <w:rFonts w:cs="Segoe UI"/>
          <w:color w:val="000000"/>
          <w:szCs w:val="20"/>
        </w:rPr>
        <w:t>Záměr je vhodně navržen</w:t>
      </w:r>
      <w:r>
        <w:rPr>
          <w:rFonts w:cs="Segoe UI"/>
          <w:color w:val="000000"/>
          <w:szCs w:val="20"/>
        </w:rPr>
        <w:t xml:space="preserve"> (např. typ stabilizačních opatření, adekvátní inženýrskogeologický projekt)</w:t>
      </w:r>
      <w:r w:rsidRPr="009D7B8C">
        <w:rPr>
          <w:rFonts w:cs="Segoe UI"/>
          <w:color w:val="000000"/>
          <w:szCs w:val="20"/>
        </w:rPr>
        <w:t>, ale není zvoleno optimální řešení (např.</w:t>
      </w:r>
      <w:r>
        <w:rPr>
          <w:rFonts w:cs="Segoe UI"/>
          <w:color w:val="000000"/>
          <w:szCs w:val="20"/>
        </w:rPr>
        <w:t xml:space="preserve"> rozsah</w:t>
      </w:r>
      <w:r w:rsidRPr="009D7B8C">
        <w:rPr>
          <w:rFonts w:cs="Segoe UI"/>
          <w:color w:val="000000"/>
          <w:szCs w:val="20"/>
        </w:rPr>
        <w:t xml:space="preserve"> stavebně technick</w:t>
      </w:r>
      <w:r>
        <w:rPr>
          <w:rFonts w:cs="Segoe UI"/>
          <w:color w:val="000000"/>
          <w:szCs w:val="20"/>
        </w:rPr>
        <w:t>ých</w:t>
      </w:r>
      <w:r w:rsidRPr="009D7B8C">
        <w:rPr>
          <w:rFonts w:cs="Segoe UI"/>
          <w:color w:val="000000"/>
          <w:szCs w:val="20"/>
        </w:rPr>
        <w:t xml:space="preserve"> opatřen</w:t>
      </w:r>
      <w:r>
        <w:rPr>
          <w:rFonts w:cs="Segoe UI"/>
          <w:color w:val="000000"/>
          <w:szCs w:val="20"/>
        </w:rPr>
        <w:t>í</w:t>
      </w:r>
      <w:r w:rsidRPr="009D7B8C">
        <w:rPr>
          <w:rFonts w:cs="Segoe UI"/>
          <w:color w:val="000000"/>
          <w:szCs w:val="20"/>
        </w:rPr>
        <w:t xml:space="preserve">). </w:t>
      </w:r>
    </w:p>
    <w:p w14:paraId="2DBDEB0E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9E14CC">
        <w:rPr>
          <w:rFonts w:cs="Segoe UI"/>
          <w:i/>
          <w:szCs w:val="20"/>
        </w:rPr>
        <w:t>nebo</w:t>
      </w:r>
    </w:p>
    <w:p w14:paraId="29A85D1C" w14:textId="77777777" w:rsidR="0042137A" w:rsidRDefault="00A57F25" w:rsidP="0042137A">
      <w:pPr>
        <w:pStyle w:val="Default"/>
        <w:numPr>
          <w:ilvl w:val="0"/>
          <w:numId w:val="15"/>
        </w:numPr>
        <w:spacing w:after="60"/>
        <w:jc w:val="both"/>
        <w:rPr>
          <w:rFonts w:ascii="Segoe UI" w:hAnsi="Segoe UI" w:cs="Segoe UI"/>
          <w:sz w:val="20"/>
          <w:szCs w:val="20"/>
        </w:rPr>
      </w:pPr>
      <w:r w:rsidRPr="009E14CC">
        <w:rPr>
          <w:rFonts w:ascii="Segoe UI" w:hAnsi="Segoe UI" w:cs="Segoe UI"/>
          <w:sz w:val="20"/>
          <w:szCs w:val="20"/>
        </w:rPr>
        <w:t xml:space="preserve">Záměr je nevhodně navržen, má významné nedostatky </w:t>
      </w:r>
      <w:r>
        <w:rPr>
          <w:rFonts w:ascii="Segoe UI" w:hAnsi="Segoe UI" w:cs="Segoe UI"/>
          <w:sz w:val="20"/>
          <w:szCs w:val="20"/>
        </w:rPr>
        <w:t>a je proto neslučitelný s poskytnutím podpory v OPŽP</w:t>
      </w:r>
      <w:r w:rsidRPr="009E14CC">
        <w:rPr>
          <w:rFonts w:ascii="Segoe UI" w:hAnsi="Segoe UI" w:cs="Segoe UI"/>
          <w:sz w:val="20"/>
          <w:szCs w:val="20"/>
        </w:rPr>
        <w:t xml:space="preserve">. </w:t>
      </w:r>
      <w:r w:rsidRPr="009E14CC">
        <w:rPr>
          <w:rFonts w:ascii="Segoe UI" w:hAnsi="Segoe UI" w:cs="Segoe UI"/>
          <w:sz w:val="20"/>
          <w:szCs w:val="20"/>
        </w:rPr>
        <w:tab/>
      </w:r>
    </w:p>
    <w:p w14:paraId="69EF4E07" w14:textId="0AB3AAB3" w:rsidR="00A57F25" w:rsidRPr="009E14CC" w:rsidRDefault="00A57F25" w:rsidP="0042137A">
      <w:pPr>
        <w:pStyle w:val="Default"/>
        <w:spacing w:after="60"/>
        <w:ind w:left="720"/>
        <w:jc w:val="both"/>
        <w:rPr>
          <w:rFonts w:ascii="Segoe UI" w:hAnsi="Segoe UI" w:cs="Segoe UI"/>
          <w:sz w:val="20"/>
          <w:szCs w:val="20"/>
        </w:rPr>
      </w:pP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  <w:r w:rsidRPr="009E14CC">
        <w:rPr>
          <w:rFonts w:ascii="Segoe UI" w:hAnsi="Segoe UI" w:cs="Segoe UI"/>
          <w:sz w:val="20"/>
          <w:szCs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7F25" w14:paraId="0CBD56A5" w14:textId="77777777" w:rsidTr="005070EC">
        <w:tc>
          <w:tcPr>
            <w:tcW w:w="10456" w:type="dxa"/>
          </w:tcPr>
          <w:p w14:paraId="1C91497F" w14:textId="77777777" w:rsidR="00A57F25" w:rsidRDefault="00A57F25" w:rsidP="005070E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Zdůvodnění:</w:t>
            </w:r>
          </w:p>
        </w:tc>
      </w:tr>
    </w:tbl>
    <w:p w14:paraId="56B1B2AF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szCs w:val="20"/>
        </w:rPr>
      </w:pPr>
    </w:p>
    <w:p w14:paraId="7A20CCFF" w14:textId="77777777" w:rsidR="00A57F25" w:rsidRPr="00F03A6C" w:rsidRDefault="00A57F25" w:rsidP="004213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b/>
          <w:szCs w:val="20"/>
        </w:rPr>
      </w:pPr>
      <w:r w:rsidRPr="00F03A6C">
        <w:rPr>
          <w:rFonts w:cs="Segoe UI"/>
          <w:b/>
          <w:szCs w:val="20"/>
        </w:rPr>
        <w:t xml:space="preserve">Hledisko přiměřenosti nákladů </w:t>
      </w:r>
      <w:r>
        <w:rPr>
          <w:rFonts w:cs="Segoe UI"/>
          <w:color w:val="000000"/>
          <w:szCs w:val="20"/>
        </w:rPr>
        <w:t>na realizaci záměru</w:t>
      </w:r>
      <w:r w:rsidRPr="00304A0B">
        <w:rPr>
          <w:rFonts w:cs="Segoe UI"/>
          <w:color w:val="000000"/>
          <w:szCs w:val="20"/>
        </w:rPr>
        <w:t xml:space="preserve"> </w:t>
      </w:r>
    </w:p>
    <w:p w14:paraId="57654247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9E14CC">
        <w:rPr>
          <w:rFonts w:cs="Segoe UI"/>
          <w:i/>
          <w:szCs w:val="20"/>
        </w:rPr>
        <w:t>Vybrat:</w:t>
      </w:r>
    </w:p>
    <w:p w14:paraId="62AC9082" w14:textId="3B08CAF9" w:rsidR="00A57F25" w:rsidRPr="005C4535" w:rsidRDefault="00A57F25" w:rsidP="004213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color w:val="000000"/>
          <w:szCs w:val="20"/>
        </w:rPr>
      </w:pPr>
      <w:r w:rsidRPr="005C4535">
        <w:rPr>
          <w:rFonts w:cs="Segoe UI"/>
          <w:color w:val="000000"/>
          <w:szCs w:val="20"/>
        </w:rPr>
        <w:t>Náklady</w:t>
      </w:r>
      <w:r>
        <w:rPr>
          <w:rFonts w:cs="Segoe UI"/>
          <w:color w:val="000000"/>
          <w:szCs w:val="20"/>
        </w:rPr>
        <w:t xml:space="preserve"> rámcově </w:t>
      </w:r>
      <w:r w:rsidRPr="005C4535">
        <w:rPr>
          <w:rFonts w:cs="Segoe UI"/>
          <w:color w:val="000000"/>
          <w:szCs w:val="20"/>
        </w:rPr>
        <w:t xml:space="preserve">odpovídají rozsahu a typu navržených prací. </w:t>
      </w:r>
      <w:r w:rsidRPr="005C4535">
        <w:rPr>
          <w:rFonts w:cs="Segoe UI"/>
          <w:szCs w:val="20"/>
        </w:rPr>
        <w:t xml:space="preserve"> </w:t>
      </w:r>
      <w:r w:rsidRPr="005C4535">
        <w:rPr>
          <w:rFonts w:cs="Segoe UI"/>
          <w:szCs w:val="20"/>
        </w:rPr>
        <w:tab/>
      </w:r>
      <w:r w:rsidRPr="005C4535">
        <w:rPr>
          <w:rFonts w:cs="Segoe UI"/>
          <w:szCs w:val="20"/>
        </w:rPr>
        <w:tab/>
      </w:r>
      <w:r w:rsidRPr="005C4535">
        <w:rPr>
          <w:rFonts w:cs="Segoe UI"/>
          <w:szCs w:val="20"/>
        </w:rPr>
        <w:tab/>
      </w:r>
      <w:r w:rsidRPr="005C4535">
        <w:rPr>
          <w:rFonts w:cs="Segoe UI"/>
          <w:szCs w:val="20"/>
        </w:rPr>
        <w:tab/>
      </w:r>
    </w:p>
    <w:p w14:paraId="1130A897" w14:textId="77777777" w:rsidR="00A57F25" w:rsidRPr="009E14CC" w:rsidRDefault="00A57F25" w:rsidP="00A57F25">
      <w:pPr>
        <w:tabs>
          <w:tab w:val="center" w:pos="4536"/>
        </w:tabs>
        <w:autoSpaceDE w:val="0"/>
        <w:autoSpaceDN w:val="0"/>
        <w:adjustRightInd w:val="0"/>
        <w:spacing w:after="60" w:line="240" w:lineRule="auto"/>
        <w:jc w:val="both"/>
        <w:rPr>
          <w:rFonts w:cs="Segoe UI"/>
          <w:i/>
          <w:szCs w:val="20"/>
        </w:rPr>
      </w:pPr>
      <w:r w:rsidRPr="009E14CC">
        <w:rPr>
          <w:rFonts w:cs="Segoe UI"/>
          <w:i/>
          <w:szCs w:val="20"/>
        </w:rPr>
        <w:t>nebo</w:t>
      </w:r>
      <w:r w:rsidRPr="009E14CC">
        <w:rPr>
          <w:rFonts w:cs="Segoe UI"/>
          <w:i/>
          <w:szCs w:val="20"/>
        </w:rPr>
        <w:tab/>
      </w:r>
    </w:p>
    <w:p w14:paraId="12C068C6" w14:textId="77777777" w:rsidR="00A57F25" w:rsidRPr="005C4535" w:rsidRDefault="00A57F25" w:rsidP="004213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rPr>
          <w:rFonts w:cs="Segoe UI"/>
          <w:color w:val="000000"/>
          <w:szCs w:val="20"/>
        </w:rPr>
      </w:pPr>
      <w:r w:rsidRPr="005C4535">
        <w:rPr>
          <w:rFonts w:cs="Segoe UI"/>
          <w:color w:val="000000"/>
          <w:szCs w:val="20"/>
        </w:rPr>
        <w:t xml:space="preserve">Náklady neodpovídají rozsahu a typu navržených prací a </w:t>
      </w:r>
      <w:r>
        <w:rPr>
          <w:rFonts w:cs="Segoe UI"/>
          <w:color w:val="000000"/>
          <w:szCs w:val="20"/>
        </w:rPr>
        <w:t>záměr</w:t>
      </w:r>
      <w:r w:rsidRPr="005C4535">
        <w:rPr>
          <w:rFonts w:cs="Segoe UI"/>
          <w:color w:val="000000"/>
          <w:szCs w:val="20"/>
        </w:rPr>
        <w:t xml:space="preserve"> je proto neslučiteln</w:t>
      </w:r>
      <w:r>
        <w:rPr>
          <w:rFonts w:cs="Segoe UI"/>
          <w:color w:val="000000"/>
          <w:szCs w:val="20"/>
        </w:rPr>
        <w:t>ý</w:t>
      </w:r>
      <w:r w:rsidRPr="005C4535">
        <w:rPr>
          <w:rFonts w:cs="Segoe UI"/>
          <w:color w:val="000000"/>
          <w:szCs w:val="20"/>
        </w:rPr>
        <w:t xml:space="preserve"> s poskytnutím podpory v OPŽP.</w:t>
      </w:r>
      <w:r w:rsidRPr="005C4535">
        <w:rPr>
          <w:rFonts w:cs="Segoe UI"/>
          <w:color w:val="000000"/>
          <w:szCs w:val="20"/>
        </w:rPr>
        <w:tab/>
      </w:r>
      <w:r w:rsidRPr="005C4535">
        <w:rPr>
          <w:rFonts w:cs="Segoe UI"/>
          <w:color w:val="000000"/>
          <w:szCs w:val="20"/>
        </w:rPr>
        <w:tab/>
      </w:r>
      <w:r w:rsidRPr="005C4535">
        <w:rPr>
          <w:rFonts w:cs="Segoe UI"/>
          <w:color w:val="000000"/>
          <w:szCs w:val="20"/>
        </w:rPr>
        <w:tab/>
      </w:r>
      <w:r w:rsidRPr="005C4535">
        <w:rPr>
          <w:rFonts w:cs="Segoe UI"/>
          <w:color w:val="000000"/>
          <w:szCs w:val="20"/>
        </w:rPr>
        <w:tab/>
      </w:r>
      <w:r w:rsidRPr="005C4535">
        <w:rPr>
          <w:rFonts w:cs="Segoe UI"/>
          <w:color w:val="000000"/>
          <w:szCs w:val="20"/>
        </w:rPr>
        <w:tab/>
      </w:r>
    </w:p>
    <w:p w14:paraId="7A802514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b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7F25" w14:paraId="359C72FF" w14:textId="77777777" w:rsidTr="005070EC">
        <w:tc>
          <w:tcPr>
            <w:tcW w:w="10456" w:type="dxa"/>
          </w:tcPr>
          <w:p w14:paraId="211B7677" w14:textId="77777777" w:rsidR="00A57F25" w:rsidRDefault="00A57F25" w:rsidP="005070E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Zdůvodnění:</w:t>
            </w:r>
          </w:p>
        </w:tc>
      </w:tr>
    </w:tbl>
    <w:p w14:paraId="4DF46A37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szCs w:val="20"/>
        </w:rPr>
      </w:pPr>
    </w:p>
    <w:p w14:paraId="349BA80F" w14:textId="77777777" w:rsidR="00A57F25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b/>
          <w:szCs w:val="20"/>
        </w:rPr>
      </w:pPr>
      <w:r w:rsidRPr="009E14CC">
        <w:rPr>
          <w:rFonts w:cs="Segoe UI"/>
          <w:b/>
          <w:szCs w:val="20"/>
        </w:rPr>
        <w:lastRenderedPageBreak/>
        <w:t>Shrnutí posouzení</w:t>
      </w:r>
      <w:r>
        <w:rPr>
          <w:rFonts w:cs="Segoe UI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7F25" w14:paraId="6CE03940" w14:textId="77777777" w:rsidTr="005070EC">
        <w:tc>
          <w:tcPr>
            <w:tcW w:w="10456" w:type="dxa"/>
          </w:tcPr>
          <w:p w14:paraId="528B0663" w14:textId="77777777" w:rsidR="00A57F25" w:rsidRDefault="00A57F25" w:rsidP="005070E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Zdůvodnění:</w:t>
            </w:r>
          </w:p>
          <w:p w14:paraId="3A80F3FC" w14:textId="77777777" w:rsidR="00A57F25" w:rsidRDefault="00A57F25" w:rsidP="005070E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="Segoe UI"/>
                <w:szCs w:val="20"/>
              </w:rPr>
            </w:pPr>
          </w:p>
          <w:p w14:paraId="001CD33B" w14:textId="77777777" w:rsidR="00A57F25" w:rsidRDefault="00A57F25" w:rsidP="005070E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="Segoe UI"/>
                <w:szCs w:val="20"/>
              </w:rPr>
            </w:pPr>
          </w:p>
        </w:tc>
      </w:tr>
    </w:tbl>
    <w:p w14:paraId="71013CA4" w14:textId="77777777" w:rsidR="00A57F25" w:rsidRPr="009E14CC" w:rsidRDefault="00A57F25" w:rsidP="00A57F25">
      <w:pPr>
        <w:autoSpaceDE w:val="0"/>
        <w:autoSpaceDN w:val="0"/>
        <w:adjustRightInd w:val="0"/>
        <w:spacing w:after="60" w:line="240" w:lineRule="auto"/>
        <w:jc w:val="both"/>
        <w:rPr>
          <w:rFonts w:cs="Segoe UI"/>
          <w:b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118"/>
      </w:tblGrid>
      <w:tr w:rsidR="00A57F25" w14:paraId="7F7689F5" w14:textId="77777777" w:rsidTr="005070EC">
        <w:trPr>
          <w:trHeight w:val="436"/>
        </w:trPr>
        <w:tc>
          <w:tcPr>
            <w:tcW w:w="2122" w:type="dxa"/>
            <w:vAlign w:val="center"/>
          </w:tcPr>
          <w:p w14:paraId="5780597C" w14:textId="77777777" w:rsidR="00A57F25" w:rsidRDefault="00A57F25" w:rsidP="005070EC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b/>
                <w:szCs w:val="20"/>
              </w:rPr>
            </w:pPr>
            <w:r w:rsidRPr="009E14CC">
              <w:rPr>
                <w:rFonts w:cs="Segoe UI"/>
                <w:b/>
                <w:szCs w:val="20"/>
              </w:rPr>
              <w:t>Datum</w:t>
            </w:r>
            <w:r>
              <w:rPr>
                <w:rFonts w:cs="Segoe UI"/>
                <w:b/>
                <w:szCs w:val="20"/>
              </w:rPr>
              <w:t xml:space="preserve"> vyhotovení</w:t>
            </w:r>
          </w:p>
        </w:tc>
        <w:tc>
          <w:tcPr>
            <w:tcW w:w="3118" w:type="dxa"/>
            <w:vAlign w:val="center"/>
          </w:tcPr>
          <w:p w14:paraId="71F5D843" w14:textId="77777777" w:rsidR="00A57F25" w:rsidRDefault="00A57F25" w:rsidP="005070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Segoe UI"/>
                <w:b/>
                <w:szCs w:val="20"/>
              </w:rPr>
            </w:pPr>
          </w:p>
        </w:tc>
      </w:tr>
      <w:tr w:rsidR="00A57F25" w14:paraId="291E180B" w14:textId="77777777" w:rsidTr="005070EC">
        <w:trPr>
          <w:trHeight w:val="448"/>
        </w:trPr>
        <w:tc>
          <w:tcPr>
            <w:tcW w:w="2122" w:type="dxa"/>
            <w:vAlign w:val="center"/>
          </w:tcPr>
          <w:p w14:paraId="01977385" w14:textId="77777777" w:rsidR="00A57F25" w:rsidRDefault="00A57F25" w:rsidP="005070EC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b/>
                <w:szCs w:val="20"/>
              </w:rPr>
            </w:pPr>
            <w:r>
              <w:rPr>
                <w:rFonts w:cs="Segoe UI"/>
                <w:b/>
                <w:szCs w:val="20"/>
              </w:rPr>
              <w:t>Vypracoval</w:t>
            </w:r>
          </w:p>
        </w:tc>
        <w:tc>
          <w:tcPr>
            <w:tcW w:w="3118" w:type="dxa"/>
            <w:vAlign w:val="center"/>
          </w:tcPr>
          <w:p w14:paraId="2A375E01" w14:textId="77777777" w:rsidR="00A57F25" w:rsidRDefault="00A57F25" w:rsidP="005070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Segoe UI"/>
                <w:b/>
                <w:szCs w:val="20"/>
              </w:rPr>
            </w:pPr>
          </w:p>
        </w:tc>
      </w:tr>
      <w:tr w:rsidR="00A57F25" w14:paraId="4E59E283" w14:textId="77777777" w:rsidTr="005070EC">
        <w:trPr>
          <w:trHeight w:val="436"/>
        </w:trPr>
        <w:tc>
          <w:tcPr>
            <w:tcW w:w="2122" w:type="dxa"/>
            <w:vAlign w:val="center"/>
          </w:tcPr>
          <w:p w14:paraId="028D2E83" w14:textId="77777777" w:rsidR="00A57F25" w:rsidRDefault="00A57F25" w:rsidP="005070EC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b/>
                <w:szCs w:val="20"/>
              </w:rPr>
            </w:pPr>
            <w:r>
              <w:rPr>
                <w:rFonts w:cs="Segoe UI"/>
                <w:b/>
                <w:szCs w:val="20"/>
              </w:rPr>
              <w:t>Schválil</w:t>
            </w:r>
          </w:p>
        </w:tc>
        <w:tc>
          <w:tcPr>
            <w:tcW w:w="3118" w:type="dxa"/>
            <w:vAlign w:val="center"/>
          </w:tcPr>
          <w:p w14:paraId="7D3DFE83" w14:textId="77777777" w:rsidR="00A57F25" w:rsidRDefault="00A57F25" w:rsidP="005070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Segoe UI"/>
                <w:b/>
                <w:szCs w:val="20"/>
              </w:rPr>
            </w:pPr>
          </w:p>
        </w:tc>
      </w:tr>
    </w:tbl>
    <w:p w14:paraId="69539893" w14:textId="77777777" w:rsidR="00A57F25" w:rsidRPr="00924350" w:rsidRDefault="00A57F25" w:rsidP="00A57F25">
      <w:pPr>
        <w:autoSpaceDE w:val="0"/>
        <w:autoSpaceDN w:val="0"/>
        <w:adjustRightInd w:val="0"/>
        <w:spacing w:line="240" w:lineRule="auto"/>
        <w:jc w:val="both"/>
        <w:rPr>
          <w:rFonts w:cs="Segoe UI"/>
          <w:b/>
          <w:szCs w:val="20"/>
        </w:rPr>
      </w:pPr>
    </w:p>
    <w:p w14:paraId="0C39B905" w14:textId="77777777" w:rsidR="002F1A3B" w:rsidRPr="008F13C9" w:rsidRDefault="002F1A3B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sectPr w:rsidR="002F1A3B" w:rsidRPr="008F13C9" w:rsidSect="00273F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2249" w14:textId="77777777" w:rsidR="00265240" w:rsidRDefault="00265240" w:rsidP="002919BE">
      <w:r>
        <w:separator/>
      </w:r>
    </w:p>
  </w:endnote>
  <w:endnote w:type="continuationSeparator" w:id="0">
    <w:p w14:paraId="089CFDC9" w14:textId="77777777" w:rsidR="00265240" w:rsidRDefault="0026524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17BF" w14:textId="2DDB2DED" w:rsidR="0021110F" w:rsidRDefault="008F13C9">
    <w:pPr>
      <w:pStyle w:val="Zpat"/>
    </w:pPr>
    <w:r>
      <w:t>S</w:t>
    </w:r>
    <w:r w:rsidR="0067592D">
      <w:t>ml</w:t>
    </w:r>
    <w:r w:rsidR="00116458">
      <w:t>ouva</w:t>
    </w:r>
    <w:r w:rsidR="0067592D">
      <w:t xml:space="preserve"> č. 126/2025, o zpracování odborných posudků svahových nestabilit </w:t>
    </w:r>
    <w:r w:rsidR="0067592D">
      <w:rPr>
        <w:szCs w:val="20"/>
      </w:rPr>
      <w:t>v OPŽP 2021-2027</w:t>
    </w:r>
    <w:r w:rsidR="0067592D" w:rsidRPr="004E16E2">
      <w:rPr>
        <w:noProof/>
        <w:szCs w:val="16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344C932" wp14:editId="40E7525D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EAE38" w14:textId="77777777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51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51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4C93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2ACEAE38" w14:textId="77777777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6451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6451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6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BA76" w14:textId="4C7DA361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AD957D4" wp14:editId="3F0B2D1E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C3269" w14:textId="7777777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BB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BB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957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196C3269" w14:textId="7777777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1BB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1BB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6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F13C9">
      <w:t>S</w:t>
    </w:r>
    <w:r w:rsidR="002C4BD8">
      <w:t>ml</w:t>
    </w:r>
    <w:r w:rsidR="00116458">
      <w:t>ouva</w:t>
    </w:r>
    <w:r w:rsidR="002C4BD8">
      <w:t xml:space="preserve"> č. 126/2025, o zpracování odborných posudků svahových nestabilit</w:t>
    </w:r>
    <w:r w:rsidR="0067592D">
      <w:t xml:space="preserve"> </w:t>
    </w:r>
    <w:r w:rsidR="0067592D">
      <w:rPr>
        <w:szCs w:val="20"/>
      </w:rPr>
      <w:t>v OPŽP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B0EB" w14:textId="77777777" w:rsidR="00265240" w:rsidRDefault="00265240" w:rsidP="002919BE">
      <w:r>
        <w:separator/>
      </w:r>
    </w:p>
  </w:footnote>
  <w:footnote w:type="continuationSeparator" w:id="0">
    <w:p w14:paraId="6D85A48C" w14:textId="77777777" w:rsidR="00265240" w:rsidRDefault="00265240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EE5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199B6429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8089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054F9367" wp14:editId="58D6932F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3E1D"/>
    <w:multiLevelType w:val="hybridMultilevel"/>
    <w:tmpl w:val="3EE43400"/>
    <w:lvl w:ilvl="0" w:tplc="E6F4D524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2DA"/>
    <w:multiLevelType w:val="hybridMultilevel"/>
    <w:tmpl w:val="83B67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B51C81"/>
    <w:multiLevelType w:val="hybridMultilevel"/>
    <w:tmpl w:val="6158D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66B3F"/>
    <w:multiLevelType w:val="hybridMultilevel"/>
    <w:tmpl w:val="26F87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10" w15:restartNumberingAfterBreak="0">
    <w:nsid w:val="3F1F395F"/>
    <w:multiLevelType w:val="hybridMultilevel"/>
    <w:tmpl w:val="2A16F6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6A4822"/>
    <w:multiLevelType w:val="hybridMultilevel"/>
    <w:tmpl w:val="49BE8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522"/>
    <w:multiLevelType w:val="hybridMultilevel"/>
    <w:tmpl w:val="9B688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0057B7C"/>
    <w:multiLevelType w:val="hybridMultilevel"/>
    <w:tmpl w:val="BE4E6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667AD"/>
    <w:multiLevelType w:val="hybridMultilevel"/>
    <w:tmpl w:val="3D3454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78342011">
    <w:abstractNumId w:val="0"/>
  </w:num>
  <w:num w:numId="2" w16cid:durableId="1019043369">
    <w:abstractNumId w:val="11"/>
  </w:num>
  <w:num w:numId="3" w16cid:durableId="1833833025">
    <w:abstractNumId w:val="1"/>
  </w:num>
  <w:num w:numId="4" w16cid:durableId="1549220615">
    <w:abstractNumId w:val="9"/>
  </w:num>
  <w:num w:numId="5" w16cid:durableId="437144129">
    <w:abstractNumId w:val="3"/>
  </w:num>
  <w:num w:numId="6" w16cid:durableId="723942270">
    <w:abstractNumId w:val="5"/>
  </w:num>
  <w:num w:numId="7" w16cid:durableId="413355847">
    <w:abstractNumId w:val="14"/>
  </w:num>
  <w:num w:numId="8" w16cid:durableId="1645574348">
    <w:abstractNumId w:val="6"/>
  </w:num>
  <w:num w:numId="9" w16cid:durableId="896628551">
    <w:abstractNumId w:val="2"/>
  </w:num>
  <w:num w:numId="10" w16cid:durableId="275068448">
    <w:abstractNumId w:val="16"/>
  </w:num>
  <w:num w:numId="11" w16cid:durableId="1376931097">
    <w:abstractNumId w:val="12"/>
  </w:num>
  <w:num w:numId="12" w16cid:durableId="1783405">
    <w:abstractNumId w:val="13"/>
  </w:num>
  <w:num w:numId="13" w16cid:durableId="1920598616">
    <w:abstractNumId w:val="15"/>
  </w:num>
  <w:num w:numId="14" w16cid:durableId="1323000214">
    <w:abstractNumId w:val="4"/>
  </w:num>
  <w:num w:numId="15" w16cid:durableId="1770659815">
    <w:abstractNumId w:val="7"/>
  </w:num>
  <w:num w:numId="16" w16cid:durableId="1378552947">
    <w:abstractNumId w:val="10"/>
  </w:num>
  <w:num w:numId="17" w16cid:durableId="85839581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9E"/>
    <w:rsid w:val="000025F7"/>
    <w:rsid w:val="00003A9E"/>
    <w:rsid w:val="00010176"/>
    <w:rsid w:val="00014343"/>
    <w:rsid w:val="00015107"/>
    <w:rsid w:val="000174FC"/>
    <w:rsid w:val="00017D17"/>
    <w:rsid w:val="00031B1A"/>
    <w:rsid w:val="00043FEA"/>
    <w:rsid w:val="0005519E"/>
    <w:rsid w:val="000572A0"/>
    <w:rsid w:val="000622C7"/>
    <w:rsid w:val="0006484C"/>
    <w:rsid w:val="00087E80"/>
    <w:rsid w:val="00095E29"/>
    <w:rsid w:val="000A3BEA"/>
    <w:rsid w:val="000A72DB"/>
    <w:rsid w:val="000C22A0"/>
    <w:rsid w:val="000C4407"/>
    <w:rsid w:val="000D6E0A"/>
    <w:rsid w:val="000E48CB"/>
    <w:rsid w:val="000F216D"/>
    <w:rsid w:val="000F5FA6"/>
    <w:rsid w:val="001059C3"/>
    <w:rsid w:val="001063A3"/>
    <w:rsid w:val="001140CC"/>
    <w:rsid w:val="00116445"/>
    <w:rsid w:val="00116458"/>
    <w:rsid w:val="001304DF"/>
    <w:rsid w:val="0014252D"/>
    <w:rsid w:val="00144AB4"/>
    <w:rsid w:val="00145AD9"/>
    <w:rsid w:val="0016099B"/>
    <w:rsid w:val="00161FED"/>
    <w:rsid w:val="00162D05"/>
    <w:rsid w:val="00165130"/>
    <w:rsid w:val="00174D0C"/>
    <w:rsid w:val="001802E9"/>
    <w:rsid w:val="00180EE5"/>
    <w:rsid w:val="00181362"/>
    <w:rsid w:val="00190044"/>
    <w:rsid w:val="00192A6C"/>
    <w:rsid w:val="00194760"/>
    <w:rsid w:val="001A2323"/>
    <w:rsid w:val="001A4410"/>
    <w:rsid w:val="001B4361"/>
    <w:rsid w:val="001B4508"/>
    <w:rsid w:val="001B59FB"/>
    <w:rsid w:val="001C1E98"/>
    <w:rsid w:val="001C2C96"/>
    <w:rsid w:val="001C576F"/>
    <w:rsid w:val="001C705B"/>
    <w:rsid w:val="001E02A1"/>
    <w:rsid w:val="001E4626"/>
    <w:rsid w:val="001E78B9"/>
    <w:rsid w:val="001E7D08"/>
    <w:rsid w:val="001F4FAC"/>
    <w:rsid w:val="002021B8"/>
    <w:rsid w:val="0020543A"/>
    <w:rsid w:val="002102FE"/>
    <w:rsid w:val="0021110F"/>
    <w:rsid w:val="0021228C"/>
    <w:rsid w:val="00213F7F"/>
    <w:rsid w:val="0021666B"/>
    <w:rsid w:val="0021727B"/>
    <w:rsid w:val="00217EF0"/>
    <w:rsid w:val="00222550"/>
    <w:rsid w:val="00226B39"/>
    <w:rsid w:val="00231797"/>
    <w:rsid w:val="002328D5"/>
    <w:rsid w:val="0024378B"/>
    <w:rsid w:val="00246BE3"/>
    <w:rsid w:val="00254355"/>
    <w:rsid w:val="002631E8"/>
    <w:rsid w:val="00263AD2"/>
    <w:rsid w:val="00265240"/>
    <w:rsid w:val="002653D6"/>
    <w:rsid w:val="00266294"/>
    <w:rsid w:val="0027283C"/>
    <w:rsid w:val="00273F8D"/>
    <w:rsid w:val="00280D3E"/>
    <w:rsid w:val="00290CEC"/>
    <w:rsid w:val="002912EC"/>
    <w:rsid w:val="00291332"/>
    <w:rsid w:val="002919BE"/>
    <w:rsid w:val="00294468"/>
    <w:rsid w:val="002B61C9"/>
    <w:rsid w:val="002B7763"/>
    <w:rsid w:val="002C4BD8"/>
    <w:rsid w:val="002C7495"/>
    <w:rsid w:val="002C7FCC"/>
    <w:rsid w:val="002D0520"/>
    <w:rsid w:val="002D44BC"/>
    <w:rsid w:val="002D4B40"/>
    <w:rsid w:val="002E0344"/>
    <w:rsid w:val="002E11FC"/>
    <w:rsid w:val="002E2955"/>
    <w:rsid w:val="002F0101"/>
    <w:rsid w:val="002F1168"/>
    <w:rsid w:val="002F1A3B"/>
    <w:rsid w:val="002F24C9"/>
    <w:rsid w:val="00300C0C"/>
    <w:rsid w:val="00303C43"/>
    <w:rsid w:val="00303FD9"/>
    <w:rsid w:val="00304719"/>
    <w:rsid w:val="00310257"/>
    <w:rsid w:val="00313318"/>
    <w:rsid w:val="00330F7F"/>
    <w:rsid w:val="0033107B"/>
    <w:rsid w:val="00337685"/>
    <w:rsid w:val="003535B8"/>
    <w:rsid w:val="00354246"/>
    <w:rsid w:val="00363743"/>
    <w:rsid w:val="00364515"/>
    <w:rsid w:val="00373946"/>
    <w:rsid w:val="00393310"/>
    <w:rsid w:val="003950BE"/>
    <w:rsid w:val="00396663"/>
    <w:rsid w:val="00396E40"/>
    <w:rsid w:val="003A077B"/>
    <w:rsid w:val="003A5C2F"/>
    <w:rsid w:val="003B4658"/>
    <w:rsid w:val="003C3804"/>
    <w:rsid w:val="003C475A"/>
    <w:rsid w:val="003D281C"/>
    <w:rsid w:val="003D6E76"/>
    <w:rsid w:val="003F0813"/>
    <w:rsid w:val="003F1801"/>
    <w:rsid w:val="00405038"/>
    <w:rsid w:val="004069E4"/>
    <w:rsid w:val="004075F7"/>
    <w:rsid w:val="004076C8"/>
    <w:rsid w:val="00412864"/>
    <w:rsid w:val="004161CD"/>
    <w:rsid w:val="00416DCB"/>
    <w:rsid w:val="0042137A"/>
    <w:rsid w:val="0042285C"/>
    <w:rsid w:val="00434099"/>
    <w:rsid w:val="00434EB8"/>
    <w:rsid w:val="0044795B"/>
    <w:rsid w:val="00451A8A"/>
    <w:rsid w:val="0045230F"/>
    <w:rsid w:val="00453E7D"/>
    <w:rsid w:val="0045784E"/>
    <w:rsid w:val="004735EC"/>
    <w:rsid w:val="0047563F"/>
    <w:rsid w:val="0048041B"/>
    <w:rsid w:val="004842FE"/>
    <w:rsid w:val="00493B24"/>
    <w:rsid w:val="00496903"/>
    <w:rsid w:val="004A02F7"/>
    <w:rsid w:val="004A1045"/>
    <w:rsid w:val="004A33BA"/>
    <w:rsid w:val="004A3FB1"/>
    <w:rsid w:val="004B2DCD"/>
    <w:rsid w:val="004C6449"/>
    <w:rsid w:val="004F15D7"/>
    <w:rsid w:val="004F1E87"/>
    <w:rsid w:val="004F6005"/>
    <w:rsid w:val="004F69D1"/>
    <w:rsid w:val="00503251"/>
    <w:rsid w:val="00504B92"/>
    <w:rsid w:val="00522FF7"/>
    <w:rsid w:val="00523B13"/>
    <w:rsid w:val="00525443"/>
    <w:rsid w:val="00543A93"/>
    <w:rsid w:val="00547023"/>
    <w:rsid w:val="00550AE2"/>
    <w:rsid w:val="00554AF1"/>
    <w:rsid w:val="00556917"/>
    <w:rsid w:val="00556C9C"/>
    <w:rsid w:val="00560A54"/>
    <w:rsid w:val="005667AB"/>
    <w:rsid w:val="0058049B"/>
    <w:rsid w:val="00594800"/>
    <w:rsid w:val="00597F1D"/>
    <w:rsid w:val="005A799A"/>
    <w:rsid w:val="005A7D50"/>
    <w:rsid w:val="005B2890"/>
    <w:rsid w:val="005C0CB0"/>
    <w:rsid w:val="005C5619"/>
    <w:rsid w:val="005C71AE"/>
    <w:rsid w:val="005D4501"/>
    <w:rsid w:val="005D4C81"/>
    <w:rsid w:val="005D5116"/>
    <w:rsid w:val="005E23D2"/>
    <w:rsid w:val="005E4C04"/>
    <w:rsid w:val="005F164F"/>
    <w:rsid w:val="005F6613"/>
    <w:rsid w:val="00601FCA"/>
    <w:rsid w:val="00602AC0"/>
    <w:rsid w:val="00603A64"/>
    <w:rsid w:val="00620423"/>
    <w:rsid w:val="006268DC"/>
    <w:rsid w:val="00644C8F"/>
    <w:rsid w:val="006545D7"/>
    <w:rsid w:val="00665ACE"/>
    <w:rsid w:val="00666D3A"/>
    <w:rsid w:val="0067592D"/>
    <w:rsid w:val="006778A3"/>
    <w:rsid w:val="0068286E"/>
    <w:rsid w:val="00691251"/>
    <w:rsid w:val="006A1458"/>
    <w:rsid w:val="006A1809"/>
    <w:rsid w:val="006A1BB8"/>
    <w:rsid w:val="006A3208"/>
    <w:rsid w:val="006C1778"/>
    <w:rsid w:val="006C2945"/>
    <w:rsid w:val="006D1B9B"/>
    <w:rsid w:val="006D7F6E"/>
    <w:rsid w:val="006F190C"/>
    <w:rsid w:val="006F53EB"/>
    <w:rsid w:val="00703515"/>
    <w:rsid w:val="00706BC1"/>
    <w:rsid w:val="00732CE9"/>
    <w:rsid w:val="00740361"/>
    <w:rsid w:val="00744FC0"/>
    <w:rsid w:val="00752956"/>
    <w:rsid w:val="0076286D"/>
    <w:rsid w:val="00766715"/>
    <w:rsid w:val="00772E83"/>
    <w:rsid w:val="007776BC"/>
    <w:rsid w:val="007836F6"/>
    <w:rsid w:val="00794CF6"/>
    <w:rsid w:val="0079583F"/>
    <w:rsid w:val="007B361E"/>
    <w:rsid w:val="007B3EB9"/>
    <w:rsid w:val="007B650C"/>
    <w:rsid w:val="007E1C98"/>
    <w:rsid w:val="007E49CC"/>
    <w:rsid w:val="00802FBB"/>
    <w:rsid w:val="0081583B"/>
    <w:rsid w:val="00831AE2"/>
    <w:rsid w:val="0083451E"/>
    <w:rsid w:val="00841D32"/>
    <w:rsid w:val="00847C1F"/>
    <w:rsid w:val="00860937"/>
    <w:rsid w:val="008813C3"/>
    <w:rsid w:val="00883C07"/>
    <w:rsid w:val="008A001A"/>
    <w:rsid w:val="008A2E69"/>
    <w:rsid w:val="008A32CC"/>
    <w:rsid w:val="008A34D9"/>
    <w:rsid w:val="008A5C65"/>
    <w:rsid w:val="008A618F"/>
    <w:rsid w:val="008A6DEF"/>
    <w:rsid w:val="008B3EA9"/>
    <w:rsid w:val="008B6B65"/>
    <w:rsid w:val="008B6DFE"/>
    <w:rsid w:val="008C2981"/>
    <w:rsid w:val="008C3015"/>
    <w:rsid w:val="008E0536"/>
    <w:rsid w:val="008E6B14"/>
    <w:rsid w:val="008E7DA0"/>
    <w:rsid w:val="008F06AB"/>
    <w:rsid w:val="008F13C9"/>
    <w:rsid w:val="008F292F"/>
    <w:rsid w:val="00900624"/>
    <w:rsid w:val="0090127A"/>
    <w:rsid w:val="00902319"/>
    <w:rsid w:val="009052EA"/>
    <w:rsid w:val="00914FFE"/>
    <w:rsid w:val="009343D8"/>
    <w:rsid w:val="00935504"/>
    <w:rsid w:val="009424E3"/>
    <w:rsid w:val="0095505C"/>
    <w:rsid w:val="00964E4E"/>
    <w:rsid w:val="009720DC"/>
    <w:rsid w:val="00972B5C"/>
    <w:rsid w:val="009813E2"/>
    <w:rsid w:val="009817BB"/>
    <w:rsid w:val="00983C4B"/>
    <w:rsid w:val="00984C8A"/>
    <w:rsid w:val="009975D9"/>
    <w:rsid w:val="009A1445"/>
    <w:rsid w:val="009A2980"/>
    <w:rsid w:val="009A3B4B"/>
    <w:rsid w:val="009A63B4"/>
    <w:rsid w:val="009A6460"/>
    <w:rsid w:val="009A7E31"/>
    <w:rsid w:val="009B1C8D"/>
    <w:rsid w:val="009C23B9"/>
    <w:rsid w:val="009D0FBE"/>
    <w:rsid w:val="009E29FF"/>
    <w:rsid w:val="009F4103"/>
    <w:rsid w:val="00A0338D"/>
    <w:rsid w:val="00A04AED"/>
    <w:rsid w:val="00A16271"/>
    <w:rsid w:val="00A231CF"/>
    <w:rsid w:val="00A24521"/>
    <w:rsid w:val="00A24C36"/>
    <w:rsid w:val="00A304B9"/>
    <w:rsid w:val="00A36982"/>
    <w:rsid w:val="00A469DD"/>
    <w:rsid w:val="00A50A04"/>
    <w:rsid w:val="00A53E98"/>
    <w:rsid w:val="00A54C48"/>
    <w:rsid w:val="00A55B93"/>
    <w:rsid w:val="00A57F25"/>
    <w:rsid w:val="00A63CB5"/>
    <w:rsid w:val="00A63F70"/>
    <w:rsid w:val="00A65BA5"/>
    <w:rsid w:val="00A74511"/>
    <w:rsid w:val="00A86812"/>
    <w:rsid w:val="00A9721C"/>
    <w:rsid w:val="00A97D4B"/>
    <w:rsid w:val="00AA080A"/>
    <w:rsid w:val="00AA1042"/>
    <w:rsid w:val="00AA2540"/>
    <w:rsid w:val="00AA2F00"/>
    <w:rsid w:val="00AA3C49"/>
    <w:rsid w:val="00AA7C55"/>
    <w:rsid w:val="00AB1745"/>
    <w:rsid w:val="00AB3BD1"/>
    <w:rsid w:val="00AB5F08"/>
    <w:rsid w:val="00AB71C7"/>
    <w:rsid w:val="00AC6F43"/>
    <w:rsid w:val="00AC7D00"/>
    <w:rsid w:val="00AD232A"/>
    <w:rsid w:val="00AD62CB"/>
    <w:rsid w:val="00AE14B4"/>
    <w:rsid w:val="00AE388F"/>
    <w:rsid w:val="00B0244A"/>
    <w:rsid w:val="00B02946"/>
    <w:rsid w:val="00B16A4A"/>
    <w:rsid w:val="00B22569"/>
    <w:rsid w:val="00B2636E"/>
    <w:rsid w:val="00B31E57"/>
    <w:rsid w:val="00B32589"/>
    <w:rsid w:val="00B37BAE"/>
    <w:rsid w:val="00B40927"/>
    <w:rsid w:val="00B40BBC"/>
    <w:rsid w:val="00B40CCD"/>
    <w:rsid w:val="00B609C2"/>
    <w:rsid w:val="00B727F2"/>
    <w:rsid w:val="00B72CCB"/>
    <w:rsid w:val="00B76884"/>
    <w:rsid w:val="00B825DA"/>
    <w:rsid w:val="00B82CE2"/>
    <w:rsid w:val="00B850D2"/>
    <w:rsid w:val="00B87FA8"/>
    <w:rsid w:val="00B9276D"/>
    <w:rsid w:val="00B9289D"/>
    <w:rsid w:val="00B92C29"/>
    <w:rsid w:val="00B9385D"/>
    <w:rsid w:val="00B97504"/>
    <w:rsid w:val="00B9752D"/>
    <w:rsid w:val="00B97BE7"/>
    <w:rsid w:val="00BA0CD2"/>
    <w:rsid w:val="00BB6554"/>
    <w:rsid w:val="00BC7209"/>
    <w:rsid w:val="00BC7FC8"/>
    <w:rsid w:val="00BD1194"/>
    <w:rsid w:val="00BE0377"/>
    <w:rsid w:val="00BE65ED"/>
    <w:rsid w:val="00BF0506"/>
    <w:rsid w:val="00C10E31"/>
    <w:rsid w:val="00C12DD2"/>
    <w:rsid w:val="00C150F7"/>
    <w:rsid w:val="00C2303F"/>
    <w:rsid w:val="00C33549"/>
    <w:rsid w:val="00C429FC"/>
    <w:rsid w:val="00C434E0"/>
    <w:rsid w:val="00C437B1"/>
    <w:rsid w:val="00C451D7"/>
    <w:rsid w:val="00C46D79"/>
    <w:rsid w:val="00C61130"/>
    <w:rsid w:val="00C647F8"/>
    <w:rsid w:val="00C66BC8"/>
    <w:rsid w:val="00C72608"/>
    <w:rsid w:val="00C73EB4"/>
    <w:rsid w:val="00C772B1"/>
    <w:rsid w:val="00C77EA8"/>
    <w:rsid w:val="00C84397"/>
    <w:rsid w:val="00C91A8E"/>
    <w:rsid w:val="00C935B7"/>
    <w:rsid w:val="00C96622"/>
    <w:rsid w:val="00C96EA8"/>
    <w:rsid w:val="00CA22E9"/>
    <w:rsid w:val="00CA507F"/>
    <w:rsid w:val="00CA5C40"/>
    <w:rsid w:val="00CC2DA9"/>
    <w:rsid w:val="00CC5B72"/>
    <w:rsid w:val="00CC69B6"/>
    <w:rsid w:val="00CD142F"/>
    <w:rsid w:val="00CD515F"/>
    <w:rsid w:val="00CE1044"/>
    <w:rsid w:val="00CE1F09"/>
    <w:rsid w:val="00CE65BE"/>
    <w:rsid w:val="00CF1BED"/>
    <w:rsid w:val="00CF2608"/>
    <w:rsid w:val="00D00DAB"/>
    <w:rsid w:val="00D04E57"/>
    <w:rsid w:val="00D05068"/>
    <w:rsid w:val="00D05996"/>
    <w:rsid w:val="00D1541C"/>
    <w:rsid w:val="00D17E26"/>
    <w:rsid w:val="00D22DD0"/>
    <w:rsid w:val="00D2391E"/>
    <w:rsid w:val="00D244E4"/>
    <w:rsid w:val="00D364F9"/>
    <w:rsid w:val="00D4647F"/>
    <w:rsid w:val="00D53197"/>
    <w:rsid w:val="00D543DF"/>
    <w:rsid w:val="00D679C2"/>
    <w:rsid w:val="00D75C26"/>
    <w:rsid w:val="00D76C1E"/>
    <w:rsid w:val="00D828A9"/>
    <w:rsid w:val="00D93472"/>
    <w:rsid w:val="00DA0BC9"/>
    <w:rsid w:val="00DB1C41"/>
    <w:rsid w:val="00DB364C"/>
    <w:rsid w:val="00DC6514"/>
    <w:rsid w:val="00DD05B1"/>
    <w:rsid w:val="00DF4E23"/>
    <w:rsid w:val="00DF5348"/>
    <w:rsid w:val="00DF6B61"/>
    <w:rsid w:val="00E02CB0"/>
    <w:rsid w:val="00E04E81"/>
    <w:rsid w:val="00E07931"/>
    <w:rsid w:val="00E13836"/>
    <w:rsid w:val="00E138A9"/>
    <w:rsid w:val="00E17D0E"/>
    <w:rsid w:val="00E24084"/>
    <w:rsid w:val="00E25075"/>
    <w:rsid w:val="00E33936"/>
    <w:rsid w:val="00E34671"/>
    <w:rsid w:val="00E45495"/>
    <w:rsid w:val="00E54577"/>
    <w:rsid w:val="00E62959"/>
    <w:rsid w:val="00E71A95"/>
    <w:rsid w:val="00E757C4"/>
    <w:rsid w:val="00E760E7"/>
    <w:rsid w:val="00E865F5"/>
    <w:rsid w:val="00E948BD"/>
    <w:rsid w:val="00EA2779"/>
    <w:rsid w:val="00EB46D6"/>
    <w:rsid w:val="00EB4A85"/>
    <w:rsid w:val="00EB6FC7"/>
    <w:rsid w:val="00EC1BFB"/>
    <w:rsid w:val="00ED0039"/>
    <w:rsid w:val="00ED2661"/>
    <w:rsid w:val="00ED6FA0"/>
    <w:rsid w:val="00EF64B7"/>
    <w:rsid w:val="00EF6814"/>
    <w:rsid w:val="00F02675"/>
    <w:rsid w:val="00F17AF4"/>
    <w:rsid w:val="00F227E7"/>
    <w:rsid w:val="00F27B5C"/>
    <w:rsid w:val="00F37FA0"/>
    <w:rsid w:val="00F43E43"/>
    <w:rsid w:val="00F47E13"/>
    <w:rsid w:val="00F559AD"/>
    <w:rsid w:val="00F55CD6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2D6E"/>
    <w:rsid w:val="00FB755D"/>
    <w:rsid w:val="00FC3010"/>
    <w:rsid w:val="00FC5AEE"/>
    <w:rsid w:val="00FC7EE0"/>
    <w:rsid w:val="00FD3087"/>
    <w:rsid w:val="00FD6D79"/>
    <w:rsid w:val="00FE77DF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DAC72"/>
  <w15:docId w15:val="{D4159842-B5B1-4B31-8F01-EDE3C45B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12EC"/>
    <w:pPr>
      <w:keepNext/>
      <w:numPr>
        <w:numId w:val="7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59AD"/>
    <w:pPr>
      <w:numPr>
        <w:ilvl w:val="1"/>
        <w:numId w:val="7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8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7"/>
      </w:numPr>
      <w:spacing w:after="120"/>
      <w:jc w:val="both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393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A1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geolog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5D79-F5BE-4E05-BE00-624DEBA1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2318</Words>
  <Characters>13680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Dittmannová Jaromíra</dc:creator>
  <cp:lastModifiedBy>Dittmannová Jaromíra</cp:lastModifiedBy>
  <cp:revision>2</cp:revision>
  <cp:lastPrinted>2016-04-01T13:31:00Z</cp:lastPrinted>
  <dcterms:created xsi:type="dcterms:W3CDTF">2025-11-20T21:33:00Z</dcterms:created>
  <dcterms:modified xsi:type="dcterms:W3CDTF">2025-11-20T21:33:00Z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4928fe2a-174f-4d3c-b48e-55e8182470d7</vt:lpwstr>
  </property>
</Properties>
</file>