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BA43" w14:textId="77777777" w:rsidR="00DB247F" w:rsidRDefault="00261716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2B827774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472D722F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35825522" w14:textId="77777777" w:rsidR="00DB247F" w:rsidRDefault="00DB247F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4FD11D0" w14:textId="18B1BD2A" w:rsidR="008570AE" w:rsidRDefault="00261716" w:rsidP="007F4895">
      <w:pPr>
        <w:widowControl w:val="0"/>
        <w:tabs>
          <w:tab w:val="left" w:pos="212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70AE">
        <w:rPr>
          <w:rFonts w:ascii="Times New Roman" w:eastAsia="Times New Roman" w:hAnsi="Times New Roman" w:cs="Times New Roman"/>
          <w:b/>
          <w:bCs/>
          <w:sz w:val="22"/>
          <w:szCs w:val="22"/>
        </w:rPr>
        <w:t>Název:</w:t>
      </w:r>
      <w:r w:rsidR="00E915D8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="00E915D8" w:rsidRPr="00E915D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ZL </w:t>
      </w:r>
      <w:proofErr w:type="spellStart"/>
      <w:r w:rsidR="00E915D8" w:rsidRPr="00E915D8">
        <w:rPr>
          <w:rFonts w:ascii="Times New Roman" w:eastAsia="Times New Roman" w:hAnsi="Times New Roman" w:cs="Times New Roman"/>
          <w:b/>
          <w:bCs/>
          <w:sz w:val="22"/>
          <w:szCs w:val="22"/>
        </w:rPr>
        <w:t>Production</w:t>
      </w:r>
      <w:proofErr w:type="spellEnd"/>
      <w:r w:rsidR="00E915D8" w:rsidRPr="00E915D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s.r.o.</w:t>
      </w:r>
      <w:r w:rsidRPr="008570AE">
        <w:rPr>
          <w:rFonts w:ascii="Times New Roman" w:eastAsia="Times New Roman" w:hAnsi="Times New Roman" w:cs="Times New Roman"/>
          <w:b/>
          <w:bCs/>
          <w:sz w:val="22"/>
          <w:szCs w:val="22"/>
        </w:rPr>
        <w:br/>
      </w:r>
      <w:r w:rsidR="008570AE">
        <w:rPr>
          <w:rFonts w:ascii="Times New Roman" w:eastAsia="Times New Roman" w:hAnsi="Times New Roman" w:cs="Times New Roman"/>
          <w:sz w:val="22"/>
          <w:szCs w:val="22"/>
        </w:rPr>
        <w:t>Sídlem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  <w:r w:rsidR="00E915D8">
        <w:rPr>
          <w:rFonts w:ascii="Times New Roman" w:eastAsia="Times New Roman" w:hAnsi="Times New Roman" w:cs="Times New Roman"/>
          <w:sz w:val="22"/>
          <w:szCs w:val="22"/>
        </w:rPr>
        <w:tab/>
      </w:r>
      <w:r w:rsidR="00E915D8" w:rsidRPr="00E915D8">
        <w:rPr>
          <w:rFonts w:ascii="Times New Roman" w:eastAsia="Times New Roman" w:hAnsi="Times New Roman" w:cs="Times New Roman"/>
          <w:sz w:val="22"/>
          <w:szCs w:val="22"/>
        </w:rPr>
        <w:t>Brojova 2113/16</w:t>
      </w:r>
      <w:r w:rsidR="00E915D8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E915D8" w:rsidRPr="00E915D8">
        <w:rPr>
          <w:rFonts w:ascii="Times New Roman" w:eastAsia="Times New Roman" w:hAnsi="Times New Roman" w:cs="Times New Roman"/>
          <w:sz w:val="22"/>
          <w:szCs w:val="22"/>
        </w:rPr>
        <w:t>326 00 PLZEŇ 26</w:t>
      </w:r>
    </w:p>
    <w:p w14:paraId="0D893847" w14:textId="1511053D" w:rsidR="008570AE" w:rsidRDefault="00261716" w:rsidP="007F4895">
      <w:pPr>
        <w:widowControl w:val="0"/>
        <w:tabs>
          <w:tab w:val="left" w:pos="212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IČ/DIČ:</w:t>
      </w:r>
      <w:r w:rsidR="00E915D8">
        <w:rPr>
          <w:rFonts w:ascii="Times New Roman" w:eastAsia="Times New Roman" w:hAnsi="Times New Roman" w:cs="Times New Roman"/>
          <w:sz w:val="22"/>
          <w:szCs w:val="22"/>
        </w:rPr>
        <w:tab/>
      </w:r>
      <w:r w:rsidR="00E915D8" w:rsidRPr="00E915D8">
        <w:rPr>
          <w:rFonts w:ascii="Times New Roman" w:eastAsia="Times New Roman" w:hAnsi="Times New Roman" w:cs="Times New Roman"/>
          <w:sz w:val="22"/>
          <w:szCs w:val="22"/>
        </w:rPr>
        <w:t>26398443</w:t>
      </w:r>
      <w:r w:rsidR="00E915D8">
        <w:rPr>
          <w:rFonts w:ascii="Times New Roman" w:eastAsia="Times New Roman" w:hAnsi="Times New Roman" w:cs="Times New Roman"/>
          <w:sz w:val="22"/>
          <w:szCs w:val="22"/>
        </w:rPr>
        <w:t>/</w:t>
      </w:r>
      <w:r w:rsidR="00E915D8" w:rsidRPr="00E915D8">
        <w:rPr>
          <w:rFonts w:ascii="Times New Roman" w:eastAsia="Times New Roman" w:hAnsi="Times New Roman" w:cs="Times New Roman"/>
          <w:sz w:val="22"/>
          <w:szCs w:val="22"/>
        </w:rPr>
        <w:t>CZ26398443</w:t>
      </w:r>
    </w:p>
    <w:p w14:paraId="45FCBAF4" w14:textId="17787682" w:rsidR="008570AE" w:rsidRDefault="00261716" w:rsidP="007F4895">
      <w:pPr>
        <w:widowControl w:val="0"/>
        <w:tabs>
          <w:tab w:val="left" w:pos="212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Kontakt:</w:t>
      </w:r>
      <w:r w:rsidR="008570AE">
        <w:rPr>
          <w:rFonts w:ascii="Times New Roman" w:eastAsia="Times New Roman" w:hAnsi="Times New Roman" w:cs="Times New Roman"/>
          <w:sz w:val="22"/>
          <w:szCs w:val="22"/>
        </w:rPr>
        <w:tab/>
      </w:r>
      <w:r w:rsidR="00E915D8">
        <w:rPr>
          <w:rFonts w:ascii="Times New Roman" w:eastAsia="Times New Roman" w:hAnsi="Times New Roman" w:cs="Times New Roman"/>
          <w:sz w:val="22"/>
          <w:szCs w:val="22"/>
        </w:rPr>
        <w:t xml:space="preserve">Jan </w:t>
      </w:r>
      <w:proofErr w:type="spellStart"/>
      <w:r w:rsidR="00E915D8">
        <w:rPr>
          <w:rFonts w:ascii="Times New Roman" w:eastAsia="Times New Roman" w:hAnsi="Times New Roman" w:cs="Times New Roman"/>
          <w:sz w:val="22"/>
          <w:szCs w:val="22"/>
        </w:rPr>
        <w:t>Lippert</w:t>
      </w:r>
      <w:proofErr w:type="spellEnd"/>
      <w:r w:rsidR="00E915D8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="00DF15E3">
        <w:rPr>
          <w:rFonts w:ascii="Times New Roman" w:eastAsia="Times New Roman" w:hAnsi="Times New Roman" w:cs="Times New Roman"/>
          <w:sz w:val="22"/>
          <w:szCs w:val="22"/>
        </w:rPr>
        <w:t>xxxxxxxxxxxxx</w:t>
      </w:r>
      <w:proofErr w:type="spellEnd"/>
      <w:r w:rsidR="00E915D8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DF15E3">
        <w:rPr>
          <w:rFonts w:ascii="Times New Roman" w:eastAsia="Times New Roman" w:hAnsi="Times New Roman" w:cs="Times New Roman"/>
          <w:sz w:val="22"/>
          <w:szCs w:val="22"/>
        </w:rPr>
        <w:t>xxxxxxxxxxxxxxxxx</w:t>
      </w:r>
    </w:p>
    <w:p w14:paraId="22FEB249" w14:textId="7AF8AE57" w:rsidR="008A44C5" w:rsidRDefault="00261716" w:rsidP="008570AE">
      <w:pPr>
        <w:widowControl w:val="0"/>
        <w:tabs>
          <w:tab w:val="left" w:pos="1701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A44C5">
        <w:rPr>
          <w:rFonts w:ascii="Times New Roman" w:eastAsia="Times New Roman" w:hAnsi="Times New Roman" w:cs="Times New Roman"/>
          <w:sz w:val="22"/>
          <w:szCs w:val="22"/>
        </w:rPr>
        <w:t>Organizace je vedena v</w:t>
      </w:r>
      <w:r w:rsidR="00E915D8">
        <w:rPr>
          <w:rFonts w:ascii="Times New Roman" w:eastAsia="Times New Roman" w:hAnsi="Times New Roman" w:cs="Times New Roman"/>
          <w:sz w:val="22"/>
          <w:szCs w:val="22"/>
        </w:rPr>
        <w:t xml:space="preserve"> obchodním </w:t>
      </w:r>
      <w:r w:rsidRPr="008A44C5">
        <w:rPr>
          <w:rFonts w:ascii="Times New Roman" w:eastAsia="Times New Roman" w:hAnsi="Times New Roman" w:cs="Times New Roman"/>
          <w:sz w:val="22"/>
          <w:szCs w:val="22"/>
        </w:rPr>
        <w:t>rejstříku</w:t>
      </w:r>
      <w:r w:rsidR="00E915D8">
        <w:rPr>
          <w:rFonts w:ascii="Times New Roman" w:eastAsia="Times New Roman" w:hAnsi="Times New Roman" w:cs="Times New Roman"/>
          <w:sz w:val="22"/>
          <w:szCs w:val="22"/>
        </w:rPr>
        <w:t xml:space="preserve"> u Krajského soudu v Plzni pod spis. značkou C17733.</w:t>
      </w:r>
    </w:p>
    <w:p w14:paraId="6408CDF2" w14:textId="3D5C8FA0" w:rsidR="00DB247F" w:rsidRDefault="00261716" w:rsidP="008570AE">
      <w:pPr>
        <w:widowControl w:val="0"/>
        <w:tabs>
          <w:tab w:val="left" w:pos="1701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40D19987" w14:textId="77777777" w:rsidR="00DB247F" w:rsidRDefault="00DB247F" w:rsidP="008570AE">
      <w:pPr>
        <w:widowControl w:val="0"/>
        <w:tabs>
          <w:tab w:val="left" w:pos="1701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3FB9700" w14:textId="77777777" w:rsidR="00DB247F" w:rsidRDefault="00261716" w:rsidP="008570AE">
      <w:pPr>
        <w:widowControl w:val="0"/>
        <w:tabs>
          <w:tab w:val="left" w:pos="1701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25DCB55E" w14:textId="77777777" w:rsidR="00DB247F" w:rsidRDefault="00DB247F" w:rsidP="008570AE">
      <w:pPr>
        <w:widowControl w:val="0"/>
        <w:tabs>
          <w:tab w:val="left" w:pos="1701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57464DB" w14:textId="6DB202F9" w:rsidR="008570AE" w:rsidRDefault="008570AE" w:rsidP="008570AE">
      <w:pPr>
        <w:widowControl w:val="0"/>
        <w:tabs>
          <w:tab w:val="left" w:pos="212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Název: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9A08F9">
        <w:rPr>
          <w:rFonts w:ascii="Times New Roman" w:eastAsia="Times New Roman" w:hAnsi="Times New Roman" w:cs="Times New Roman"/>
          <w:b/>
          <w:sz w:val="22"/>
          <w:szCs w:val="22"/>
        </w:rPr>
        <w:t>Janáčkova filharmonie Ostrava, příspěvková organizace</w:t>
      </w:r>
      <w:r w:rsidR="009A08F9"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Sídlem: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U</w:t>
      </w:r>
      <w:r w:rsidR="009A08F9">
        <w:rPr>
          <w:rFonts w:ascii="Times New Roman" w:eastAsia="Times New Roman" w:hAnsi="Times New Roman" w:cs="Times New Roman"/>
          <w:sz w:val="22"/>
          <w:szCs w:val="22"/>
        </w:rPr>
        <w:t xml:space="preserve">l. 28. října 2556/124, 702 00 </w:t>
      </w:r>
      <w:r>
        <w:rPr>
          <w:rFonts w:ascii="Times New Roman" w:eastAsia="Times New Roman" w:hAnsi="Times New Roman" w:cs="Times New Roman"/>
          <w:sz w:val="22"/>
          <w:szCs w:val="22"/>
        </w:rPr>
        <w:t>Ostrava – Moravská</w:t>
      </w:r>
      <w:r w:rsidR="009A08F9">
        <w:rPr>
          <w:rFonts w:ascii="Times New Roman" w:eastAsia="Times New Roman" w:hAnsi="Times New Roman" w:cs="Times New Roman"/>
          <w:sz w:val="22"/>
          <w:szCs w:val="22"/>
        </w:rPr>
        <w:t xml:space="preserve"> Ostrava, Česká republika</w:t>
      </w:r>
    </w:p>
    <w:p w14:paraId="158BFCEE" w14:textId="77777777" w:rsidR="008570AE" w:rsidRDefault="009A08F9" w:rsidP="008570AE">
      <w:pPr>
        <w:widowControl w:val="0"/>
        <w:tabs>
          <w:tab w:val="left" w:pos="212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</w:t>
      </w:r>
      <w:r w:rsidR="008570AE">
        <w:rPr>
          <w:rFonts w:ascii="Times New Roman" w:eastAsia="Times New Roman" w:hAnsi="Times New Roman" w:cs="Times New Roman"/>
          <w:sz w:val="22"/>
          <w:szCs w:val="22"/>
        </w:rPr>
        <w:t>/DIČ:</w:t>
      </w:r>
      <w:r w:rsidR="008570AE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00373222</w:t>
      </w:r>
      <w:r w:rsidR="008570AE">
        <w:rPr>
          <w:rFonts w:ascii="Times New Roman" w:eastAsia="Times New Roman" w:hAnsi="Times New Roman" w:cs="Times New Roman"/>
          <w:sz w:val="22"/>
          <w:szCs w:val="22"/>
        </w:rPr>
        <w:t xml:space="preserve"> / </w:t>
      </w:r>
      <w:r>
        <w:rPr>
          <w:rFonts w:ascii="Times New Roman" w:eastAsia="Times New Roman" w:hAnsi="Times New Roman" w:cs="Times New Roman"/>
          <w:sz w:val="22"/>
          <w:szCs w:val="22"/>
        </w:rPr>
        <w:t>CZ00373222</w:t>
      </w:r>
    </w:p>
    <w:p w14:paraId="390FED38" w14:textId="42AD831E" w:rsidR="009A08F9" w:rsidRDefault="008570AE" w:rsidP="008570AE">
      <w:pPr>
        <w:widowControl w:val="0"/>
        <w:tabs>
          <w:tab w:val="left" w:pos="212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9A08F9">
        <w:rPr>
          <w:rFonts w:ascii="Times New Roman" w:eastAsia="Times New Roman" w:hAnsi="Times New Roman" w:cs="Times New Roman"/>
          <w:sz w:val="22"/>
          <w:szCs w:val="22"/>
        </w:rPr>
        <w:t>Mgr. Janem Žemlou, ředitelem</w:t>
      </w:r>
      <w:r w:rsidR="009A08F9"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 w:rsidR="009A08F9"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330C56CF" w14:textId="1212213F" w:rsidR="00DB247F" w:rsidRDefault="009A08F9" w:rsidP="008570AE">
      <w:pPr>
        <w:widowControl w:val="0"/>
        <w:tabs>
          <w:tab w:val="left" w:pos="212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8570AE">
        <w:rPr>
          <w:rFonts w:ascii="Times New Roman" w:eastAsia="Times New Roman" w:hAnsi="Times New Roman" w:cs="Times New Roman"/>
          <w:sz w:val="22"/>
          <w:szCs w:val="22"/>
        </w:rPr>
        <w:t>Korespondenční adresa:</w:t>
      </w:r>
      <w:r w:rsidR="008570AE">
        <w:rPr>
          <w:rFonts w:ascii="Times New Roman" w:eastAsia="Times New Roman" w:hAnsi="Times New Roman" w:cs="Times New Roman"/>
          <w:sz w:val="22"/>
          <w:szCs w:val="22"/>
        </w:rPr>
        <w:tab/>
      </w:r>
      <w:r w:rsidRPr="008570AE">
        <w:rPr>
          <w:rFonts w:ascii="Times New Roman" w:eastAsia="Times New Roman" w:hAnsi="Times New Roman" w:cs="Times New Roman"/>
          <w:sz w:val="22"/>
          <w:szCs w:val="22"/>
        </w:rPr>
        <w:t>Varenská Office Center, Varenská 2723/51, 702 00 Ostrava</w:t>
      </w:r>
      <w:r w:rsidRPr="008570AE">
        <w:rPr>
          <w:rFonts w:ascii="Times New Roman" w:eastAsia="Times New Roman" w:hAnsi="Times New Roman" w:cs="Times New Roman"/>
          <w:sz w:val="22"/>
          <w:szCs w:val="22"/>
        </w:rPr>
        <w:br/>
      </w:r>
      <w:r w:rsidR="00261716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261716"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 w:rsidR="00261716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7B6B1864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693A252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A44C5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8A44C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A44C5"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 w:rsidRPr="008A44C5">
        <w:rPr>
          <w:rFonts w:ascii="Times New Roman" w:eastAsia="Times New Roman" w:hAnsi="Times New Roman" w:cs="Times New Roman"/>
          <w:sz w:val="22"/>
          <w:szCs w:val="22"/>
        </w:rPr>
        <w:br/>
        <w:t>Majitel účtu (jméno): Janáčkova filharmonie Ostrava</w:t>
      </w:r>
      <w:r w:rsidRPr="008A44C5">
        <w:rPr>
          <w:rFonts w:ascii="Times New Roman" w:eastAsia="Times New Roman" w:hAnsi="Times New Roman" w:cs="Times New Roman"/>
          <w:sz w:val="22"/>
          <w:szCs w:val="22"/>
        </w:rPr>
        <w:br/>
        <w:t>Číslo účtu: 3139761/0100</w:t>
      </w:r>
      <w:r w:rsidRPr="008A44C5">
        <w:rPr>
          <w:rFonts w:ascii="Times New Roman" w:eastAsia="Times New Roman" w:hAnsi="Times New Roman" w:cs="Times New Roman"/>
          <w:sz w:val="22"/>
          <w:szCs w:val="22"/>
        </w:rPr>
        <w:br/>
        <w:t>Název banky: Komerční banka, a.s.</w:t>
      </w:r>
    </w:p>
    <w:p w14:paraId="76C1E122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5C994893" w14:textId="339B5C82" w:rsidR="00DB247F" w:rsidRDefault="00261716" w:rsidP="008570AE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  <w:r w:rsidR="008570AE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</w:p>
    <w:p w14:paraId="7F822423" w14:textId="2FDA9C3F" w:rsidR="008A44C5" w:rsidRDefault="008A44C5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33C11361" w14:textId="77777777" w:rsidR="00DB247F" w:rsidRDefault="00261716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3" w:name="_3znysh7" w:colFirst="0" w:colLast="0"/>
      <w:bookmarkStart w:id="4" w:name="_2et92p0" w:colFirst="0" w:colLast="0"/>
      <w:bookmarkEnd w:id="3"/>
      <w:bookmarkEnd w:id="4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1111327A" w14:textId="77777777" w:rsidR="00DB247F" w:rsidRDefault="00DB247F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CA3BAC" w14:textId="6E178F55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  <w:r w:rsidR="008A44C5">
        <w:rPr>
          <w:rFonts w:ascii="Times New Roman" w:eastAsia="Times New Roman" w:hAnsi="Times New Roman" w:cs="Times New Roman"/>
          <w:sz w:val="22"/>
          <w:szCs w:val="22"/>
        </w:rPr>
        <w:t>Richard Krajčo: Adventní koncerty 2025 se symfonickým orchestrem</w:t>
      </w:r>
    </w:p>
    <w:p w14:paraId="78602F04" w14:textId="119CFEE3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296156">
        <w:rPr>
          <w:rFonts w:ascii="Times New Roman" w:eastAsia="Times New Roman" w:hAnsi="Times New Roman" w:cs="Times New Roman"/>
          <w:sz w:val="22"/>
          <w:szCs w:val="22"/>
        </w:rPr>
        <w:t>11. 12. 2025 v 19:00</w:t>
      </w:r>
    </w:p>
    <w:p w14:paraId="1CF89E1F" w14:textId="72CEF47B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296156">
        <w:rPr>
          <w:rFonts w:ascii="Times New Roman" w:eastAsia="Times New Roman" w:hAnsi="Times New Roman" w:cs="Times New Roman"/>
          <w:sz w:val="22"/>
          <w:szCs w:val="22"/>
        </w:rPr>
        <w:t>Starez</w:t>
      </w:r>
      <w:proofErr w:type="spellEnd"/>
      <w:r w:rsidR="00296156">
        <w:rPr>
          <w:rFonts w:ascii="Times New Roman" w:eastAsia="Times New Roman" w:hAnsi="Times New Roman" w:cs="Times New Roman"/>
          <w:sz w:val="22"/>
          <w:szCs w:val="22"/>
        </w:rPr>
        <w:t xml:space="preserve"> Aréna Vodova, </w:t>
      </w:r>
      <w:r w:rsidR="00296156" w:rsidRPr="00296156">
        <w:rPr>
          <w:rFonts w:ascii="Times New Roman" w:eastAsia="Times New Roman" w:hAnsi="Times New Roman" w:cs="Times New Roman"/>
          <w:sz w:val="22"/>
          <w:szCs w:val="22"/>
        </w:rPr>
        <w:t>Vodova 108, 612 00 Brno-Královo Pole</w:t>
      </w:r>
    </w:p>
    <w:p w14:paraId="08D6D3DF" w14:textId="7D316053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E6163A" w:rsidRPr="00E6163A">
        <w:rPr>
          <w:rFonts w:ascii="Times New Roman" w:eastAsia="Times New Roman" w:hAnsi="Times New Roman" w:cs="Times New Roman"/>
          <w:sz w:val="22"/>
          <w:szCs w:val="22"/>
        </w:rPr>
        <w:t>písně R. Krajča v úpravě pro symfonický orchestr (</w:t>
      </w:r>
      <w:proofErr w:type="spellStart"/>
      <w:r w:rsidR="00E6163A" w:rsidRPr="00E6163A">
        <w:rPr>
          <w:rFonts w:ascii="Times New Roman" w:eastAsia="Times New Roman" w:hAnsi="Times New Roman" w:cs="Times New Roman"/>
          <w:sz w:val="22"/>
          <w:szCs w:val="22"/>
        </w:rPr>
        <w:t>arr</w:t>
      </w:r>
      <w:proofErr w:type="spellEnd"/>
      <w:r w:rsidR="00E6163A" w:rsidRPr="00E6163A">
        <w:rPr>
          <w:rFonts w:ascii="Times New Roman" w:eastAsia="Times New Roman" w:hAnsi="Times New Roman" w:cs="Times New Roman"/>
          <w:sz w:val="22"/>
          <w:szCs w:val="22"/>
        </w:rPr>
        <w:t xml:space="preserve">. J. </w:t>
      </w:r>
      <w:proofErr w:type="spellStart"/>
      <w:r w:rsidR="00E6163A" w:rsidRPr="00E6163A">
        <w:rPr>
          <w:rFonts w:ascii="Times New Roman" w:eastAsia="Times New Roman" w:hAnsi="Times New Roman" w:cs="Times New Roman"/>
          <w:sz w:val="22"/>
          <w:szCs w:val="22"/>
        </w:rPr>
        <w:t>Lstibůrek</w:t>
      </w:r>
      <w:proofErr w:type="spellEnd"/>
      <w:r w:rsidR="00E6163A" w:rsidRPr="00E6163A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6AA37ACA" w14:textId="77777777" w:rsidR="00160FFA" w:rsidRDefault="00261716" w:rsidP="008A44C5">
      <w:pPr>
        <w:widowControl w:val="0"/>
        <w:numPr>
          <w:ilvl w:val="1"/>
          <w:numId w:val="6"/>
        </w:numPr>
        <w:spacing w:line="288" w:lineRule="auto"/>
        <w:ind w:left="1133" w:hanging="57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orchestr Janáčkovy filharmonie </w:t>
      </w:r>
      <w:r w:rsidRPr="008A44C5">
        <w:rPr>
          <w:rFonts w:ascii="Times New Roman" w:eastAsia="Times New Roman" w:hAnsi="Times New Roman" w:cs="Times New Roman"/>
          <w:sz w:val="22"/>
          <w:szCs w:val="22"/>
        </w:rPr>
        <w:t>Ostrava (zajištěný Účinkujícím)</w:t>
      </w:r>
    </w:p>
    <w:p w14:paraId="6740A9B7" w14:textId="3F0A3F04" w:rsidR="00160FFA" w:rsidRDefault="00160FFA" w:rsidP="00160FFA">
      <w:pPr>
        <w:widowControl w:val="0"/>
        <w:spacing w:line="288" w:lineRule="auto"/>
        <w:ind w:left="283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 obsazení: </w:t>
      </w:r>
      <w:r w:rsidR="00D1259B" w:rsidRPr="00D1259B">
        <w:rPr>
          <w:rFonts w:ascii="Times New Roman" w:eastAsia="Times New Roman" w:hAnsi="Times New Roman" w:cs="Times New Roman"/>
          <w:sz w:val="22"/>
          <w:szCs w:val="22"/>
        </w:rPr>
        <w:t xml:space="preserve">2 2 2 2 — 4 3 3 1 — tmp+2 — cel — </w:t>
      </w:r>
      <w:proofErr w:type="spellStart"/>
      <w:r w:rsidR="00D1259B" w:rsidRPr="00D1259B">
        <w:rPr>
          <w:rFonts w:ascii="Times New Roman" w:eastAsia="Times New Roman" w:hAnsi="Times New Roman" w:cs="Times New Roman"/>
          <w:sz w:val="22"/>
          <w:szCs w:val="22"/>
        </w:rPr>
        <w:t>hp</w:t>
      </w:r>
      <w:proofErr w:type="spellEnd"/>
      <w:r w:rsidR="00D1259B" w:rsidRPr="00D1259B">
        <w:rPr>
          <w:rFonts w:ascii="Times New Roman" w:eastAsia="Times New Roman" w:hAnsi="Times New Roman" w:cs="Times New Roman"/>
          <w:sz w:val="22"/>
          <w:szCs w:val="22"/>
        </w:rPr>
        <w:t xml:space="preserve"> — </w:t>
      </w:r>
      <w:r>
        <w:rPr>
          <w:rFonts w:ascii="Times New Roman" w:eastAsia="Times New Roman" w:hAnsi="Times New Roman" w:cs="Times New Roman"/>
          <w:sz w:val="22"/>
          <w:szCs w:val="22"/>
        </w:rPr>
        <w:t>10 8 6 5 4</w:t>
      </w:r>
    </w:p>
    <w:p w14:paraId="648690CF" w14:textId="404078DB" w:rsidR="008A44C5" w:rsidRDefault="00261716" w:rsidP="00160FFA">
      <w:pPr>
        <w:widowControl w:val="0"/>
        <w:spacing w:line="288" w:lineRule="auto"/>
        <w:ind w:left="2835"/>
        <w:rPr>
          <w:rFonts w:ascii="Times New Roman" w:eastAsia="Times New Roman" w:hAnsi="Times New Roman" w:cs="Times New Roman"/>
          <w:sz w:val="22"/>
          <w:szCs w:val="22"/>
        </w:rPr>
      </w:pPr>
      <w:r w:rsidRPr="008A44C5">
        <w:rPr>
          <w:rFonts w:ascii="Times New Roman" w:eastAsia="Times New Roman" w:hAnsi="Times New Roman" w:cs="Times New Roman"/>
          <w:sz w:val="22"/>
          <w:szCs w:val="22"/>
        </w:rPr>
        <w:tab/>
      </w:r>
      <w:r w:rsidR="008A44C5" w:rsidRPr="008A44C5">
        <w:rPr>
          <w:rFonts w:ascii="Times New Roman" w:eastAsia="Times New Roman" w:hAnsi="Times New Roman" w:cs="Times New Roman"/>
          <w:sz w:val="22"/>
          <w:szCs w:val="22"/>
        </w:rPr>
        <w:t xml:space="preserve">Stanislav </w:t>
      </w:r>
      <w:proofErr w:type="spellStart"/>
      <w:r w:rsidR="008A44C5" w:rsidRPr="008A44C5">
        <w:rPr>
          <w:rFonts w:ascii="Times New Roman" w:eastAsia="Times New Roman" w:hAnsi="Times New Roman" w:cs="Times New Roman"/>
          <w:sz w:val="22"/>
          <w:szCs w:val="22"/>
        </w:rPr>
        <w:t>Vavřínek</w:t>
      </w:r>
      <w:proofErr w:type="spellEnd"/>
      <w:r w:rsidRPr="008A44C5">
        <w:rPr>
          <w:rFonts w:ascii="Times New Roman" w:eastAsia="Times New Roman" w:hAnsi="Times New Roman" w:cs="Times New Roman"/>
          <w:sz w:val="22"/>
          <w:szCs w:val="22"/>
        </w:rPr>
        <w:t xml:space="preserve"> jako dirigent (zajištěný </w:t>
      </w:r>
      <w:r w:rsidR="003776A8">
        <w:rPr>
          <w:rFonts w:ascii="Times New Roman" w:eastAsia="Times New Roman" w:hAnsi="Times New Roman" w:cs="Times New Roman"/>
          <w:sz w:val="22"/>
          <w:szCs w:val="22"/>
        </w:rPr>
        <w:t>Pořadatelem</w:t>
      </w:r>
      <w:r w:rsidRPr="008A44C5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8A44C5">
        <w:rPr>
          <w:rFonts w:ascii="Times New Roman" w:eastAsia="Times New Roman" w:hAnsi="Times New Roman" w:cs="Times New Roman"/>
          <w:sz w:val="22"/>
          <w:szCs w:val="22"/>
        </w:rPr>
        <w:br/>
      </w:r>
      <w:r w:rsidRPr="008A44C5">
        <w:rPr>
          <w:rFonts w:ascii="Times New Roman" w:eastAsia="Times New Roman" w:hAnsi="Times New Roman" w:cs="Times New Roman"/>
          <w:sz w:val="22"/>
          <w:szCs w:val="22"/>
        </w:rPr>
        <w:tab/>
      </w:r>
      <w:r w:rsidR="008A44C5" w:rsidRPr="008A44C5">
        <w:rPr>
          <w:rFonts w:ascii="Times New Roman" w:eastAsia="Times New Roman" w:hAnsi="Times New Roman" w:cs="Times New Roman"/>
          <w:sz w:val="22"/>
          <w:szCs w:val="22"/>
        </w:rPr>
        <w:t>Richard Krajčo jako</w:t>
      </w:r>
      <w:r w:rsidRPr="008A44C5">
        <w:rPr>
          <w:rFonts w:ascii="Times New Roman" w:eastAsia="Times New Roman" w:hAnsi="Times New Roman" w:cs="Times New Roman"/>
          <w:sz w:val="22"/>
          <w:szCs w:val="22"/>
        </w:rPr>
        <w:t xml:space="preserve"> sólista (zajištěný Pořadatelem)</w:t>
      </w:r>
    </w:p>
    <w:p w14:paraId="008ECF53" w14:textId="496B2016" w:rsidR="008A44C5" w:rsidRDefault="00160FFA" w:rsidP="008A44C5">
      <w:pPr>
        <w:widowControl w:val="0"/>
        <w:spacing w:line="288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kapela</w:t>
      </w:r>
      <w:r w:rsidR="008A44C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A44C5" w:rsidRPr="008A44C5">
        <w:rPr>
          <w:rFonts w:ascii="Times New Roman" w:eastAsia="Times New Roman" w:hAnsi="Times New Roman" w:cs="Times New Roman"/>
          <w:sz w:val="22"/>
          <w:szCs w:val="22"/>
        </w:rPr>
        <w:t>(zajištěn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 w:rsidR="008A44C5" w:rsidRPr="008A44C5">
        <w:rPr>
          <w:rFonts w:ascii="Times New Roman" w:eastAsia="Times New Roman" w:hAnsi="Times New Roman" w:cs="Times New Roman"/>
          <w:sz w:val="22"/>
          <w:szCs w:val="22"/>
        </w:rPr>
        <w:t xml:space="preserve"> Pořadatelem)</w:t>
      </w:r>
    </w:p>
    <w:p w14:paraId="1A567B80" w14:textId="35D34D63" w:rsidR="008A44C5" w:rsidRDefault="00160FFA" w:rsidP="008A44C5">
      <w:pPr>
        <w:widowControl w:val="0"/>
        <w:spacing w:line="288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vokální skupina</w:t>
      </w:r>
      <w:r w:rsidR="008A44C5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8A44C5" w:rsidRPr="008A44C5">
        <w:rPr>
          <w:rFonts w:ascii="Times New Roman" w:eastAsia="Times New Roman" w:hAnsi="Times New Roman" w:cs="Times New Roman"/>
          <w:sz w:val="22"/>
          <w:szCs w:val="22"/>
        </w:rPr>
        <w:t>zajištěn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 w:rsidR="008A44C5" w:rsidRPr="008A44C5">
        <w:rPr>
          <w:rFonts w:ascii="Times New Roman" w:eastAsia="Times New Roman" w:hAnsi="Times New Roman" w:cs="Times New Roman"/>
          <w:sz w:val="22"/>
          <w:szCs w:val="22"/>
        </w:rPr>
        <w:t xml:space="preserve"> Pořadatelem)</w:t>
      </w:r>
    </w:p>
    <w:p w14:paraId="453BF0E3" w14:textId="78CDC326" w:rsidR="00C609A4" w:rsidRDefault="00C609A4" w:rsidP="008A44C5">
      <w:pPr>
        <w:widowControl w:val="0"/>
        <w:spacing w:line="288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sbor (</w:t>
      </w:r>
      <w:r w:rsidRPr="00C609A4">
        <w:rPr>
          <w:rFonts w:ascii="Times New Roman" w:eastAsia="Times New Roman" w:hAnsi="Times New Roman" w:cs="Times New Roman"/>
          <w:sz w:val="22"/>
          <w:szCs w:val="22"/>
        </w:rPr>
        <w:t>zajištěný Pořadatelem)</w:t>
      </w:r>
    </w:p>
    <w:p w14:paraId="494B30D1" w14:textId="77777777" w:rsidR="00C26AA1" w:rsidRDefault="008A44C5" w:rsidP="00C26AA1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Harmonogram: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2984FD5" w14:textId="090D24F7" w:rsidR="008A44C5" w:rsidRPr="00C26AA1" w:rsidRDefault="00296156" w:rsidP="00C26AA1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26AA1">
        <w:rPr>
          <w:rFonts w:ascii="Times New Roman" w:eastAsia="Times New Roman" w:hAnsi="Times New Roman" w:cs="Times New Roman"/>
          <w:sz w:val="22"/>
          <w:szCs w:val="22"/>
        </w:rPr>
        <w:t xml:space="preserve">Čtvrtek </w:t>
      </w:r>
      <w:r w:rsidRPr="00C26AA1">
        <w:rPr>
          <w:rFonts w:ascii="Times New Roman" w:eastAsia="Times New Roman" w:hAnsi="Times New Roman" w:cs="Times New Roman"/>
          <w:sz w:val="22"/>
          <w:szCs w:val="22"/>
        </w:rPr>
        <w:tab/>
      </w:r>
      <w:r w:rsidRPr="00C26AA1">
        <w:rPr>
          <w:rFonts w:ascii="Times New Roman" w:eastAsia="Times New Roman" w:hAnsi="Times New Roman" w:cs="Times New Roman"/>
          <w:sz w:val="22"/>
          <w:szCs w:val="22"/>
        </w:rPr>
        <w:tab/>
        <w:t>11. 12. 2025</w:t>
      </w:r>
      <w:r w:rsidRPr="00C26AA1">
        <w:rPr>
          <w:rFonts w:ascii="Times New Roman" w:eastAsia="Times New Roman" w:hAnsi="Times New Roman" w:cs="Times New Roman"/>
          <w:sz w:val="22"/>
          <w:szCs w:val="22"/>
        </w:rPr>
        <w:tab/>
      </w:r>
      <w:r w:rsidRPr="00C26AA1">
        <w:rPr>
          <w:rFonts w:ascii="Times New Roman" w:eastAsia="Times New Roman" w:hAnsi="Times New Roman" w:cs="Times New Roman"/>
          <w:sz w:val="22"/>
          <w:szCs w:val="22"/>
          <w:shd w:val="clear" w:color="auto" w:fill="FFFFFF" w:themeFill="background1"/>
        </w:rPr>
        <w:t>1</w:t>
      </w:r>
      <w:r w:rsidR="00C609A4">
        <w:rPr>
          <w:rFonts w:ascii="Times New Roman" w:eastAsia="Times New Roman" w:hAnsi="Times New Roman" w:cs="Times New Roman"/>
          <w:sz w:val="22"/>
          <w:szCs w:val="22"/>
          <w:shd w:val="clear" w:color="auto" w:fill="FFFFFF" w:themeFill="background1"/>
        </w:rPr>
        <w:t>4</w:t>
      </w:r>
      <w:r w:rsidRPr="00C26AA1">
        <w:rPr>
          <w:rFonts w:ascii="Times New Roman" w:eastAsia="Times New Roman" w:hAnsi="Times New Roman" w:cs="Times New Roman"/>
          <w:sz w:val="22"/>
          <w:szCs w:val="22"/>
          <w:shd w:val="clear" w:color="auto" w:fill="FFFFFF" w:themeFill="background1"/>
        </w:rPr>
        <w:t>:00-</w:t>
      </w:r>
      <w:r w:rsidR="00C609A4">
        <w:rPr>
          <w:rFonts w:ascii="Times New Roman" w:eastAsia="Times New Roman" w:hAnsi="Times New Roman" w:cs="Times New Roman"/>
          <w:sz w:val="22"/>
          <w:szCs w:val="22"/>
          <w:shd w:val="clear" w:color="auto" w:fill="FFFFFF" w:themeFill="background1"/>
        </w:rPr>
        <w:t>17</w:t>
      </w:r>
      <w:r w:rsidRPr="00C26AA1">
        <w:rPr>
          <w:rFonts w:ascii="Times New Roman" w:eastAsia="Times New Roman" w:hAnsi="Times New Roman" w:cs="Times New Roman"/>
          <w:sz w:val="22"/>
          <w:szCs w:val="22"/>
          <w:shd w:val="clear" w:color="auto" w:fill="FFFFFF" w:themeFill="background1"/>
        </w:rPr>
        <w:t>:00</w:t>
      </w:r>
      <w:r w:rsidRPr="00C26AA1">
        <w:rPr>
          <w:rFonts w:ascii="Times New Roman" w:eastAsia="Times New Roman" w:hAnsi="Times New Roman" w:cs="Times New Roman"/>
          <w:sz w:val="22"/>
          <w:szCs w:val="22"/>
        </w:rPr>
        <w:tab/>
        <w:t>zvuková a generální zkouška (</w:t>
      </w:r>
      <w:proofErr w:type="spellStart"/>
      <w:r w:rsidRPr="00C26AA1">
        <w:rPr>
          <w:rFonts w:ascii="Times New Roman" w:eastAsia="Times New Roman" w:hAnsi="Times New Roman" w:cs="Times New Roman"/>
          <w:sz w:val="22"/>
          <w:szCs w:val="22"/>
        </w:rPr>
        <w:t>Starez</w:t>
      </w:r>
      <w:proofErr w:type="spellEnd"/>
      <w:r w:rsidRPr="00C26AA1">
        <w:rPr>
          <w:rFonts w:ascii="Times New Roman" w:eastAsia="Times New Roman" w:hAnsi="Times New Roman" w:cs="Times New Roman"/>
          <w:sz w:val="22"/>
          <w:szCs w:val="22"/>
        </w:rPr>
        <w:t xml:space="preserve"> aréna)</w:t>
      </w:r>
    </w:p>
    <w:p w14:paraId="3D0975F3" w14:textId="4BD25DC3" w:rsidR="00296156" w:rsidRPr="008A44C5" w:rsidRDefault="00296156" w:rsidP="008A44C5">
      <w:pPr>
        <w:widowControl w:val="0"/>
        <w:spacing w:line="288" w:lineRule="auto"/>
        <w:ind w:left="144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19:00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koncert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Starez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aréna)</w:t>
      </w:r>
    </w:p>
    <w:p w14:paraId="4AD57D6F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51C1E907" w14:textId="494847E9" w:rsidR="00296156" w:rsidRDefault="00261716" w:rsidP="00673EA1">
      <w:pPr>
        <w:pStyle w:val="Odstavecseseznamem"/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96156"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  <w:r w:rsidR="003776A8" w:rsidRPr="00296156">
        <w:rPr>
          <w:rFonts w:ascii="Times New Roman" w:eastAsia="Times New Roman" w:hAnsi="Times New Roman" w:cs="Times New Roman"/>
          <w:sz w:val="22"/>
          <w:szCs w:val="22"/>
        </w:rPr>
        <w:t xml:space="preserve">Pořadatel se rovněž zavazuje zajistit </w:t>
      </w:r>
      <w:r w:rsidR="00093EEB" w:rsidRPr="00296156">
        <w:rPr>
          <w:rFonts w:ascii="Times New Roman" w:eastAsia="Times New Roman" w:hAnsi="Times New Roman" w:cs="Times New Roman"/>
          <w:sz w:val="22"/>
          <w:szCs w:val="22"/>
        </w:rPr>
        <w:t xml:space="preserve">včasnou a kompletní </w:t>
      </w:r>
      <w:r w:rsidR="003776A8" w:rsidRPr="00296156">
        <w:rPr>
          <w:rFonts w:ascii="Times New Roman" w:eastAsia="Times New Roman" w:hAnsi="Times New Roman" w:cs="Times New Roman"/>
          <w:sz w:val="22"/>
          <w:szCs w:val="22"/>
        </w:rPr>
        <w:t xml:space="preserve">účast všech </w:t>
      </w:r>
      <w:r w:rsidR="00093EEB" w:rsidRPr="00296156">
        <w:rPr>
          <w:rFonts w:ascii="Times New Roman" w:eastAsia="Times New Roman" w:hAnsi="Times New Roman" w:cs="Times New Roman"/>
          <w:sz w:val="22"/>
          <w:szCs w:val="22"/>
        </w:rPr>
        <w:t>účinkujících</w:t>
      </w:r>
      <w:r w:rsidR="003776A8" w:rsidRPr="00296156">
        <w:rPr>
          <w:rFonts w:ascii="Times New Roman" w:eastAsia="Times New Roman" w:hAnsi="Times New Roman" w:cs="Times New Roman"/>
          <w:sz w:val="22"/>
          <w:szCs w:val="22"/>
        </w:rPr>
        <w:t xml:space="preserve"> na zkouškách v </w:t>
      </w:r>
      <w:r w:rsidR="00296156">
        <w:rPr>
          <w:rFonts w:ascii="Times New Roman" w:eastAsia="Times New Roman" w:hAnsi="Times New Roman" w:cs="Times New Roman"/>
          <w:sz w:val="22"/>
          <w:szCs w:val="22"/>
        </w:rPr>
        <w:t>Brně</w:t>
      </w:r>
      <w:r w:rsidR="003776A8" w:rsidRPr="00296156">
        <w:rPr>
          <w:rFonts w:ascii="Times New Roman" w:eastAsia="Times New Roman" w:hAnsi="Times New Roman" w:cs="Times New Roman"/>
          <w:sz w:val="22"/>
          <w:szCs w:val="22"/>
        </w:rPr>
        <w:t xml:space="preserve"> dle </w:t>
      </w:r>
      <w:r w:rsidR="00093EEB" w:rsidRPr="00296156">
        <w:rPr>
          <w:rFonts w:ascii="Times New Roman" w:eastAsia="Times New Roman" w:hAnsi="Times New Roman" w:cs="Times New Roman"/>
          <w:sz w:val="22"/>
          <w:szCs w:val="22"/>
        </w:rPr>
        <w:t>harmonogramu viz bod. e) v Předmětu smlouvy</w:t>
      </w:r>
      <w:r w:rsidR="00296156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3442B5BA" w14:textId="77777777" w:rsidR="00296156" w:rsidRDefault="00296156" w:rsidP="00296156">
      <w:pPr>
        <w:pStyle w:val="Odstavecseseznamem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25909AC" w14:textId="3C5631D1" w:rsidR="00DB247F" w:rsidRPr="00296156" w:rsidRDefault="00261716" w:rsidP="00673EA1">
      <w:pPr>
        <w:pStyle w:val="Odstavecseseznamem"/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96156">
        <w:rPr>
          <w:rFonts w:ascii="Times New Roman" w:eastAsia="Times New Roman" w:hAnsi="Times New Roman" w:cs="Times New Roman"/>
          <w:sz w:val="22"/>
          <w:szCs w:val="22"/>
        </w:rPr>
        <w:t xml:space="preserve">Pořadatel se zavazuje zajistit adekvátní podmínky k výkonu, a to zejména: </w:t>
      </w:r>
    </w:p>
    <w:p w14:paraId="4CD4C434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místo konání (včetně propagace v případě veřejné události), </w:t>
      </w:r>
    </w:p>
    <w:p w14:paraId="1977EBFD" w14:textId="14FC47F0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dostatečně vytopené (min. </w:t>
      </w:r>
      <w:r w:rsidR="00C26AA1"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°C) a osvětlené pódium nebo obdobný koncertní prostor o minimálních rozměrech 14×10 m se třemi vyvýšenými stupni (dle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stageplanu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který je součástí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rideru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), včetně uvedeného počtu koncertních židlí,</w:t>
      </w:r>
    </w:p>
    <w:p w14:paraId="28A50E5F" w14:textId="135BA578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zázemí ve vytopených uzamykatelných (nebo hlídaných) šatnách oddělených pro muže (minimální kapacita 40 osob), ženy (minimální kapacita 40 osob) a samostatné šatny vždy zvlášť pro koncertního mistra, dirigenta a sólistu(y); v šatnách musí být pro každého člena orchestru alespoň jedna židle, dostatek stolů na odložení osobních věcí pro všechny; oddělené toalety</w:t>
      </w:r>
      <w:r w:rsidR="00296156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F251499" w14:textId="77777777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 zázemí bude nejpozději hodinu před koncertem připraveno drobné občerstvení (káva, čaj, voda, ovoce, sušenky), a studené nápoje v dostatečné míře,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 </w:t>
      </w:r>
    </w:p>
    <w:p w14:paraId="2C94135D" w14:textId="7F1BF3F2" w:rsidR="00DB247F" w:rsidRPr="003776A8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kompetentní personál: osvětlovače, </w:t>
      </w:r>
      <w:r w:rsidR="003776A8">
        <w:rPr>
          <w:rFonts w:ascii="Times New Roman" w:eastAsia="Times New Roman" w:hAnsi="Times New Roman" w:cs="Times New Roman"/>
          <w:sz w:val="22"/>
          <w:szCs w:val="22"/>
        </w:rPr>
        <w:t xml:space="preserve">zvukaře,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jevištního mistra, 2 pomocníky na nakládku (zpravidla 3 </w:t>
      </w:r>
      <w:r w:rsidRPr="003776A8">
        <w:rPr>
          <w:rFonts w:ascii="Times New Roman" w:eastAsia="Times New Roman" w:hAnsi="Times New Roman" w:cs="Times New Roman"/>
          <w:sz w:val="22"/>
          <w:szCs w:val="22"/>
        </w:rPr>
        <w:t>hodiny před začátkem zkoušky) a vykládku (neprodleně po skončení Produkce) nástrojů,</w:t>
      </w:r>
    </w:p>
    <w:p w14:paraId="47B7B233" w14:textId="7D9ADA2D" w:rsidR="00DB247F" w:rsidRPr="003776A8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776A8">
        <w:rPr>
          <w:rFonts w:ascii="Times New Roman" w:eastAsia="Times New Roman" w:hAnsi="Times New Roman" w:cs="Times New Roman"/>
          <w:sz w:val="22"/>
          <w:szCs w:val="22"/>
        </w:rPr>
        <w:t>parkovací místo pro kamion</w:t>
      </w:r>
      <w:r w:rsidR="00296156">
        <w:rPr>
          <w:rFonts w:ascii="Times New Roman" w:eastAsia="Times New Roman" w:hAnsi="Times New Roman" w:cs="Times New Roman"/>
          <w:sz w:val="22"/>
          <w:szCs w:val="22"/>
        </w:rPr>
        <w:t xml:space="preserve"> a pro dva autobusy, </w:t>
      </w:r>
    </w:p>
    <w:p w14:paraId="359B0A34" w14:textId="1A7C5698" w:rsidR="00DB247F" w:rsidRPr="003776A8" w:rsidRDefault="00C26AA1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2</w:t>
      </w:r>
      <w:r w:rsidR="00261716" w:rsidRPr="003776A8">
        <w:rPr>
          <w:rFonts w:ascii="Times New Roman" w:eastAsia="Times New Roman" w:hAnsi="Times New Roman" w:cs="Times New Roman"/>
          <w:sz w:val="22"/>
          <w:szCs w:val="22"/>
        </w:rPr>
        <w:t>0 ks čestných vstupenek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na každé provedení koncertu.</w:t>
      </w:r>
      <w:r w:rsidR="0029615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88132C9" w14:textId="77777777" w:rsidR="003776A8" w:rsidRDefault="003776A8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17E34323" w14:textId="6332A217" w:rsidR="00DB247F" w:rsidRDefault="00261716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Podrobné technické požadavky jsou součástí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rideru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, který Účinkující dodá Pořadateli s dostatečným předstihem v dohodnutém termínu. </w:t>
      </w:r>
    </w:p>
    <w:p w14:paraId="04934BD1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21D049F3" w14:textId="66FCF373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Notový materiál zajišťuje </w:t>
      </w:r>
      <w:r w:rsidR="00C26AA1">
        <w:rPr>
          <w:rFonts w:ascii="Times New Roman" w:eastAsia="Times New Roman" w:hAnsi="Times New Roman" w:cs="Times New Roman"/>
          <w:sz w:val="22"/>
          <w:szCs w:val="22"/>
        </w:rPr>
        <w:t>Pořadatel, stejně tak n</w:t>
      </w:r>
      <w:r>
        <w:rPr>
          <w:rFonts w:ascii="Times New Roman" w:eastAsia="Times New Roman" w:hAnsi="Times New Roman" w:cs="Times New Roman"/>
          <w:sz w:val="22"/>
          <w:szCs w:val="22"/>
        </w:rPr>
        <w:t>ahlášení a úhrada autorských práv</w:t>
      </w:r>
      <w:r w:rsidR="00C26AA1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EB1AB85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10DE8A8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Pokud Pořadatel vydává tiskové zprávy, edituje články, pozvánky či jakékoli texty v rámci PR aktivit spojených s vystoupením, je povinen vše v kompletním rozsahu a s dostatečným předstihem předložit Účinkujícímu ke schválení. Ten si vyhrazuje právo na změny v textech v zájmu šíření dobrého jména a zajištění správnosti informací. Pořadatel je povinen vždy a všude používat a komunikovat správný a úplný název Janáčkova filharmonie Ostrava a logo Janáčkovy filharmonie.</w:t>
      </w:r>
    </w:p>
    <w:p w14:paraId="623FF1BB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E9A0AC8" w14:textId="77777777" w:rsidR="003776A8" w:rsidRDefault="003776A8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A298F2A" w14:textId="77777777" w:rsidR="00DB247F" w:rsidRPr="00B45701" w:rsidRDefault="00261716" w:rsidP="00B45701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Doprava</w:t>
      </w:r>
    </w:p>
    <w:p w14:paraId="37661E3E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2202E05" w14:textId="77777777" w:rsidR="003776A8" w:rsidRDefault="00261716" w:rsidP="003776A8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Dopravu na místo konání (a zpět) zajišťuje Účinkující sám. </w:t>
      </w:r>
    </w:p>
    <w:p w14:paraId="6A5892ED" w14:textId="38B0F379" w:rsidR="003776A8" w:rsidRDefault="003776A8" w:rsidP="003776A8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9E69616" w14:textId="77777777" w:rsidR="00DB247F" w:rsidRDefault="00261716" w:rsidP="00B45701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5" w:name="_tyjcwt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3E1899A4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0CB05A3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Produkce nemůže být nahrávána. V případě, že by Produkce měla být nahrávána, bude o tomto uzavřena doplňující smlouva o poskytnutí licence. </w:t>
      </w:r>
    </w:p>
    <w:p w14:paraId="17A42EFC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0AB3B30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i třetí stranou po řádném a včasném oznámení.  </w:t>
      </w:r>
    </w:p>
    <w:p w14:paraId="140A5869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BEE81EB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je oprávněn užívat pouze fotografie Účinkujícího, které byly za tímto účelem zaslány (na základě požadavku Pořadatele). Pořadatel je oprávněn pořizovat fotografie z Produkce pouze na základě předchozího svolení Účinkujícím, a v takovém případě se zavazuje pořízené fotografie Účinkujícímu poskytnout neprodleně po jejich vyhotovení pro různé účely. Pořadatel souhlasí s pořizováním fotografií Účinkujícím během Produkce a zároveň souhlasí s jejich využitím v rámci propagace akce.</w:t>
      </w:r>
    </w:p>
    <w:p w14:paraId="5D994BE9" w14:textId="77777777" w:rsidR="00A672C6" w:rsidRDefault="00A672C6" w:rsidP="00A672C6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4F88BB23" w14:textId="2AEB982B" w:rsidR="00A672C6" w:rsidRDefault="00A672C6" w:rsidP="00A672C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672C6">
        <w:rPr>
          <w:rFonts w:ascii="Times New Roman" w:eastAsia="Times New Roman" w:hAnsi="Times New Roman" w:cs="Times New Roman"/>
          <w:sz w:val="22"/>
          <w:szCs w:val="22"/>
        </w:rPr>
        <w:t>V případě publikace příspěvků/</w:t>
      </w:r>
      <w:proofErr w:type="spellStart"/>
      <w:r w:rsidRPr="00A672C6">
        <w:rPr>
          <w:rFonts w:ascii="Times New Roman" w:eastAsia="Times New Roman" w:hAnsi="Times New Roman" w:cs="Times New Roman"/>
          <w:sz w:val="22"/>
          <w:szCs w:val="22"/>
        </w:rPr>
        <w:t>stories</w:t>
      </w:r>
      <w:proofErr w:type="spellEnd"/>
      <w:r w:rsidRPr="00A672C6">
        <w:rPr>
          <w:rFonts w:ascii="Times New Roman" w:eastAsia="Times New Roman" w:hAnsi="Times New Roman" w:cs="Times New Roman"/>
          <w:sz w:val="22"/>
          <w:szCs w:val="22"/>
        </w:rPr>
        <w:t>/</w:t>
      </w:r>
      <w:proofErr w:type="spellStart"/>
      <w:r w:rsidRPr="00A672C6">
        <w:rPr>
          <w:rFonts w:ascii="Times New Roman" w:eastAsia="Times New Roman" w:hAnsi="Times New Roman" w:cs="Times New Roman"/>
          <w:sz w:val="22"/>
          <w:szCs w:val="22"/>
        </w:rPr>
        <w:t>reels</w:t>
      </w:r>
      <w:proofErr w:type="spellEnd"/>
      <w:r w:rsidRPr="00A672C6">
        <w:rPr>
          <w:rFonts w:ascii="Times New Roman" w:eastAsia="Times New Roman" w:hAnsi="Times New Roman" w:cs="Times New Roman"/>
          <w:sz w:val="22"/>
          <w:szCs w:val="22"/>
        </w:rPr>
        <w:t xml:space="preserve"> na sociálních sítích se Pořadate</w:t>
      </w:r>
      <w:r>
        <w:rPr>
          <w:rFonts w:ascii="Times New Roman" w:eastAsia="Times New Roman" w:hAnsi="Times New Roman" w:cs="Times New Roman"/>
          <w:sz w:val="22"/>
          <w:szCs w:val="22"/>
        </w:rPr>
        <w:t>l</w:t>
      </w:r>
      <w:r w:rsidRPr="00A672C6">
        <w:rPr>
          <w:rFonts w:ascii="Times New Roman" w:eastAsia="Times New Roman" w:hAnsi="Times New Roman" w:cs="Times New Roman"/>
          <w:sz w:val="22"/>
          <w:szCs w:val="22"/>
        </w:rPr>
        <w:t xml:space="preserve"> zavazuje označit nebo přizvat ke kolaboraci oficiální účty Účinkujícího.</w:t>
      </w:r>
    </w:p>
    <w:p w14:paraId="76E05BEA" w14:textId="77777777" w:rsidR="00A672C6" w:rsidRPr="00A672C6" w:rsidRDefault="00A672C6" w:rsidP="00A672C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B80005C" w14:textId="77777777" w:rsidR="00A672C6" w:rsidRDefault="00A672C6" w:rsidP="00A672C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672C6">
        <w:rPr>
          <w:rFonts w:ascii="Times New Roman" w:eastAsia="Times New Roman" w:hAnsi="Times New Roman" w:cs="Times New Roman"/>
          <w:sz w:val="22"/>
          <w:szCs w:val="22"/>
        </w:rPr>
        <w:t>Pořadatel se zavazuje poskytnout krátké oficiální vyjádření (citaci) před Produkcí a po skončení Produkce, které Účinkující může použít ve svých propagačních materiálech.</w:t>
      </w:r>
    </w:p>
    <w:p w14:paraId="147B50C0" w14:textId="7D2260E1" w:rsidR="00DB247F" w:rsidRDefault="00261716" w:rsidP="00A672C6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6" w:name="_3dy6vkm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59D594EA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1BEB391" w14:textId="065A87F3" w:rsidR="00DB247F" w:rsidRPr="003776A8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776A8"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výši </w:t>
      </w:r>
      <w:r w:rsidR="00296156">
        <w:rPr>
          <w:rFonts w:ascii="Times New Roman" w:eastAsia="Times New Roman" w:hAnsi="Times New Roman" w:cs="Times New Roman"/>
          <w:sz w:val="22"/>
          <w:szCs w:val="22"/>
        </w:rPr>
        <w:t>3</w:t>
      </w:r>
      <w:r w:rsidR="003776A8" w:rsidRPr="003776A8">
        <w:rPr>
          <w:rFonts w:ascii="Times New Roman" w:eastAsia="Times New Roman" w:hAnsi="Times New Roman" w:cs="Times New Roman"/>
          <w:sz w:val="22"/>
          <w:szCs w:val="22"/>
        </w:rPr>
        <w:t>00 000</w:t>
      </w:r>
      <w:r w:rsidRPr="003776A8">
        <w:rPr>
          <w:rFonts w:ascii="Times New Roman" w:eastAsia="Times New Roman" w:hAnsi="Times New Roman" w:cs="Times New Roman"/>
          <w:sz w:val="22"/>
          <w:szCs w:val="22"/>
        </w:rPr>
        <w:t xml:space="preserve"> Kč (slovy: </w:t>
      </w:r>
      <w:r w:rsidR="00296156">
        <w:rPr>
          <w:rFonts w:ascii="Times New Roman" w:eastAsia="Times New Roman" w:hAnsi="Times New Roman" w:cs="Times New Roman"/>
          <w:sz w:val="22"/>
          <w:szCs w:val="22"/>
        </w:rPr>
        <w:t>tři-sta</w:t>
      </w:r>
      <w:r w:rsidR="003776A8" w:rsidRPr="003776A8">
        <w:rPr>
          <w:rFonts w:ascii="Times New Roman" w:eastAsia="Times New Roman" w:hAnsi="Times New Roman" w:cs="Times New Roman"/>
          <w:sz w:val="22"/>
          <w:szCs w:val="22"/>
        </w:rPr>
        <w:t>-tisíc-</w:t>
      </w:r>
      <w:r w:rsidRPr="003776A8">
        <w:rPr>
          <w:rFonts w:ascii="Times New Roman" w:eastAsia="Times New Roman" w:hAnsi="Times New Roman" w:cs="Times New Roman"/>
          <w:sz w:val="22"/>
          <w:szCs w:val="22"/>
        </w:rPr>
        <w:t>Korun českých) čistého</w:t>
      </w:r>
      <w:r w:rsidR="0029615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3776A8">
        <w:rPr>
          <w:rFonts w:ascii="Times New Roman" w:eastAsia="Times New Roman" w:hAnsi="Times New Roman" w:cs="Times New Roman"/>
          <w:sz w:val="22"/>
          <w:szCs w:val="22"/>
        </w:rPr>
        <w:t xml:space="preserve">a to na základě vystavené faktury </w:t>
      </w:r>
      <w:r w:rsidR="00D9054E">
        <w:rPr>
          <w:rFonts w:ascii="Times New Roman" w:eastAsia="Times New Roman" w:hAnsi="Times New Roman" w:cs="Times New Roman"/>
          <w:sz w:val="22"/>
          <w:szCs w:val="22"/>
        </w:rPr>
        <w:t>Účinkujícím</w:t>
      </w:r>
      <w:r w:rsidRPr="003776A8">
        <w:rPr>
          <w:rFonts w:ascii="Times New Roman" w:eastAsia="Times New Roman" w:hAnsi="Times New Roman" w:cs="Times New Roman"/>
          <w:sz w:val="22"/>
          <w:szCs w:val="22"/>
        </w:rPr>
        <w:t xml:space="preserve"> po </w:t>
      </w:r>
      <w:r w:rsidR="00D9054E">
        <w:rPr>
          <w:rFonts w:ascii="Times New Roman" w:eastAsia="Times New Roman" w:hAnsi="Times New Roman" w:cs="Times New Roman"/>
          <w:sz w:val="22"/>
          <w:szCs w:val="22"/>
        </w:rPr>
        <w:t>s</w:t>
      </w:r>
      <w:r w:rsidRPr="003776A8">
        <w:rPr>
          <w:rFonts w:ascii="Times New Roman" w:eastAsia="Times New Roman" w:hAnsi="Times New Roman" w:cs="Times New Roman"/>
          <w:sz w:val="22"/>
          <w:szCs w:val="22"/>
        </w:rPr>
        <w:t xml:space="preserve">končení Produkce. Honorář pokrývá veškeré náklady spojené s výkonem v rámci Produkce. </w:t>
      </w:r>
    </w:p>
    <w:p w14:paraId="3BFBA45B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3FDD1971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zaručuje, že je v případě plnění této smlouvy osvobozen od platby DPH.</w:t>
      </w:r>
    </w:p>
    <w:p w14:paraId="2025CA7C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D5C6FE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vyvinout veškeré prostředky, aby zamezil stržení daně z honoráře. </w:t>
      </w:r>
    </w:p>
    <w:p w14:paraId="783FF734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8FB8C89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64E3002F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38AF565" w14:textId="77777777" w:rsidR="00DB247F" w:rsidRDefault="00DB247F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1t3h5sf" w:colFirst="0" w:colLast="0"/>
      <w:bookmarkEnd w:id="7"/>
    </w:p>
    <w:p w14:paraId="34F51A3B" w14:textId="77777777" w:rsidR="00DB247F" w:rsidRDefault="00261716" w:rsidP="00B45701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8" w:name="_4d34og8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39FC0AB2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1312D70F" w14:textId="77777777" w:rsidR="00B45701" w:rsidRDefault="00261716" w:rsidP="002F009E">
      <w:pPr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45701">
        <w:rPr>
          <w:rFonts w:ascii="Times New Roman" w:eastAsia="Times New Roman" w:hAnsi="Times New Roman" w:cs="Times New Roman"/>
          <w:sz w:val="22"/>
          <w:szCs w:val="22"/>
        </w:rPr>
        <w:t xml:space="preserve">Pakliže Účinkující nesplní závazky vyplývající z této Smlouvy z důvodů jiných, než je selhání Pořadatele,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 </w:t>
      </w:r>
    </w:p>
    <w:p w14:paraId="71D99CBC" w14:textId="77777777" w:rsidR="00B45701" w:rsidRDefault="00B45701" w:rsidP="00B45701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93D977" w14:textId="0ED4C193" w:rsidR="00DB247F" w:rsidRPr="00B45701" w:rsidRDefault="00261716" w:rsidP="002F009E">
      <w:pPr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45701"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 z důvodů jiných, než které jsou mimo jeho kontrolu (politická regulace, válka, přírodní katastrofa nebo obdobný zásah vyšší moci), a jejich nesplnění povede ke znemožnění provedení Produkce, je Pořadatel povinen uhradit Účinkujícímu celou odměnu jak je uvedeno výše. Případné další výdaje nejsou Pořadatelem hrazeny.</w:t>
      </w:r>
    </w:p>
    <w:p w14:paraId="070A53D2" w14:textId="77777777" w:rsidR="00DB247F" w:rsidRDefault="00DB247F" w:rsidP="003776A8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23E4B7F" w14:textId="77777777" w:rsidR="00DB247F" w:rsidRDefault="00DB247F" w:rsidP="003776A8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AE3276C" w14:textId="77777777" w:rsidR="00DB247F" w:rsidRDefault="00261716" w:rsidP="00B45701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9" w:name="_2s8eyo1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176C1D5F" w14:textId="77777777" w:rsidR="00DB247F" w:rsidRDefault="00DB247F" w:rsidP="003776A8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9AF95C3" w14:textId="77777777" w:rsidR="00DB247F" w:rsidRDefault="00261716" w:rsidP="003776A8">
      <w:pPr>
        <w:widowControl w:val="0"/>
        <w:numPr>
          <w:ilvl w:val="0"/>
          <w:numId w:val="3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501121EC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C4F2A89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41F8E67" w14:textId="77777777" w:rsidR="00DB247F" w:rsidRDefault="00261716" w:rsidP="00B45701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17dp8vu" w:colFirst="0" w:colLast="0"/>
      <w:bookmarkEnd w:id="10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09A6EDF2" w14:textId="77777777" w:rsidR="00DB247F" w:rsidRDefault="00DB247F" w:rsidP="00B45701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4031F4C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66D4A443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6AE8FA3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Účinkujícího.</w:t>
      </w:r>
    </w:p>
    <w:p w14:paraId="71C905E7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7F456C5" w14:textId="1ABADD11" w:rsidR="003776A8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08CA7642" w14:textId="77777777" w:rsidR="00296156" w:rsidRDefault="00296156" w:rsidP="0029615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8C007D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</w:t>
      </w:r>
      <w:r w:rsidRPr="003776A8">
        <w:rPr>
          <w:rFonts w:ascii="Times New Roman" w:eastAsia="Times New Roman" w:hAnsi="Times New Roman" w:cs="Times New Roman"/>
          <w:sz w:val="22"/>
          <w:szCs w:val="22"/>
        </w:rPr>
        <w:t xml:space="preserve">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6BFBA116" w14:textId="77777777" w:rsidR="00DB247F" w:rsidRDefault="00DB247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F5FB57D" w14:textId="77777777" w:rsidR="00DB247F" w:rsidRDefault="00DB247F" w:rsidP="00B45701">
      <w:pPr>
        <w:widowControl w:val="0"/>
        <w:spacing w:line="288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DB247F" w14:paraId="610AD43F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5C256DA" w14:textId="77777777" w:rsidR="00DB247F" w:rsidRDefault="00261716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B8AA5E4" w14:textId="6748F3DA" w:rsidR="00DB247F" w:rsidRDefault="00261716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 w:rsidR="00B45701">
              <w:rPr>
                <w:rFonts w:ascii="Times New Roman" w:eastAsia="Times New Roman" w:hAnsi="Times New Roman" w:cs="Times New Roman"/>
                <w:sz w:val="22"/>
                <w:szCs w:val="22"/>
              </w:rPr>
              <w:t>Ostravě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 ____________</w:t>
            </w:r>
          </w:p>
        </w:tc>
      </w:tr>
      <w:tr w:rsidR="00DB247F" w14:paraId="0C4EE596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77D6C78" w14:textId="77777777" w:rsidR="00DB247F" w:rsidRDefault="00DB247F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1B733E7" w14:textId="77777777" w:rsidR="00DB247F" w:rsidRDefault="00DB247F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087C8143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9CA559A" w14:textId="77777777" w:rsidR="00DB247F" w:rsidRDefault="00DB247F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242D1EE" w14:textId="77777777" w:rsidR="00DB247F" w:rsidRDefault="00DB247F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7615554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B77AD1A" w14:textId="77777777" w:rsidR="00DB247F" w:rsidRDefault="00DB247F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938760B" w14:textId="77777777" w:rsidR="00DB247F" w:rsidRDefault="00DB247F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3D4D89A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B75FB29" w14:textId="77777777" w:rsidR="00DB247F" w:rsidRDefault="00261716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831105C" w14:textId="77777777" w:rsidR="00DB247F" w:rsidRDefault="00261716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DB247F" w14:paraId="0917808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2A71C57" w14:textId="77777777" w:rsidR="00DB247F" w:rsidRDefault="00261716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FF730CA" w14:textId="77777777" w:rsidR="00DB247F" w:rsidRDefault="00261716" w:rsidP="00B45701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DB247F" w14:paraId="1D1527F9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5AAE8BA" w14:textId="77777777" w:rsidR="00DB247F" w:rsidRDefault="00DB247F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8AF030E" w14:textId="77777777" w:rsidR="00DB247F" w:rsidRDefault="00DB247F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FAB46E9" w14:textId="77777777" w:rsidR="00DB247F" w:rsidRDefault="00DB247F">
      <w:p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8CC2F1C" w14:textId="77777777" w:rsidR="00DB247F" w:rsidRDefault="00DB247F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DB2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C6C6" w14:textId="77777777" w:rsidR="003E3A66" w:rsidRDefault="003E3A66">
      <w:r>
        <w:separator/>
      </w:r>
    </w:p>
  </w:endnote>
  <w:endnote w:type="continuationSeparator" w:id="0">
    <w:p w14:paraId="74EB7FA8" w14:textId="77777777" w:rsidR="003E3A66" w:rsidRDefault="003E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telka Light">
    <w:altName w:val="Calibri"/>
    <w:panose1 w:val="00000000000000000000"/>
    <w:charset w:val="00"/>
    <w:family w:val="modern"/>
    <w:notTrueType/>
    <w:pitch w:val="variable"/>
    <w:sig w:usb0="A00002EF" w:usb1="5000206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4EE9C" w14:textId="77777777" w:rsidR="00DB247F" w:rsidRDefault="00261716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854A" w14:textId="77777777" w:rsidR="00DB247F" w:rsidRDefault="00261716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684F6CB0" wp14:editId="4A099A57">
          <wp:extent cx="6044475" cy="130492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793A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11F3B" w14:textId="77777777" w:rsidR="003E3A66" w:rsidRDefault="003E3A66">
      <w:r>
        <w:separator/>
      </w:r>
    </w:p>
  </w:footnote>
  <w:footnote w:type="continuationSeparator" w:id="0">
    <w:p w14:paraId="58D9F838" w14:textId="77777777" w:rsidR="003E3A66" w:rsidRDefault="003E3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8D42B" w14:textId="77777777" w:rsidR="00DB247F" w:rsidRDefault="00261716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1B001E3C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4C5B" w14:textId="77777777" w:rsidR="00DB247F" w:rsidRDefault="00261716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2F93D94A" wp14:editId="5603BBFB">
          <wp:extent cx="2866163" cy="85793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04E9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30A1"/>
    <w:multiLevelType w:val="multilevel"/>
    <w:tmpl w:val="9724D4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5A5C8F"/>
    <w:multiLevelType w:val="multilevel"/>
    <w:tmpl w:val="299EDC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6387C75"/>
    <w:multiLevelType w:val="multilevel"/>
    <w:tmpl w:val="D424E7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7AA5A21"/>
    <w:multiLevelType w:val="multilevel"/>
    <w:tmpl w:val="C60E9C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02250CC"/>
    <w:multiLevelType w:val="multilevel"/>
    <w:tmpl w:val="F1A6FA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3AE7FC3"/>
    <w:multiLevelType w:val="multilevel"/>
    <w:tmpl w:val="76DAEB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74021D4"/>
    <w:multiLevelType w:val="multilevel"/>
    <w:tmpl w:val="F86A90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8702DB0"/>
    <w:multiLevelType w:val="hybridMultilevel"/>
    <w:tmpl w:val="398C27A8"/>
    <w:lvl w:ilvl="0" w:tplc="C24096C0">
      <w:start w:val="1"/>
      <w:numFmt w:val="decimal"/>
      <w:pStyle w:val="odstavec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D1BE3"/>
    <w:multiLevelType w:val="multilevel"/>
    <w:tmpl w:val="1DFA69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94461931">
    <w:abstractNumId w:val="2"/>
  </w:num>
  <w:num w:numId="2" w16cid:durableId="1117483302">
    <w:abstractNumId w:val="3"/>
  </w:num>
  <w:num w:numId="3" w16cid:durableId="6909466">
    <w:abstractNumId w:val="6"/>
  </w:num>
  <w:num w:numId="4" w16cid:durableId="1293946653">
    <w:abstractNumId w:val="8"/>
  </w:num>
  <w:num w:numId="5" w16cid:durableId="643389204">
    <w:abstractNumId w:val="0"/>
  </w:num>
  <w:num w:numId="6" w16cid:durableId="1019309943">
    <w:abstractNumId w:val="5"/>
  </w:num>
  <w:num w:numId="7" w16cid:durableId="677660751">
    <w:abstractNumId w:val="4"/>
  </w:num>
  <w:num w:numId="8" w16cid:durableId="132405187">
    <w:abstractNumId w:val="1"/>
  </w:num>
  <w:num w:numId="9" w16cid:durableId="981925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7F"/>
    <w:rsid w:val="000817FF"/>
    <w:rsid w:val="00093EEB"/>
    <w:rsid w:val="00160FFA"/>
    <w:rsid w:val="00261716"/>
    <w:rsid w:val="00296156"/>
    <w:rsid w:val="003776A8"/>
    <w:rsid w:val="003E3A66"/>
    <w:rsid w:val="005C2918"/>
    <w:rsid w:val="00654A59"/>
    <w:rsid w:val="00725C95"/>
    <w:rsid w:val="007F4895"/>
    <w:rsid w:val="008570AE"/>
    <w:rsid w:val="008A44C5"/>
    <w:rsid w:val="009A08F9"/>
    <w:rsid w:val="00A33D7F"/>
    <w:rsid w:val="00A672C6"/>
    <w:rsid w:val="00A9503B"/>
    <w:rsid w:val="00B45701"/>
    <w:rsid w:val="00C26AA1"/>
    <w:rsid w:val="00C609A4"/>
    <w:rsid w:val="00D1259B"/>
    <w:rsid w:val="00D9054E"/>
    <w:rsid w:val="00DB247F"/>
    <w:rsid w:val="00DF15E3"/>
    <w:rsid w:val="00E6163A"/>
    <w:rsid w:val="00E733C0"/>
    <w:rsid w:val="00E915D8"/>
    <w:rsid w:val="00E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8CBC3"/>
  <w15:docId w15:val="{0CA5278E-F23C-48AB-A1D6-33849377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8A44C5"/>
    <w:pPr>
      <w:ind w:left="720"/>
      <w:contextualSpacing/>
    </w:pPr>
  </w:style>
  <w:style w:type="paragraph" w:customStyle="1" w:styleId="odstavec">
    <w:name w:val="odstavec"/>
    <w:basedOn w:val="Normlnweb"/>
    <w:link w:val="odstavecChar"/>
    <w:qFormat/>
    <w:rsid w:val="003776A8"/>
    <w:pPr>
      <w:numPr>
        <w:numId w:val="9"/>
      </w:numPr>
      <w:tabs>
        <w:tab w:val="left" w:pos="426"/>
      </w:tabs>
      <w:spacing w:before="240" w:after="120"/>
      <w:jc w:val="both"/>
    </w:pPr>
    <w:rPr>
      <w:rFonts w:ascii="Etelka Light" w:eastAsiaTheme="minorHAnsi" w:hAnsi="Etelka Light"/>
      <w:sz w:val="22"/>
      <w:szCs w:val="22"/>
    </w:rPr>
  </w:style>
  <w:style w:type="character" w:customStyle="1" w:styleId="odstavecChar">
    <w:name w:val="odstavec Char"/>
    <w:basedOn w:val="Standardnpsmoodstavce"/>
    <w:link w:val="odstavec"/>
    <w:rsid w:val="003776A8"/>
    <w:rPr>
      <w:rFonts w:ascii="Etelka Light" w:eastAsiaTheme="minorHAnsi" w:hAnsi="Etelka Light" w:cs="Times New Roman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3776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1222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Kuczinská Markéta</dc:creator>
  <cp:lastModifiedBy>Markéta Vyležíková</cp:lastModifiedBy>
  <cp:revision>2</cp:revision>
  <cp:lastPrinted>2025-10-16T11:39:00Z</cp:lastPrinted>
  <dcterms:created xsi:type="dcterms:W3CDTF">2025-11-20T13:20:00Z</dcterms:created>
  <dcterms:modified xsi:type="dcterms:W3CDTF">2025-11-20T13:20:00Z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7e663797-67c5-46bd-b3f9-bcbb3b8f0985</vt:lpwstr>
  </property>
</Properties>
</file>