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2253386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MEDIN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20.11.2025 9:58:21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2493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207827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 5x30mm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207810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207981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207755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207344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208034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207780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207974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207228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207449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krčkový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210425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NITRODŘEŇOVÝ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207803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208190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207170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207426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30915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Zátka ocel,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181 549,04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203 334,93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2253386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