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SO – betonové konstrukce koruny bezpečnostního</w:t>
        <w:br/>
        <w:t>přelivu - diagnostika betonových konstrukcí</w:t>
      </w:r>
      <w:bookmarkEnd w:id="0"/>
      <w:bookmarkEnd w:id="1"/>
      <w:bookmarkEnd w:id="2"/>
    </w:p>
    <w:p>
      <w:pPr>
        <w:pStyle w:val="Style6"/>
        <w:keepNext/>
        <w:keepLines/>
        <w:widowControl w:val="0"/>
        <w:shd w:val="clear" w:color="auto" w:fill="auto"/>
        <w:tabs>
          <w:tab w:pos="4522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VODNÍ DÍLA – TBD a.s.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Hybernská 1617/40, Nové Město, 110 00 Praha 1, IČO 49241648, za kterého jedná</w:t>
        <w:tab/>
        <w:t>, prokurista (dále jen „dodavatel“), tímto čestně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prohlašuje, že, bude-li s ním uzavřena smlouva na plnění veřejné zakázky, zajistí po celou dobu provádění díla:</w:t>
      </w:r>
      <w:bookmarkEnd w:id="6"/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60" w:line="240" w:lineRule="auto"/>
        <w:ind w:left="360" w:right="0" w:hanging="36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10"/>
      <w:bookmarkEnd w:id="7"/>
      <w:bookmarkEnd w:id="8"/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99" w:val="left"/>
          <w:tab w:pos="931" w:val="left"/>
        </w:tabs>
        <w:bidi w:val="0"/>
        <w:spacing w:before="0" w:after="0" w:line="266" w:lineRule="auto"/>
        <w:ind w:left="0" w:right="0" w:firstLine="0"/>
        <w:jc w:val="both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a)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</w:t>
      </w:r>
      <w:bookmarkEnd w:id="11"/>
      <w:bookmarkEnd w:id="12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60" w:right="0" w:firstLine="0"/>
        <w:jc w:val="both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5"/>
    </w:p>
    <w:p>
      <w:pPr>
        <w:pStyle w:val="Style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699" w:val="left"/>
          <w:tab w:pos="931" w:val="left"/>
        </w:tabs>
        <w:bidi w:val="0"/>
        <w:spacing w:before="0" w:after="0" w:line="264" w:lineRule="auto"/>
        <w:ind w:left="0" w:right="0" w:firstLine="0"/>
        <w:jc w:val="both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b)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</w:t>
      </w:r>
      <w:bookmarkEnd w:id="16"/>
      <w:bookmarkEnd w:id="17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0"/>
        <w:jc w:val="both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včasné plnění se považuje plné uhrazení poddodavatelem vystavených faktur za plnění poskytnutá k plnění veřejné zakázky, a to vždy do 3 pracovních dnů od obdržení platby ze strany zadavatele za konkrétní plnění.</w:t>
      </w:r>
      <w:bookmarkEnd w:id="20"/>
    </w:p>
    <w:sectPr>
      <w:footnotePr>
        <w:pos w:val="pageBottom"/>
        <w:numFmt w:val="decimal"/>
        <w:numRestart w:val="continuous"/>
      </w:footnotePr>
      <w:pgSz w:w="11909" w:h="16838"/>
      <w:pgMar w:top="1224" w:left="1473" w:right="1103" w:bottom="1224" w:header="796" w:footer="7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30"/>
      <w:ind w:left="180" w:hanging="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