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Objednatel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Centrum Kociánka</w:t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Kociánka 93/2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612 47 Brno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00093378, DIČ: CZ00093378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Č.ú. 197 136 621 / 0710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Dodavatel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PANOPRO, s.r.o.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Konská 410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739 61 Třinec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08045003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Objednáváme: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Skenování a prohlídka: Naše technologie laserového skenování je první krok pro tvorbu virtuální prohlídky s využitím inteligentní navigace nebo pro sběr dat (mračna bodů) s využitím při tvorbě projektové dokumentace stávajícího stavu objektů. Podrobnosti 3D model + 2D výkresy PRO: Jedná se o stavební výkresy dle vyhlášky 131/2024 Sb.. Výstupem je zjednodušená dokumentace bez geodetického zaměření, která obsahuje průvodní list, souhrnnou technickou zprávu, zjednodušený situační výkres a zjednodušenou výkresovou dokumentaci. Vše obsahem základního 3D modelu (LOD 300). Dle Vaší cenové nabídky ze dne 9.10.2025  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Dohodnutá cena:</w:t>
        <w:tab/>
        <w:tab/>
        <w:tab/>
        <w:t xml:space="preserve">294.250,- Kč bez DPH, 356.042,50 Kč včetně DPH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Požadovaný termín:</w:t>
        <w:tab/>
        <w:tab/>
        <w:tab/>
        <w:t xml:space="preserve">leden 2026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Schváleno - příkazce operace: 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XXXXXXXXXXX,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ředitel</w:t>
      </w:r>
    </w:p>
    <w:p w:rsidR="00000000" w:rsidDel="00000000" w:rsidP="00000000" w:rsidRDefault="00000000" w:rsidRPr="00000000" w14:paraId="00000019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Vyhotovil: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XXXXXXXX,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vedoucí provozního úseku</w:t>
        <w:tab/>
        <w:tab/>
        <w:t xml:space="preserve">Objednávku převzal: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</w:t>
      </w:r>
    </w:p>
    <w:p w:rsidR="00000000" w:rsidDel="00000000" w:rsidP="00000000" w:rsidRDefault="00000000" w:rsidRPr="00000000" w14:paraId="0000001B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 Brně, dne 10.11.2025</w:t>
        <w:tab/>
        <w:tab/>
        <w:tab/>
        <w:tab/>
      </w:r>
    </w:p>
    <w:p w:rsidR="00000000" w:rsidDel="00000000" w:rsidP="00000000" w:rsidRDefault="00000000" w:rsidRPr="00000000" w14:paraId="0000001D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Kontrolu operace provedl a schválil:</w:t>
      </w:r>
    </w:p>
    <w:p w:rsidR="00000000" w:rsidDel="00000000" w:rsidP="00000000" w:rsidRDefault="00000000" w:rsidRPr="00000000" w14:paraId="0000001F">
      <w:pPr>
        <w:spacing w:after="120" w:lineRule="auto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Správce rozpočtu: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</w:t>
      </w:r>
    </w:p>
    <w:p w:rsidR="00000000" w:rsidDel="00000000" w:rsidP="00000000" w:rsidRDefault="00000000" w:rsidRPr="00000000" w14:paraId="00000020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Hlavní účetní: 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ab/>
        <w:tab/>
        <w:t xml:space="preserve">                                            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677" w:left="1417" w:right="1417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ind w:right="-568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-351783</wp:posOffset>
          </wp:positionH>
          <wp:positionV relativeFrom="paragraph">
            <wp:posOffset>-47618</wp:posOffset>
          </wp:positionV>
          <wp:extent cx="286385" cy="286385"/>
          <wp:effectExtent b="0" l="0" r="0" t="0"/>
          <wp:wrapNone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568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www.kocianka.cz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6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09165" cy="753745"/>
          <wp:effectExtent b="0" l="0" r="0" t="0"/>
          <wp:docPr id="1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165" cy="753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28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color="000000" w:space="5" w:sz="4" w:val="single"/>
        <w:bottom w:color="000000" w:space="5" w:sz="4" w:val="single"/>
      </w:pBdr>
      <w:ind w:left="-284" w:right="-284" w:firstLine="0"/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Přímá objednávka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rsid w:val="00EC771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pat">
    <w:name w:val="footer"/>
    <w:basedOn w:val="Normln"/>
    <w:link w:val="ZpatChar"/>
    <w:uiPriority w:val="99"/>
    <w:rsid w:val="002735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3529"/>
  </w:style>
  <w:style w:type="character" w:styleId="ZpatChar" w:customStyle="1">
    <w:name w:val="Zápatí Char"/>
    <w:link w:val="Zpat"/>
    <w:uiPriority w:val="99"/>
    <w:rsid w:val="00B834B0"/>
    <w:rPr>
      <w:sz w:val="24"/>
      <w:szCs w:val="24"/>
    </w:rPr>
  </w:style>
  <w:style w:type="paragraph" w:styleId="Textbubliny">
    <w:name w:val="Balloon Text"/>
    <w:basedOn w:val="Normln"/>
    <w:link w:val="TextbublinyChar"/>
    <w:rsid w:val="00B834B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rsid w:val="00B834B0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rsid w:val="00173745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rsid w:val="00173745"/>
    <w:rPr>
      <w:sz w:val="24"/>
      <w:szCs w:val="24"/>
    </w:rPr>
  </w:style>
  <w:style w:type="character" w:styleId="Siln">
    <w:name w:val="Strong"/>
    <w:uiPriority w:val="22"/>
    <w:qFormat w:val="1"/>
    <w:rsid w:val="00727FCE"/>
    <w:rPr>
      <w:b w:val="1"/>
      <w:bCs w:val="1"/>
    </w:rPr>
  </w:style>
  <w:style w:type="paragraph" w:styleId="Default" w:customStyle="1">
    <w:name w:val="Default"/>
    <w:rsid w:val="00CA3036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3008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B8vFsQq8ytK9jcW/T+26JP+q3A==">CgMxLjA4AHIhMW9penNFN0J0bms0NnVwMXZLVXJ4cnd4UmJOOVdzTWZI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2024-03-01T11:46:00Z</dcterms:created>
  <dc:creator>Ing. Martin Hirschner</dc:creator>
</cp:coreProperties>
</file>