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34C7" w:rsidRDefault="00000000">
      <w:pPr>
        <w:spacing w:after="256" w:line="259" w:lineRule="auto"/>
        <w:ind w:left="2510" w:firstLine="0"/>
        <w:jc w:val="center"/>
      </w:pPr>
      <w:r>
        <w:t xml:space="preserve">Smlouva o zajištění uměleckého </w:t>
      </w:r>
      <w:r w:rsidR="00AF0D71">
        <w:t>vy</w:t>
      </w:r>
      <w:r>
        <w:t>stoupení číslo smlouvy: SM2500290</w:t>
      </w:r>
    </w:p>
    <w:tbl>
      <w:tblPr>
        <w:tblStyle w:val="TableGrid"/>
        <w:tblW w:w="8088" w:type="dxa"/>
        <w:tblInd w:w="14" w:type="dxa"/>
        <w:tblCellMar>
          <w:top w:w="1" w:type="dxa"/>
          <w:left w:w="0" w:type="dxa"/>
          <w:bottom w:w="14" w:type="dxa"/>
          <w:right w:w="0" w:type="dxa"/>
        </w:tblCellMar>
        <w:tblLook w:val="04A0" w:firstRow="1" w:lastRow="0" w:firstColumn="1" w:lastColumn="0" w:noHBand="0" w:noVBand="1"/>
      </w:tblPr>
      <w:tblGrid>
        <w:gridCol w:w="15"/>
        <w:gridCol w:w="2501"/>
        <w:gridCol w:w="1812"/>
        <w:gridCol w:w="3633"/>
        <w:gridCol w:w="127"/>
      </w:tblGrid>
      <w:tr w:rsidR="00B534C7">
        <w:trPr>
          <w:gridAfter w:val="1"/>
          <w:wAfter w:w="131" w:type="dxa"/>
          <w:trHeight w:val="328"/>
        </w:trPr>
        <w:tc>
          <w:tcPr>
            <w:tcW w:w="4406" w:type="dxa"/>
            <w:gridSpan w:val="3"/>
            <w:tcBorders>
              <w:top w:val="nil"/>
              <w:left w:val="nil"/>
              <w:bottom w:val="nil"/>
              <w:right w:val="nil"/>
            </w:tcBorders>
          </w:tcPr>
          <w:p w:rsidR="00B534C7" w:rsidRDefault="00000000">
            <w:pPr>
              <w:spacing w:after="0" w:line="259" w:lineRule="auto"/>
              <w:ind w:left="0" w:right="0" w:firstLine="0"/>
              <w:jc w:val="left"/>
            </w:pPr>
            <w:r>
              <w:t xml:space="preserve">Vystupující/Agentura: Dyk </w:t>
            </w:r>
            <w:proofErr w:type="spellStart"/>
            <w:r>
              <w:t>Production</w:t>
            </w:r>
            <w:proofErr w:type="spellEnd"/>
            <w:r>
              <w:t xml:space="preserve"> s.</w:t>
            </w:r>
            <w:proofErr w:type="gramStart"/>
            <w:r>
              <w:t>r.o</w:t>
            </w:r>
            <w:proofErr w:type="gramEnd"/>
          </w:p>
        </w:tc>
        <w:tc>
          <w:tcPr>
            <w:tcW w:w="3682" w:type="dxa"/>
            <w:tcBorders>
              <w:top w:val="nil"/>
              <w:left w:val="nil"/>
              <w:bottom w:val="nil"/>
              <w:right w:val="nil"/>
            </w:tcBorders>
          </w:tcPr>
          <w:p w:rsidR="00B534C7" w:rsidRDefault="00000000">
            <w:pPr>
              <w:spacing w:after="0" w:line="259" w:lineRule="auto"/>
              <w:ind w:left="24" w:right="0" w:firstLine="0"/>
              <w:jc w:val="left"/>
            </w:pPr>
            <w:r>
              <w:t>Pořadatel: AKORD &amp; POKLAD, s r.o.</w:t>
            </w:r>
          </w:p>
        </w:tc>
      </w:tr>
      <w:tr w:rsidR="00B534C7">
        <w:trPr>
          <w:gridAfter w:val="1"/>
          <w:wAfter w:w="131" w:type="dxa"/>
          <w:trHeight w:val="347"/>
        </w:trPr>
        <w:tc>
          <w:tcPr>
            <w:tcW w:w="4406" w:type="dxa"/>
            <w:gridSpan w:val="3"/>
            <w:tcBorders>
              <w:top w:val="nil"/>
              <w:left w:val="nil"/>
              <w:bottom w:val="nil"/>
              <w:right w:val="nil"/>
            </w:tcBorders>
            <w:vAlign w:val="bottom"/>
          </w:tcPr>
          <w:p w:rsidR="00B534C7" w:rsidRDefault="00000000">
            <w:pPr>
              <w:spacing w:after="0" w:line="259" w:lineRule="auto"/>
              <w:ind w:left="5" w:right="0" w:firstLine="0"/>
              <w:jc w:val="left"/>
            </w:pPr>
            <w:r>
              <w:t>Adresa: Zvonařovská 13</w:t>
            </w:r>
          </w:p>
        </w:tc>
        <w:tc>
          <w:tcPr>
            <w:tcW w:w="3682" w:type="dxa"/>
            <w:tcBorders>
              <w:top w:val="nil"/>
              <w:left w:val="nil"/>
              <w:bottom w:val="nil"/>
              <w:right w:val="nil"/>
            </w:tcBorders>
          </w:tcPr>
          <w:p w:rsidR="00B534C7" w:rsidRDefault="00000000">
            <w:pPr>
              <w:spacing w:after="0" w:line="259" w:lineRule="auto"/>
              <w:ind w:left="14" w:right="0" w:firstLine="0"/>
              <w:jc w:val="left"/>
            </w:pPr>
            <w:r>
              <w:t>Adresa: náměstí SNP 1,</w:t>
            </w:r>
          </w:p>
        </w:tc>
      </w:tr>
      <w:tr w:rsidR="00B534C7">
        <w:trPr>
          <w:gridAfter w:val="1"/>
          <w:wAfter w:w="131" w:type="dxa"/>
          <w:trHeight w:val="461"/>
        </w:trPr>
        <w:tc>
          <w:tcPr>
            <w:tcW w:w="4406" w:type="dxa"/>
            <w:gridSpan w:val="3"/>
            <w:tcBorders>
              <w:top w:val="nil"/>
              <w:left w:val="nil"/>
              <w:bottom w:val="nil"/>
              <w:right w:val="nil"/>
            </w:tcBorders>
          </w:tcPr>
          <w:p w:rsidR="00B534C7" w:rsidRDefault="00000000">
            <w:pPr>
              <w:spacing w:after="0" w:line="259" w:lineRule="auto"/>
              <w:ind w:left="14" w:right="0" w:firstLine="0"/>
              <w:jc w:val="left"/>
            </w:pPr>
            <w:r>
              <w:t>Praha 180 OO</w:t>
            </w:r>
          </w:p>
        </w:tc>
        <w:tc>
          <w:tcPr>
            <w:tcW w:w="3682" w:type="dxa"/>
            <w:tcBorders>
              <w:top w:val="nil"/>
              <w:left w:val="nil"/>
              <w:bottom w:val="nil"/>
              <w:right w:val="nil"/>
            </w:tcBorders>
          </w:tcPr>
          <w:p w:rsidR="00B534C7" w:rsidRDefault="00000000">
            <w:pPr>
              <w:spacing w:after="0" w:line="259" w:lineRule="auto"/>
              <w:ind w:left="19" w:right="0" w:firstLine="0"/>
              <w:jc w:val="left"/>
            </w:pPr>
            <w:r>
              <w:t>700 30, Ostrava — Zábřeh</w:t>
            </w:r>
          </w:p>
        </w:tc>
      </w:tr>
      <w:tr w:rsidR="00B534C7">
        <w:trPr>
          <w:gridAfter w:val="1"/>
          <w:wAfter w:w="131" w:type="dxa"/>
          <w:trHeight w:val="471"/>
        </w:trPr>
        <w:tc>
          <w:tcPr>
            <w:tcW w:w="4406" w:type="dxa"/>
            <w:gridSpan w:val="3"/>
            <w:tcBorders>
              <w:top w:val="nil"/>
              <w:left w:val="nil"/>
              <w:bottom w:val="nil"/>
              <w:right w:val="nil"/>
            </w:tcBorders>
            <w:vAlign w:val="bottom"/>
          </w:tcPr>
          <w:p w:rsidR="00B534C7" w:rsidRDefault="00000000">
            <w:pPr>
              <w:spacing w:after="0" w:line="259" w:lineRule="auto"/>
              <w:ind w:left="14" w:right="0" w:firstLine="0"/>
              <w:jc w:val="left"/>
            </w:pPr>
            <w:proofErr w:type="spellStart"/>
            <w:r>
              <w:t>lč</w:t>
            </w:r>
            <w:proofErr w:type="spellEnd"/>
            <w:r>
              <w:t>: 08177988 DIČ: cz08177988</w:t>
            </w:r>
          </w:p>
        </w:tc>
        <w:tc>
          <w:tcPr>
            <w:tcW w:w="3682" w:type="dxa"/>
            <w:tcBorders>
              <w:top w:val="nil"/>
              <w:left w:val="nil"/>
              <w:bottom w:val="nil"/>
              <w:right w:val="nil"/>
            </w:tcBorders>
            <w:vAlign w:val="bottom"/>
          </w:tcPr>
          <w:p w:rsidR="00B534C7" w:rsidRDefault="00000000">
            <w:pPr>
              <w:spacing w:after="0" w:line="259" w:lineRule="auto"/>
              <w:ind w:left="19" w:right="0" w:firstLine="0"/>
              <w:jc w:val="left"/>
            </w:pPr>
            <w:proofErr w:type="spellStart"/>
            <w:r>
              <w:t>lč</w:t>
            </w:r>
            <w:proofErr w:type="spellEnd"/>
            <w:r>
              <w:t>: 47973145 DIČ: CZ47973145</w:t>
            </w:r>
          </w:p>
        </w:tc>
      </w:tr>
      <w:tr w:rsidR="00B534C7">
        <w:trPr>
          <w:gridAfter w:val="1"/>
          <w:wAfter w:w="131" w:type="dxa"/>
          <w:trHeight w:val="236"/>
        </w:trPr>
        <w:tc>
          <w:tcPr>
            <w:tcW w:w="4406" w:type="dxa"/>
            <w:gridSpan w:val="3"/>
            <w:tcBorders>
              <w:top w:val="nil"/>
              <w:left w:val="nil"/>
              <w:bottom w:val="nil"/>
              <w:right w:val="nil"/>
            </w:tcBorders>
          </w:tcPr>
          <w:p w:rsidR="00B534C7" w:rsidRDefault="00000000">
            <w:pPr>
              <w:spacing w:after="0" w:line="259" w:lineRule="auto"/>
              <w:ind w:left="10" w:right="0" w:firstLine="0"/>
              <w:jc w:val="left"/>
            </w:pPr>
            <w:r>
              <w:t>zapsán v obchodním rejstříku Městského soudu</w:t>
            </w:r>
          </w:p>
        </w:tc>
        <w:tc>
          <w:tcPr>
            <w:tcW w:w="3682" w:type="dxa"/>
            <w:tcBorders>
              <w:top w:val="nil"/>
              <w:left w:val="nil"/>
              <w:bottom w:val="nil"/>
              <w:right w:val="nil"/>
            </w:tcBorders>
          </w:tcPr>
          <w:p w:rsidR="00B534C7" w:rsidRDefault="00000000">
            <w:pPr>
              <w:spacing w:after="0" w:line="259" w:lineRule="auto"/>
              <w:ind w:left="14" w:right="0" w:firstLine="0"/>
            </w:pPr>
            <w:r>
              <w:t>zapsán v obchodním rejstříku Krajského soudu v</w:t>
            </w:r>
          </w:p>
        </w:tc>
      </w:tr>
      <w:tr w:rsidR="00B534C7">
        <w:trPr>
          <w:gridAfter w:val="1"/>
          <w:wAfter w:w="131" w:type="dxa"/>
          <w:trHeight w:val="463"/>
        </w:trPr>
        <w:tc>
          <w:tcPr>
            <w:tcW w:w="4406" w:type="dxa"/>
            <w:gridSpan w:val="3"/>
            <w:tcBorders>
              <w:top w:val="nil"/>
              <w:left w:val="nil"/>
              <w:bottom w:val="nil"/>
              <w:right w:val="nil"/>
            </w:tcBorders>
          </w:tcPr>
          <w:p w:rsidR="00B534C7" w:rsidRDefault="00000000">
            <w:pPr>
              <w:spacing w:after="0" w:line="259" w:lineRule="auto"/>
              <w:ind w:left="0" w:right="0" w:firstLine="0"/>
              <w:jc w:val="left"/>
            </w:pPr>
            <w:r>
              <w:t>v Praze, č. listiny C 362119</w:t>
            </w:r>
          </w:p>
        </w:tc>
        <w:tc>
          <w:tcPr>
            <w:tcW w:w="3682" w:type="dxa"/>
            <w:tcBorders>
              <w:top w:val="nil"/>
              <w:left w:val="nil"/>
              <w:bottom w:val="nil"/>
              <w:right w:val="nil"/>
            </w:tcBorders>
          </w:tcPr>
          <w:p w:rsidR="00B534C7" w:rsidRDefault="00000000">
            <w:pPr>
              <w:spacing w:after="0" w:line="259" w:lineRule="auto"/>
              <w:ind w:left="14" w:right="494" w:firstLine="0"/>
              <w:jc w:val="left"/>
            </w:pPr>
            <w:r>
              <w:t>Ostravě, oddíl C, vložka 5281 čs. spořitelna Ostrava, 1645833389/0800</w:t>
            </w:r>
          </w:p>
        </w:tc>
      </w:tr>
      <w:tr w:rsidR="00B534C7">
        <w:trPr>
          <w:gridAfter w:val="1"/>
          <w:wAfter w:w="131" w:type="dxa"/>
          <w:trHeight w:val="471"/>
        </w:trPr>
        <w:tc>
          <w:tcPr>
            <w:tcW w:w="4406" w:type="dxa"/>
            <w:gridSpan w:val="3"/>
            <w:tcBorders>
              <w:top w:val="nil"/>
              <w:left w:val="nil"/>
              <w:bottom w:val="nil"/>
              <w:right w:val="nil"/>
            </w:tcBorders>
          </w:tcPr>
          <w:p w:rsidR="00B534C7" w:rsidRDefault="00000000">
            <w:pPr>
              <w:spacing w:after="0" w:line="259" w:lineRule="auto"/>
              <w:ind w:left="0" w:right="0" w:firstLine="0"/>
              <w:jc w:val="left"/>
            </w:pPr>
            <w:r>
              <w:t>Zastoupena: Vojtěch Dyk —jednatel</w:t>
            </w:r>
          </w:p>
        </w:tc>
        <w:tc>
          <w:tcPr>
            <w:tcW w:w="3682" w:type="dxa"/>
            <w:tcBorders>
              <w:top w:val="nil"/>
              <w:left w:val="nil"/>
              <w:bottom w:val="nil"/>
              <w:right w:val="nil"/>
            </w:tcBorders>
          </w:tcPr>
          <w:p w:rsidR="00B534C7" w:rsidRDefault="00000000">
            <w:pPr>
              <w:spacing w:after="0" w:line="259" w:lineRule="auto"/>
              <w:ind w:left="0" w:right="0" w:firstLine="10"/>
              <w:jc w:val="left"/>
            </w:pPr>
            <w:r>
              <w:t>Zastoupena: Mgr. Bc. Darina Daňková, MBA — jednatelka</w:t>
            </w:r>
          </w:p>
        </w:tc>
      </w:tr>
      <w:tr w:rsidR="00B534C7">
        <w:trPr>
          <w:gridAfter w:val="1"/>
          <w:wAfter w:w="131" w:type="dxa"/>
          <w:trHeight w:val="231"/>
        </w:trPr>
        <w:tc>
          <w:tcPr>
            <w:tcW w:w="4406" w:type="dxa"/>
            <w:gridSpan w:val="3"/>
            <w:tcBorders>
              <w:top w:val="nil"/>
              <w:left w:val="nil"/>
              <w:bottom w:val="nil"/>
              <w:right w:val="nil"/>
            </w:tcBorders>
          </w:tcPr>
          <w:p w:rsidR="00B534C7" w:rsidRDefault="00000000">
            <w:pPr>
              <w:spacing w:after="0" w:line="259" w:lineRule="auto"/>
              <w:ind w:left="0" w:right="0" w:firstLine="0"/>
              <w:jc w:val="left"/>
            </w:pPr>
            <w:r>
              <w:t>Vyřizuje: Karolína Al-</w:t>
            </w:r>
            <w:proofErr w:type="spellStart"/>
            <w:r>
              <w:t>Eraidiová</w:t>
            </w:r>
            <w:proofErr w:type="spellEnd"/>
          </w:p>
        </w:tc>
        <w:tc>
          <w:tcPr>
            <w:tcW w:w="3682" w:type="dxa"/>
            <w:tcBorders>
              <w:top w:val="nil"/>
              <w:left w:val="nil"/>
              <w:bottom w:val="nil"/>
              <w:right w:val="nil"/>
            </w:tcBorders>
          </w:tcPr>
          <w:p w:rsidR="00B534C7" w:rsidRDefault="00000000">
            <w:pPr>
              <w:spacing w:after="0" w:line="259" w:lineRule="auto"/>
              <w:ind w:left="10" w:right="0" w:firstLine="0"/>
              <w:jc w:val="left"/>
            </w:pPr>
            <w:r>
              <w:t xml:space="preserve">Vyřizuje: Petra </w:t>
            </w:r>
            <w:proofErr w:type="spellStart"/>
            <w:r>
              <w:t>Hniková</w:t>
            </w:r>
            <w:proofErr w:type="spellEnd"/>
            <w:r>
              <w:t xml:space="preserve"> Charmite</w:t>
            </w:r>
          </w:p>
        </w:tc>
      </w:tr>
      <w:tr w:rsidR="00B534C7">
        <w:trPr>
          <w:gridAfter w:val="1"/>
          <w:wAfter w:w="131" w:type="dxa"/>
          <w:trHeight w:val="227"/>
        </w:trPr>
        <w:tc>
          <w:tcPr>
            <w:tcW w:w="4406" w:type="dxa"/>
            <w:gridSpan w:val="3"/>
            <w:tcBorders>
              <w:top w:val="nil"/>
              <w:left w:val="nil"/>
              <w:bottom w:val="nil"/>
              <w:right w:val="nil"/>
            </w:tcBorders>
          </w:tcPr>
          <w:p w:rsidR="00B534C7" w:rsidRDefault="00AF0D71">
            <w:pPr>
              <w:spacing w:after="0" w:line="259" w:lineRule="auto"/>
              <w:ind w:left="10" w:right="0" w:firstLine="0"/>
              <w:jc w:val="left"/>
            </w:pPr>
            <w:proofErr w:type="spellStart"/>
            <w:r>
              <w:rPr>
                <w:sz w:val="18"/>
                <w:u w:val="single" w:color="000000"/>
              </w:rPr>
              <w:t>xxxxxxxxxxxxxxxx</w:t>
            </w:r>
            <w:proofErr w:type="spellEnd"/>
            <w:r w:rsidR="00000000">
              <w:rPr>
                <w:sz w:val="18"/>
                <w:u w:val="single" w:color="000000"/>
              </w:rPr>
              <w:t xml:space="preserve">, </w:t>
            </w:r>
            <w:proofErr w:type="spellStart"/>
            <w:r>
              <w:rPr>
                <w:sz w:val="18"/>
              </w:rPr>
              <w:t>xxxxxxxxx</w:t>
            </w:r>
            <w:proofErr w:type="spellEnd"/>
          </w:p>
        </w:tc>
        <w:tc>
          <w:tcPr>
            <w:tcW w:w="3682" w:type="dxa"/>
            <w:tcBorders>
              <w:top w:val="nil"/>
              <w:left w:val="nil"/>
              <w:bottom w:val="nil"/>
              <w:right w:val="nil"/>
            </w:tcBorders>
          </w:tcPr>
          <w:p w:rsidR="00B534C7" w:rsidRDefault="00000000">
            <w:pPr>
              <w:spacing w:after="0" w:line="259" w:lineRule="auto"/>
              <w:ind w:left="24" w:right="0" w:firstLine="0"/>
              <w:jc w:val="left"/>
            </w:pPr>
            <w:r>
              <w:rPr>
                <w:u w:val="single" w:color="000000"/>
              </w:rPr>
              <w:t xml:space="preserve">p.charmite@akord-poklad.cz </w:t>
            </w:r>
            <w:proofErr w:type="spellStart"/>
            <w:r w:rsidR="00AF0D71">
              <w:t>xxxxxxxxx</w:t>
            </w:r>
            <w:proofErr w:type="spellEnd"/>
          </w:p>
        </w:tc>
      </w:tr>
      <w:tr w:rsidR="00B534C7">
        <w:tblPrEx>
          <w:tblCellMar>
            <w:top w:w="19" w:type="dxa"/>
            <w:bottom w:w="0" w:type="dxa"/>
          </w:tblCellMar>
        </w:tblPrEx>
        <w:trPr>
          <w:gridBefore w:val="1"/>
          <w:wBefore w:w="15" w:type="dxa"/>
          <w:trHeight w:val="215"/>
        </w:trPr>
        <w:tc>
          <w:tcPr>
            <w:tcW w:w="2530" w:type="dxa"/>
            <w:tcBorders>
              <w:top w:val="nil"/>
              <w:left w:val="nil"/>
              <w:bottom w:val="nil"/>
              <w:right w:val="nil"/>
            </w:tcBorders>
          </w:tcPr>
          <w:p w:rsidR="00B534C7" w:rsidRDefault="00000000">
            <w:pPr>
              <w:spacing w:after="0" w:line="259" w:lineRule="auto"/>
              <w:ind w:left="0" w:right="0" w:firstLine="0"/>
              <w:jc w:val="left"/>
            </w:pPr>
            <w:r>
              <w:rPr>
                <w:u w:val="single" w:color="000000"/>
              </w:rPr>
              <w:t>l. Podrobnosti akce</w:t>
            </w:r>
          </w:p>
        </w:tc>
        <w:tc>
          <w:tcPr>
            <w:tcW w:w="5674" w:type="dxa"/>
            <w:gridSpan w:val="3"/>
            <w:tcBorders>
              <w:top w:val="nil"/>
              <w:left w:val="nil"/>
              <w:bottom w:val="nil"/>
              <w:right w:val="nil"/>
            </w:tcBorders>
          </w:tcPr>
          <w:p w:rsidR="00B534C7" w:rsidRDefault="00B534C7">
            <w:pPr>
              <w:spacing w:after="160" w:line="259" w:lineRule="auto"/>
              <w:ind w:left="0" w:right="0" w:firstLine="0"/>
              <w:jc w:val="left"/>
            </w:pPr>
          </w:p>
        </w:tc>
      </w:tr>
      <w:tr w:rsidR="00B534C7">
        <w:tblPrEx>
          <w:tblCellMar>
            <w:top w:w="19" w:type="dxa"/>
            <w:bottom w:w="0" w:type="dxa"/>
          </w:tblCellMar>
        </w:tblPrEx>
        <w:trPr>
          <w:gridBefore w:val="1"/>
          <w:wBefore w:w="15" w:type="dxa"/>
          <w:trHeight w:val="649"/>
        </w:trPr>
        <w:tc>
          <w:tcPr>
            <w:tcW w:w="2530" w:type="dxa"/>
            <w:tcBorders>
              <w:top w:val="nil"/>
              <w:left w:val="nil"/>
              <w:bottom w:val="nil"/>
              <w:right w:val="nil"/>
            </w:tcBorders>
          </w:tcPr>
          <w:p w:rsidR="00B534C7" w:rsidRDefault="00000000">
            <w:pPr>
              <w:spacing w:after="0" w:line="259" w:lineRule="auto"/>
              <w:ind w:left="0" w:right="0" w:firstLine="0"/>
              <w:jc w:val="left"/>
            </w:pPr>
            <w:r>
              <w:t>Název akce:</w:t>
            </w:r>
          </w:p>
        </w:tc>
        <w:tc>
          <w:tcPr>
            <w:tcW w:w="5674" w:type="dxa"/>
            <w:gridSpan w:val="3"/>
            <w:tcBorders>
              <w:top w:val="nil"/>
              <w:left w:val="nil"/>
              <w:bottom w:val="nil"/>
              <w:right w:val="nil"/>
            </w:tcBorders>
          </w:tcPr>
          <w:p w:rsidR="00B534C7" w:rsidRDefault="00000000">
            <w:pPr>
              <w:spacing w:after="0" w:line="259" w:lineRule="auto"/>
              <w:ind w:left="168" w:right="0" w:firstLine="5"/>
            </w:pPr>
            <w:proofErr w:type="spellStart"/>
            <w:r>
              <w:t>InspiroHub</w:t>
            </w:r>
            <w:proofErr w:type="spellEnd"/>
            <w:r>
              <w:t xml:space="preserve">: Vojtěch Dyk a Pavla </w:t>
            </w:r>
            <w:proofErr w:type="spellStart"/>
            <w:r>
              <w:t>Fendrichová</w:t>
            </w:r>
            <w:proofErr w:type="spellEnd"/>
            <w:r>
              <w:t xml:space="preserve"> — Zpěv v pohybu, pohyb ve zpěvu (hlasový workshop)</w:t>
            </w:r>
          </w:p>
        </w:tc>
      </w:tr>
      <w:tr w:rsidR="00B534C7">
        <w:tblPrEx>
          <w:tblCellMar>
            <w:top w:w="19" w:type="dxa"/>
            <w:bottom w:w="0" w:type="dxa"/>
          </w:tblCellMar>
        </w:tblPrEx>
        <w:trPr>
          <w:gridBefore w:val="1"/>
          <w:wBefore w:w="15" w:type="dxa"/>
          <w:trHeight w:val="676"/>
        </w:trPr>
        <w:tc>
          <w:tcPr>
            <w:tcW w:w="2530" w:type="dxa"/>
            <w:tcBorders>
              <w:top w:val="nil"/>
              <w:left w:val="nil"/>
              <w:bottom w:val="nil"/>
              <w:right w:val="nil"/>
            </w:tcBorders>
          </w:tcPr>
          <w:p w:rsidR="00B534C7" w:rsidRDefault="00000000">
            <w:pPr>
              <w:spacing w:after="0" w:line="259" w:lineRule="auto"/>
              <w:ind w:left="0" w:right="0" w:firstLine="0"/>
              <w:jc w:val="left"/>
            </w:pPr>
            <w:r>
              <w:t>Datum a hodina:</w:t>
            </w:r>
          </w:p>
        </w:tc>
        <w:tc>
          <w:tcPr>
            <w:tcW w:w="5674" w:type="dxa"/>
            <w:gridSpan w:val="3"/>
            <w:tcBorders>
              <w:top w:val="nil"/>
              <w:left w:val="nil"/>
              <w:bottom w:val="nil"/>
              <w:right w:val="nil"/>
            </w:tcBorders>
          </w:tcPr>
          <w:p w:rsidR="00B534C7" w:rsidRDefault="00000000">
            <w:pPr>
              <w:spacing w:after="42" w:line="259" w:lineRule="auto"/>
              <w:ind w:left="168" w:right="0" w:firstLine="0"/>
              <w:jc w:val="left"/>
            </w:pPr>
            <w:r>
              <w:rPr>
                <w:sz w:val="22"/>
              </w:rPr>
              <w:t xml:space="preserve">27.3. 2026 </w:t>
            </w:r>
            <w:r w:rsidR="00AF0D71">
              <w:rPr>
                <w:sz w:val="22"/>
              </w:rPr>
              <w:t>10:00-13:00 a 14:30-17:30</w:t>
            </w:r>
          </w:p>
          <w:p w:rsidR="00B534C7" w:rsidRDefault="00000000">
            <w:pPr>
              <w:spacing w:after="0" w:line="259" w:lineRule="auto"/>
              <w:ind w:left="168" w:right="0" w:firstLine="0"/>
              <w:jc w:val="left"/>
            </w:pPr>
            <w:r>
              <w:t xml:space="preserve">28.3.2026 </w:t>
            </w:r>
            <w:r w:rsidR="00AF0D71">
              <w:rPr>
                <w:noProof/>
              </w:rPr>
              <w:t>10:00-13:00 a 14:30-17:30</w:t>
            </w:r>
          </w:p>
        </w:tc>
      </w:tr>
      <w:tr w:rsidR="00B534C7">
        <w:tblPrEx>
          <w:tblCellMar>
            <w:top w:w="19" w:type="dxa"/>
            <w:bottom w:w="0" w:type="dxa"/>
          </w:tblCellMar>
        </w:tblPrEx>
        <w:trPr>
          <w:gridBefore w:val="1"/>
          <w:wBefore w:w="15" w:type="dxa"/>
          <w:trHeight w:val="294"/>
        </w:trPr>
        <w:tc>
          <w:tcPr>
            <w:tcW w:w="2530" w:type="dxa"/>
            <w:tcBorders>
              <w:top w:val="nil"/>
              <w:left w:val="nil"/>
              <w:bottom w:val="nil"/>
              <w:right w:val="nil"/>
            </w:tcBorders>
            <w:vAlign w:val="bottom"/>
          </w:tcPr>
          <w:p w:rsidR="00B534C7" w:rsidRDefault="00000000">
            <w:pPr>
              <w:spacing w:after="0" w:line="259" w:lineRule="auto"/>
              <w:ind w:left="0" w:right="0" w:firstLine="0"/>
              <w:jc w:val="left"/>
            </w:pPr>
            <w:r>
              <w:t>Místo:</w:t>
            </w:r>
          </w:p>
        </w:tc>
        <w:tc>
          <w:tcPr>
            <w:tcW w:w="5674" w:type="dxa"/>
            <w:gridSpan w:val="3"/>
            <w:tcBorders>
              <w:top w:val="nil"/>
              <w:left w:val="nil"/>
              <w:bottom w:val="nil"/>
              <w:right w:val="nil"/>
            </w:tcBorders>
          </w:tcPr>
          <w:p w:rsidR="00B534C7" w:rsidRDefault="00000000">
            <w:pPr>
              <w:spacing w:after="0" w:line="259" w:lineRule="auto"/>
              <w:ind w:left="0" w:right="43" w:firstLine="0"/>
              <w:jc w:val="right"/>
            </w:pPr>
            <w:r>
              <w:t>DK Poklad, Ostrava-Poruba, Matěje Kopeckého 675/21, Ostrava-Poruba</w:t>
            </w:r>
          </w:p>
        </w:tc>
      </w:tr>
    </w:tbl>
    <w:p w:rsidR="00B534C7" w:rsidRDefault="00000000">
      <w:pPr>
        <w:tabs>
          <w:tab w:val="center" w:pos="3749"/>
        </w:tabs>
        <w:spacing w:after="585"/>
        <w:ind w:left="0" w:right="0" w:firstLine="0"/>
        <w:jc w:val="left"/>
      </w:pPr>
      <w:r>
        <w:t>Čas vystoupení:</w:t>
      </w:r>
      <w:r>
        <w:tab/>
      </w:r>
      <w:r>
        <w:rPr>
          <w:noProof/>
        </w:rPr>
        <w:drawing>
          <wp:inline distT="0" distB="0" distL="0" distR="0">
            <wp:extent cx="1286256" cy="94515"/>
            <wp:effectExtent l="0" t="0" r="0" b="0"/>
            <wp:docPr id="1732" name="Picture 1732"/>
            <wp:cNvGraphicFramePr/>
            <a:graphic xmlns:a="http://schemas.openxmlformats.org/drawingml/2006/main">
              <a:graphicData uri="http://schemas.openxmlformats.org/drawingml/2006/picture">
                <pic:pic xmlns:pic="http://schemas.openxmlformats.org/drawingml/2006/picture">
                  <pic:nvPicPr>
                    <pic:cNvPr id="1732" name="Picture 1732"/>
                    <pic:cNvPicPr/>
                  </pic:nvPicPr>
                  <pic:blipFill>
                    <a:blip r:embed="rId5"/>
                    <a:stretch>
                      <a:fillRect/>
                    </a:stretch>
                  </pic:blipFill>
                  <pic:spPr>
                    <a:xfrm>
                      <a:off x="0" y="0"/>
                      <a:ext cx="1286256" cy="94515"/>
                    </a:xfrm>
                    <a:prstGeom prst="rect">
                      <a:avLst/>
                    </a:prstGeom>
                  </pic:spPr>
                </pic:pic>
              </a:graphicData>
            </a:graphic>
          </wp:inline>
        </w:drawing>
      </w:r>
    </w:p>
    <w:p w:rsidR="00B534C7" w:rsidRDefault="00000000">
      <w:pPr>
        <w:spacing w:after="13" w:line="259" w:lineRule="auto"/>
        <w:ind w:left="43" w:right="0" w:hanging="10"/>
        <w:jc w:val="left"/>
      </w:pPr>
      <w:proofErr w:type="spellStart"/>
      <w:r>
        <w:rPr>
          <w:u w:val="single" w:color="000000"/>
        </w:rPr>
        <w:t>Il</w:t>
      </w:r>
      <w:proofErr w:type="spellEnd"/>
      <w:r>
        <w:rPr>
          <w:u w:val="single" w:color="000000"/>
        </w:rPr>
        <w:t>. Cenové podmín</w:t>
      </w:r>
      <w:r w:rsidR="00AF0D71">
        <w:rPr>
          <w:u w:val="single" w:color="000000"/>
        </w:rPr>
        <w:t>ky</w:t>
      </w:r>
    </w:p>
    <w:p w:rsidR="00B534C7" w:rsidRDefault="00000000">
      <w:pPr>
        <w:numPr>
          <w:ilvl w:val="0"/>
          <w:numId w:val="1"/>
        </w:numPr>
        <w:ind w:right="734"/>
      </w:pPr>
      <w:r>
        <w:t>Za sjednané vystoupení uhradí pořadatel po uskutečnění sjednaného vystoupení honorář ve výši 45.000 Kč a 45.000 Kč. (Cena za den)</w:t>
      </w:r>
    </w:p>
    <w:p w:rsidR="00B534C7" w:rsidRDefault="00000000">
      <w:pPr>
        <w:numPr>
          <w:ilvl w:val="0"/>
          <w:numId w:val="1"/>
        </w:numPr>
        <w:spacing w:after="230"/>
        <w:ind w:right="734"/>
      </w:pPr>
      <w:r>
        <w:t>Sjednaná celková částka bude Pořadatelem uhrazena bankovním převodem po skončení akce na základě platné smlouvy o uměleckém vystoupení či vystavené faktury se splatností 14 dnů od data jejího vystavení.</w:t>
      </w:r>
    </w:p>
    <w:p w:rsidR="00B534C7" w:rsidRDefault="00000000">
      <w:pPr>
        <w:spacing w:after="13" w:line="259" w:lineRule="auto"/>
        <w:ind w:left="43" w:right="0" w:hanging="10"/>
        <w:jc w:val="left"/>
      </w:pPr>
      <w:proofErr w:type="spellStart"/>
      <w:r>
        <w:rPr>
          <w:u w:val="single" w:color="000000"/>
        </w:rPr>
        <w:t>Ill</w:t>
      </w:r>
      <w:proofErr w:type="spellEnd"/>
      <w:r>
        <w:rPr>
          <w:u w:val="single" w:color="000000"/>
        </w:rPr>
        <w:t>. Technické podmínky:</w:t>
      </w:r>
    </w:p>
    <w:p w:rsidR="00B534C7" w:rsidRDefault="00000000">
      <w:pPr>
        <w:numPr>
          <w:ilvl w:val="0"/>
          <w:numId w:val="1"/>
        </w:numPr>
        <w:spacing w:after="140"/>
        <w:ind w:right="734"/>
      </w:pPr>
      <w:r>
        <w:t>Další technické či jiné požadavky: dle emailové komunikace</w:t>
      </w:r>
    </w:p>
    <w:p w:rsidR="00B534C7" w:rsidRDefault="00000000">
      <w:pPr>
        <w:ind w:left="10" w:right="734" w:firstLine="0"/>
      </w:pPr>
      <w:r>
        <w:t>IV. Další u</w:t>
      </w:r>
      <w:r w:rsidR="00AF0D71">
        <w:t>j</w:t>
      </w:r>
      <w:r>
        <w:t>ednání:</w:t>
      </w:r>
      <w:r>
        <w:rPr>
          <w:noProof/>
        </w:rPr>
        <w:drawing>
          <wp:inline distT="0" distB="0" distL="0" distR="0">
            <wp:extent cx="6096" cy="6097"/>
            <wp:effectExtent l="0" t="0" r="0" b="0"/>
            <wp:docPr id="1652" name="Picture 1652"/>
            <wp:cNvGraphicFramePr/>
            <a:graphic xmlns:a="http://schemas.openxmlformats.org/drawingml/2006/main">
              <a:graphicData uri="http://schemas.openxmlformats.org/drawingml/2006/picture">
                <pic:pic xmlns:pic="http://schemas.openxmlformats.org/drawingml/2006/picture">
                  <pic:nvPicPr>
                    <pic:cNvPr id="1652" name="Picture 1652"/>
                    <pic:cNvPicPr/>
                  </pic:nvPicPr>
                  <pic:blipFill>
                    <a:blip r:embed="rId6"/>
                    <a:stretch>
                      <a:fillRect/>
                    </a:stretch>
                  </pic:blipFill>
                  <pic:spPr>
                    <a:xfrm>
                      <a:off x="0" y="0"/>
                      <a:ext cx="6096" cy="6097"/>
                    </a:xfrm>
                    <a:prstGeom prst="rect">
                      <a:avLst/>
                    </a:prstGeom>
                  </pic:spPr>
                </pic:pic>
              </a:graphicData>
            </a:graphic>
          </wp:inline>
        </w:drawing>
      </w:r>
    </w:p>
    <w:p w:rsidR="00B534C7" w:rsidRDefault="00000000">
      <w:pPr>
        <w:spacing w:after="65" w:line="259" w:lineRule="auto"/>
        <w:ind w:left="10" w:right="8078" w:firstLine="0"/>
        <w:jc w:val="left"/>
      </w:pPr>
      <w:r>
        <w:rPr>
          <w:noProof/>
        </w:rPr>
        <w:drawing>
          <wp:inline distT="0" distB="0" distL="0" distR="0">
            <wp:extent cx="3048" cy="12195"/>
            <wp:effectExtent l="0" t="0" r="0" b="0"/>
            <wp:docPr id="1651" name="Picture 1651"/>
            <wp:cNvGraphicFramePr/>
            <a:graphic xmlns:a="http://schemas.openxmlformats.org/drawingml/2006/main">
              <a:graphicData uri="http://schemas.openxmlformats.org/drawingml/2006/picture">
                <pic:pic xmlns:pic="http://schemas.openxmlformats.org/drawingml/2006/picture">
                  <pic:nvPicPr>
                    <pic:cNvPr id="1651" name="Picture 1651"/>
                    <pic:cNvPicPr/>
                  </pic:nvPicPr>
                  <pic:blipFill>
                    <a:blip r:embed="rId7"/>
                    <a:stretch>
                      <a:fillRect/>
                    </a:stretch>
                  </pic:blipFill>
                  <pic:spPr>
                    <a:xfrm>
                      <a:off x="0" y="0"/>
                      <a:ext cx="3048" cy="12195"/>
                    </a:xfrm>
                    <a:prstGeom prst="rect">
                      <a:avLst/>
                    </a:prstGeom>
                  </pic:spPr>
                </pic:pic>
              </a:graphicData>
            </a:graphic>
          </wp:inline>
        </w:drawing>
      </w:r>
    </w:p>
    <w:p w:rsidR="00B534C7" w:rsidRDefault="00000000">
      <w:pPr>
        <w:numPr>
          <w:ilvl w:val="0"/>
          <w:numId w:val="2"/>
        </w:numPr>
        <w:ind w:right="734"/>
      </w:pPr>
      <w:r>
        <w:t>Doprava je v ceně honoráře.</w:t>
      </w:r>
    </w:p>
    <w:p w:rsidR="00B534C7" w:rsidRDefault="00000000">
      <w:pPr>
        <w:numPr>
          <w:ilvl w:val="0"/>
          <w:numId w:val="2"/>
        </w:numPr>
        <w:ind w:right="734"/>
      </w:pPr>
      <w:r>
        <w:t>Pořadatel zajišťuje ubytování pro 4 osoby, dle emailové specifikace (maximálně 2 noci pro každou osobu).</w:t>
      </w:r>
    </w:p>
    <w:p w:rsidR="00B534C7" w:rsidRDefault="00000000">
      <w:pPr>
        <w:numPr>
          <w:ilvl w:val="0"/>
          <w:numId w:val="2"/>
        </w:numPr>
        <w:ind w:right="734"/>
      </w:pPr>
      <w:r>
        <w:t>Pořadatel zajištuje občerstvení.</w:t>
      </w:r>
    </w:p>
    <w:p w:rsidR="00B534C7" w:rsidRDefault="00000000">
      <w:pPr>
        <w:numPr>
          <w:ilvl w:val="0"/>
          <w:numId w:val="2"/>
        </w:numPr>
        <w:ind w:right="734"/>
      </w:pPr>
      <w:r>
        <w:t xml:space="preserve">Vystupující/Agentura souhlasí s pořízením krátkých audiovizuálních záznamů na začátku a v průběhu akce výhradně pro marketingové účely, a to pouze v rozsahu předem schváleném Vystupujícím/Agenturou. Jedná se zejména o krátké formáty, jako jsou např. </w:t>
      </w:r>
      <w:proofErr w:type="spellStart"/>
      <w:r>
        <w:t>reels</w:t>
      </w:r>
      <w:proofErr w:type="spellEnd"/>
      <w:r>
        <w:t>, krátké spoty či několikasekundové záběry. Celý průběh akce nebude nahráván.</w:t>
      </w:r>
    </w:p>
    <w:p w:rsidR="00B534C7" w:rsidRDefault="00000000">
      <w:pPr>
        <w:numPr>
          <w:ilvl w:val="0"/>
          <w:numId w:val="2"/>
        </w:numPr>
        <w:ind w:right="734"/>
      </w:pPr>
      <w:r>
        <w:lastRenderedPageBreak/>
        <w:t>Vystupující/agentura se tímto zavazuje, že se dostaví včas na místo konání akce a provede sjednané vystoupení.</w:t>
      </w:r>
    </w:p>
    <w:p w:rsidR="00B534C7" w:rsidRDefault="00000000">
      <w:pPr>
        <w:numPr>
          <w:ilvl w:val="0"/>
          <w:numId w:val="2"/>
        </w:numPr>
        <w:spacing w:after="121"/>
        <w:ind w:right="734"/>
      </w:pPr>
      <w:r>
        <w:t>Vystupující/agentura se v průběhu akce bude řídit pokyny zástupce pořadatele a touto smlouvou.</w:t>
      </w:r>
    </w:p>
    <w:p w:rsidR="00B534C7" w:rsidRDefault="00000000">
      <w:pPr>
        <w:numPr>
          <w:ilvl w:val="0"/>
          <w:numId w:val="2"/>
        </w:numPr>
        <w:ind w:right="734"/>
      </w:pPr>
      <w:r>
        <w:t>V čase a místě určeném pořadatelem a touto smlouvou provede 'vystupující co nejkvalitněji a v dohodnutém rozsahu svůj umělecký výkon.</w:t>
      </w:r>
    </w:p>
    <w:p w:rsidR="00B534C7" w:rsidRDefault="00000000">
      <w:pPr>
        <w:numPr>
          <w:ilvl w:val="0"/>
          <w:numId w:val="2"/>
        </w:numPr>
        <w:spacing w:after="27"/>
        <w:ind w:right="734"/>
      </w:pPr>
      <w:r>
        <w:t>Obsahem uměleckého výkonu je vystoupení vystupujícího (interpreta) v délce uvedené v části l. podrobnosti akce.</w:t>
      </w:r>
    </w:p>
    <w:p w:rsidR="00B534C7" w:rsidRDefault="00000000">
      <w:pPr>
        <w:numPr>
          <w:ilvl w:val="0"/>
          <w:numId w:val="2"/>
        </w:numPr>
        <w:spacing w:after="221"/>
        <w:ind w:right="734"/>
      </w:pPr>
      <w:r>
        <w:t xml:space="preserve">Vystupující/Agentura poskytne součinnost při žádosti pořadatele o propagaci (např. vytvoření </w:t>
      </w:r>
      <w:proofErr w:type="spellStart"/>
      <w:r>
        <w:t>videopozvánky</w:t>
      </w:r>
      <w:proofErr w:type="spellEnd"/>
      <w:r>
        <w:t xml:space="preserve">, sdílení události na </w:t>
      </w:r>
      <w:proofErr w:type="spellStart"/>
      <w:r>
        <w:t>facebooku</w:t>
      </w:r>
      <w:proofErr w:type="spellEnd"/>
      <w:r>
        <w:t xml:space="preserve"> vystupujícího apod.) Forma této propagace však spočívá na bázi dobrovolnosti.</w:t>
      </w:r>
    </w:p>
    <w:p w:rsidR="00B534C7" w:rsidRDefault="00000000">
      <w:pPr>
        <w:numPr>
          <w:ilvl w:val="0"/>
          <w:numId w:val="3"/>
        </w:numPr>
        <w:spacing w:after="13" w:line="259" w:lineRule="auto"/>
        <w:ind w:right="0" w:hanging="240"/>
        <w:jc w:val="left"/>
      </w:pPr>
      <w:r>
        <w:rPr>
          <w:u w:val="single" w:color="000000"/>
        </w:rPr>
        <w:t>Platební podmínky.</w:t>
      </w:r>
    </w:p>
    <w:p w:rsidR="00B534C7" w:rsidRDefault="00000000">
      <w:pPr>
        <w:numPr>
          <w:ilvl w:val="1"/>
          <w:numId w:val="3"/>
        </w:numPr>
        <w:spacing w:after="236"/>
        <w:ind w:right="734"/>
      </w:pPr>
      <w:r>
        <w:t>Pořadatel se zavazuje k úhradě honoráře vyúčtovaného fakturou — daňovým dokladem po skončení akce se splatností 14 dnů od vystavení.</w:t>
      </w:r>
    </w:p>
    <w:p w:rsidR="00B534C7" w:rsidRDefault="00000000">
      <w:pPr>
        <w:numPr>
          <w:ilvl w:val="0"/>
          <w:numId w:val="3"/>
        </w:numPr>
        <w:spacing w:after="13" w:line="259" w:lineRule="auto"/>
        <w:ind w:right="0" w:hanging="240"/>
        <w:jc w:val="left"/>
      </w:pPr>
      <w:r>
        <w:rPr>
          <w:u w:val="single" w:color="000000"/>
        </w:rPr>
        <w:t>Storno podmínk</w:t>
      </w:r>
      <w:r w:rsidR="00AF0D71">
        <w:rPr>
          <w:u w:val="single" w:color="000000"/>
        </w:rPr>
        <w:t>y</w:t>
      </w:r>
      <w:r>
        <w:rPr>
          <w:u w:val="single" w:color="000000"/>
        </w:rPr>
        <w:t>:</w:t>
      </w:r>
    </w:p>
    <w:p w:rsidR="00B534C7" w:rsidRDefault="00000000">
      <w:pPr>
        <w:numPr>
          <w:ilvl w:val="1"/>
          <w:numId w:val="3"/>
        </w:numPr>
        <w:ind w:right="734"/>
      </w:pPr>
      <w:r>
        <w:t>V případě porušení povinnosti a zrušení vystoupení ze strany vystupujícího/agentury vzniká pořadateli právo na smluvní pokutu v následující výši:</w:t>
      </w:r>
    </w:p>
    <w:p w:rsidR="00B534C7" w:rsidRDefault="00000000">
      <w:pPr>
        <w:numPr>
          <w:ilvl w:val="1"/>
          <w:numId w:val="4"/>
        </w:numPr>
        <w:ind w:right="734" w:firstLine="10"/>
      </w:pPr>
      <w:r>
        <w:t>Zrušení vystoupení do 30 dnů před dnem konáním akce = 20 % z dohodnutého honoráře.</w:t>
      </w:r>
    </w:p>
    <w:p w:rsidR="00B534C7" w:rsidRDefault="00000000">
      <w:pPr>
        <w:numPr>
          <w:ilvl w:val="1"/>
          <w:numId w:val="4"/>
        </w:numPr>
        <w:ind w:right="734" w:firstLine="10"/>
      </w:pPr>
      <w:r>
        <w:t>Zrušení vystoupení v období 29 dnů před konáním akce až 7 dnů před konáním akce = 50 % z dohodnutého honoráře. c) Zrušení vystoupení v období 6 dnů před konáním akce až 2 dny před konáním akce = 100 % z dohodnutého honoráře.</w:t>
      </w:r>
    </w:p>
    <w:p w:rsidR="00B534C7" w:rsidRDefault="00000000">
      <w:pPr>
        <w:numPr>
          <w:ilvl w:val="1"/>
          <w:numId w:val="3"/>
        </w:numPr>
        <w:spacing w:after="220"/>
        <w:ind w:right="734"/>
      </w:pPr>
      <w:r>
        <w:t xml:space="preserve">V případě, že dojde ke zrušení přestavení z důvodu vyšší moci (za něž je třeba pro účely této smlouvy považovat zejména: onemocnění některého z účinkujících doloženého prokazatelným lékařským potvrzením, nepředvídatelnou přírodní katastrofu, zákaz vydaný státním orgánem, stávku, nehodu při dopravě na představení či defekt na vozidle dopravující soubor do místa představení atd.), má jakákoli Strana právo od této smlouvy odstoupit, a to bez jakéhokoli nároku na případnou náhradu škody. </w:t>
      </w:r>
      <w:r>
        <w:rPr>
          <w:noProof/>
        </w:rPr>
        <w:drawing>
          <wp:inline distT="0" distB="0" distL="0" distR="0">
            <wp:extent cx="45720" cy="45733"/>
            <wp:effectExtent l="0" t="0" r="0" b="0"/>
            <wp:docPr id="4810" name="Picture 4810"/>
            <wp:cNvGraphicFramePr/>
            <a:graphic xmlns:a="http://schemas.openxmlformats.org/drawingml/2006/main">
              <a:graphicData uri="http://schemas.openxmlformats.org/drawingml/2006/picture">
                <pic:pic xmlns:pic="http://schemas.openxmlformats.org/drawingml/2006/picture">
                  <pic:nvPicPr>
                    <pic:cNvPr id="4810" name="Picture 4810"/>
                    <pic:cNvPicPr/>
                  </pic:nvPicPr>
                  <pic:blipFill>
                    <a:blip r:embed="rId8"/>
                    <a:stretch>
                      <a:fillRect/>
                    </a:stretch>
                  </pic:blipFill>
                  <pic:spPr>
                    <a:xfrm>
                      <a:off x="0" y="0"/>
                      <a:ext cx="45720" cy="45733"/>
                    </a:xfrm>
                    <a:prstGeom prst="rect">
                      <a:avLst/>
                    </a:prstGeom>
                  </pic:spPr>
                </pic:pic>
              </a:graphicData>
            </a:graphic>
          </wp:inline>
        </w:drawing>
      </w:r>
      <w:r>
        <w:t xml:space="preserve"> V případě zrušení představení pořadatelem domluví se obě strany na náhradním termínu.</w:t>
      </w:r>
    </w:p>
    <w:p w:rsidR="00B534C7" w:rsidRDefault="00000000">
      <w:pPr>
        <w:spacing w:after="13" w:line="259" w:lineRule="auto"/>
        <w:ind w:left="43" w:right="0" w:hanging="10"/>
        <w:jc w:val="left"/>
      </w:pPr>
      <w:proofErr w:type="spellStart"/>
      <w:r>
        <w:rPr>
          <w:u w:val="single" w:color="000000"/>
        </w:rPr>
        <w:t>Vl</w:t>
      </w:r>
      <w:proofErr w:type="spellEnd"/>
      <w:r>
        <w:rPr>
          <w:u w:val="single" w:color="000000"/>
        </w:rPr>
        <w:t>. Závěrečná ustanovení:</w:t>
      </w:r>
    </w:p>
    <w:p w:rsidR="00B534C7" w:rsidRDefault="00000000">
      <w:pPr>
        <w:numPr>
          <w:ilvl w:val="1"/>
          <w:numId w:val="3"/>
        </w:numPr>
        <w:ind w:right="734"/>
      </w:pPr>
      <w:r>
        <w:t>Tato smlouva nabývá platnosti a účinnosti podpisem obou smluvních stran.</w:t>
      </w:r>
    </w:p>
    <w:p w:rsidR="00B534C7" w:rsidRDefault="00000000">
      <w:pPr>
        <w:numPr>
          <w:ilvl w:val="1"/>
          <w:numId w:val="3"/>
        </w:numPr>
        <w:spacing w:after="29"/>
        <w:ind w:right="734"/>
      </w:pPr>
      <w:r>
        <w:t>Pokud není ve smlouvě uvedeno jinak, je vystupující/agentura povinen(a) řídit se nájemním řádem společnosti AKORD &amp; POKLAD, s.r.o. a dbát na dodržování bezpečnostních a protipožárních předpisu obecně. S tímto nájemním řádem byl vystupující/agentura seznámen, což potvrzuje.</w:t>
      </w:r>
    </w:p>
    <w:p w:rsidR="00B534C7" w:rsidRDefault="00000000">
      <w:pPr>
        <w:numPr>
          <w:ilvl w:val="1"/>
          <w:numId w:val="3"/>
        </w:numPr>
        <w:ind w:right="734"/>
      </w:pPr>
      <w:r>
        <w:t>Podpisem smlouvy vystupující/agentura potvrzuje, že byl seznámen s místními podmínkami a riziky na pracovištích. Je si vědom plné zodpovědnosti za nedodržení protipožárních a bezpečnostních opatření při konání akce.</w:t>
      </w:r>
    </w:p>
    <w:p w:rsidR="00B534C7" w:rsidRDefault="00000000">
      <w:pPr>
        <w:numPr>
          <w:ilvl w:val="1"/>
          <w:numId w:val="3"/>
        </w:numPr>
        <w:ind w:right="734"/>
      </w:pPr>
      <w:r>
        <w:t>Smlouva se vyhotovuje ve dvou výtiscích, po jednom pro každou ze smluvních stran. Účastníci této smlouvy výslovně prohlašují, že se podrobně seznámili s jejím obsahem, že jsou jim známy důsledky z jejího uzavření vyplývající, že smlouva vyjadřuje jejich pravou a vážnou vůli a že nebyla uzavřena v tísni ani za nápadně nevýhodných podmínek a na důkaz tohoto tvrzení připojují své podpisy.</w:t>
      </w:r>
    </w:p>
    <w:p w:rsidR="00B534C7" w:rsidRDefault="00000000">
      <w:pPr>
        <w:numPr>
          <w:ilvl w:val="1"/>
          <w:numId w:val="3"/>
        </w:numPr>
        <w:spacing w:after="696"/>
        <w:ind w:right="734"/>
      </w:pPr>
      <w:r>
        <w:t>Smluvní strany prohlašují, že skutečnosti uvedené ve smlouvě nepovažují za obchodní tajemství a udělují svolení k jejich zpřístupnění ve smyslu zákona č. 106/1999 Sb., o svobodném přístupu k informacím. Tato Smlouva bude v plném rozsahu uveřejněna v informačním systému registru smluv dle zákona č. 340/2015 Sb., o registru smluv,</w:t>
      </w:r>
      <w:r>
        <w:rPr>
          <w:noProof/>
        </w:rPr>
        <w:drawing>
          <wp:inline distT="0" distB="0" distL="0" distR="0">
            <wp:extent cx="15240" cy="12195"/>
            <wp:effectExtent l="0" t="0" r="0" b="0"/>
            <wp:docPr id="11163" name="Picture 11163"/>
            <wp:cNvGraphicFramePr/>
            <a:graphic xmlns:a="http://schemas.openxmlformats.org/drawingml/2006/main">
              <a:graphicData uri="http://schemas.openxmlformats.org/drawingml/2006/picture">
                <pic:pic xmlns:pic="http://schemas.openxmlformats.org/drawingml/2006/picture">
                  <pic:nvPicPr>
                    <pic:cNvPr id="11163" name="Picture 11163"/>
                    <pic:cNvPicPr/>
                  </pic:nvPicPr>
                  <pic:blipFill>
                    <a:blip r:embed="rId9"/>
                    <a:stretch>
                      <a:fillRect/>
                    </a:stretch>
                  </pic:blipFill>
                  <pic:spPr>
                    <a:xfrm>
                      <a:off x="0" y="0"/>
                      <a:ext cx="15240" cy="12195"/>
                    </a:xfrm>
                    <a:prstGeom prst="rect">
                      <a:avLst/>
                    </a:prstGeom>
                  </pic:spPr>
                </pic:pic>
              </a:graphicData>
            </a:graphic>
          </wp:inline>
        </w:drawing>
      </w:r>
    </w:p>
    <w:p w:rsidR="00B534C7" w:rsidRDefault="00000000">
      <w:pPr>
        <w:spacing w:after="213" w:line="259" w:lineRule="auto"/>
        <w:ind w:left="0" w:right="0" w:firstLine="0"/>
        <w:jc w:val="left"/>
      </w:pPr>
      <w:r>
        <w:rPr>
          <w:sz w:val="24"/>
        </w:rPr>
        <w:t>V Praze dne 13.11.2025</w:t>
      </w:r>
      <w:r w:rsidR="00AF0D71">
        <w:rPr>
          <w:sz w:val="24"/>
        </w:rPr>
        <w:tab/>
      </w:r>
      <w:r w:rsidR="00AF0D71">
        <w:rPr>
          <w:sz w:val="24"/>
        </w:rPr>
        <w:tab/>
      </w:r>
      <w:r w:rsidR="00AF0D71">
        <w:rPr>
          <w:sz w:val="24"/>
        </w:rPr>
        <w:tab/>
      </w:r>
      <w:r w:rsidR="00AF0D71">
        <w:rPr>
          <w:sz w:val="24"/>
        </w:rPr>
        <w:tab/>
        <w:t>V Ostravě dne 18.11.2025</w:t>
      </w:r>
    </w:p>
    <w:p w:rsidR="00B534C7" w:rsidRDefault="00000000">
      <w:pPr>
        <w:tabs>
          <w:tab w:val="right" w:pos="9470"/>
        </w:tabs>
        <w:spacing w:after="0" w:line="259" w:lineRule="auto"/>
        <w:ind w:left="0" w:right="0" w:firstLine="0"/>
        <w:jc w:val="left"/>
      </w:pPr>
      <w:r>
        <w:rPr>
          <w:sz w:val="32"/>
        </w:rPr>
        <w:tab/>
        <w:t>+</w:t>
      </w:r>
    </w:p>
    <w:p w:rsidR="00B534C7" w:rsidRDefault="00000000">
      <w:pPr>
        <w:tabs>
          <w:tab w:val="center" w:pos="6502"/>
        </w:tabs>
        <w:ind w:left="0" w:right="0" w:firstLine="0"/>
        <w:jc w:val="left"/>
      </w:pPr>
      <w:r>
        <w:lastRenderedPageBreak/>
        <w:t>Za vystupujícího / agenturu</w:t>
      </w:r>
      <w:r>
        <w:tab/>
        <w:t>Za pořadatele</w:t>
      </w:r>
    </w:p>
    <w:p w:rsidR="00B534C7" w:rsidRDefault="00000000">
      <w:pPr>
        <w:ind w:left="5102" w:right="734" w:firstLine="0"/>
      </w:pPr>
      <w:r>
        <w:t>Michal Kubíček — programový ředitel</w:t>
      </w:r>
    </w:p>
    <w:sectPr w:rsidR="00B534C7">
      <w:pgSz w:w="11904" w:h="16834"/>
      <w:pgMar w:top="1694" w:right="859" w:bottom="1783" w:left="157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 id="_x0000_i1032" style="width:5.25pt;height:5.25pt" coordsize="" o:spt="100" o:bullet="t" adj="0,,0" path="" stroked="f">
        <v:stroke joinstyle="miter"/>
        <v:imagedata r:id="rId1" o:title="image10"/>
        <v:formulas/>
        <v:path o:connecttype="segments"/>
      </v:shape>
    </w:pict>
  </w:numPicBullet>
  <w:numPicBullet w:numPicBulletId="1">
    <w:pict>
      <v:shape id="_x0000_i1033" style="width:5.25pt;height:6pt" coordsize="" o:spt="100" o:bullet="t" adj="0,,0" path="" stroked="f">
        <v:stroke joinstyle="miter"/>
        <v:imagedata r:id="rId2" o:title="image11"/>
        <v:formulas/>
        <v:path o:connecttype="segments"/>
      </v:shape>
    </w:pict>
  </w:numPicBullet>
  <w:abstractNum w:abstractNumId="0" w15:restartNumberingAfterBreak="0">
    <w:nsid w:val="427F32B1"/>
    <w:multiLevelType w:val="hybridMultilevel"/>
    <w:tmpl w:val="CBFADA04"/>
    <w:lvl w:ilvl="0" w:tplc="67220464">
      <w:start w:val="1"/>
      <w:numFmt w:val="bullet"/>
      <w:lvlText w:val="•"/>
      <w:lvlPicBulletId w:val="0"/>
      <w:lvlJc w:val="left"/>
      <w:pPr>
        <w:ind w:left="7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936F054">
      <w:start w:val="1"/>
      <w:numFmt w:val="bullet"/>
      <w:lvlText w:val="o"/>
      <w:lvlJc w:val="left"/>
      <w:pPr>
        <w:ind w:left="175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7D4A6B2">
      <w:start w:val="1"/>
      <w:numFmt w:val="bullet"/>
      <w:lvlText w:val="▪"/>
      <w:lvlJc w:val="left"/>
      <w:pPr>
        <w:ind w:left="24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68A9B78">
      <w:start w:val="1"/>
      <w:numFmt w:val="bullet"/>
      <w:lvlText w:val="•"/>
      <w:lvlJc w:val="left"/>
      <w:pPr>
        <w:ind w:left="31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672B840">
      <w:start w:val="1"/>
      <w:numFmt w:val="bullet"/>
      <w:lvlText w:val="o"/>
      <w:lvlJc w:val="left"/>
      <w:pPr>
        <w:ind w:left="391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E46B978">
      <w:start w:val="1"/>
      <w:numFmt w:val="bullet"/>
      <w:lvlText w:val="▪"/>
      <w:lvlJc w:val="left"/>
      <w:pPr>
        <w:ind w:left="46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E560700">
      <w:start w:val="1"/>
      <w:numFmt w:val="bullet"/>
      <w:lvlText w:val="•"/>
      <w:lvlJc w:val="left"/>
      <w:pPr>
        <w:ind w:left="535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C9CD28C">
      <w:start w:val="1"/>
      <w:numFmt w:val="bullet"/>
      <w:lvlText w:val="o"/>
      <w:lvlJc w:val="left"/>
      <w:pPr>
        <w:ind w:left="60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4D65410">
      <w:start w:val="1"/>
      <w:numFmt w:val="bullet"/>
      <w:lvlText w:val="▪"/>
      <w:lvlJc w:val="left"/>
      <w:pPr>
        <w:ind w:left="67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5AD579CF"/>
    <w:multiLevelType w:val="hybridMultilevel"/>
    <w:tmpl w:val="93B87402"/>
    <w:lvl w:ilvl="0" w:tplc="FD4A8646">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5425BA2">
      <w:start w:val="1"/>
      <w:numFmt w:val="lowerLetter"/>
      <w:lvlText w:val="%2)"/>
      <w:lvlJc w:val="left"/>
      <w:pPr>
        <w:ind w:left="7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3E24950">
      <w:start w:val="1"/>
      <w:numFmt w:val="lowerRoman"/>
      <w:lvlText w:val="%3"/>
      <w:lvlJc w:val="left"/>
      <w:pPr>
        <w:ind w:left="182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2A6D77E">
      <w:start w:val="1"/>
      <w:numFmt w:val="decimal"/>
      <w:lvlText w:val="%4"/>
      <w:lvlJc w:val="left"/>
      <w:pPr>
        <w:ind w:left="254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DB66022">
      <w:start w:val="1"/>
      <w:numFmt w:val="lowerLetter"/>
      <w:lvlText w:val="%5"/>
      <w:lvlJc w:val="left"/>
      <w:pPr>
        <w:ind w:left="326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7F04288">
      <w:start w:val="1"/>
      <w:numFmt w:val="lowerRoman"/>
      <w:lvlText w:val="%6"/>
      <w:lvlJc w:val="left"/>
      <w:pPr>
        <w:ind w:left="398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E063BA6">
      <w:start w:val="1"/>
      <w:numFmt w:val="decimal"/>
      <w:lvlText w:val="%7"/>
      <w:lvlJc w:val="left"/>
      <w:pPr>
        <w:ind w:left="470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43CBF7C">
      <w:start w:val="1"/>
      <w:numFmt w:val="lowerLetter"/>
      <w:lvlText w:val="%8"/>
      <w:lvlJc w:val="left"/>
      <w:pPr>
        <w:ind w:left="542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C56120A">
      <w:start w:val="1"/>
      <w:numFmt w:val="lowerRoman"/>
      <w:lvlText w:val="%9"/>
      <w:lvlJc w:val="left"/>
      <w:pPr>
        <w:ind w:left="614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666A3749"/>
    <w:multiLevelType w:val="hybridMultilevel"/>
    <w:tmpl w:val="53BA6B58"/>
    <w:lvl w:ilvl="0" w:tplc="7A663FCA">
      <w:start w:val="4"/>
      <w:numFmt w:val="upperRoman"/>
      <w:lvlText w:val="%1."/>
      <w:lvlJc w:val="left"/>
      <w:pPr>
        <w:ind w:left="273"/>
      </w:pPr>
      <w:rPr>
        <w:rFonts w:ascii="Calibri" w:eastAsia="Calibri" w:hAnsi="Calibri" w:cs="Calibri"/>
        <w:b w:val="0"/>
        <w:i w:val="0"/>
        <w:strike w:val="0"/>
        <w:dstrike w:val="0"/>
        <w:color w:val="000000"/>
        <w:sz w:val="20"/>
        <w:szCs w:val="20"/>
        <w:u w:val="single" w:color="000000"/>
        <w:bdr w:val="none" w:sz="0" w:space="0" w:color="auto"/>
        <w:shd w:val="clear" w:color="auto" w:fill="auto"/>
        <w:vertAlign w:val="baseline"/>
      </w:rPr>
    </w:lvl>
    <w:lvl w:ilvl="1" w:tplc="967CB530">
      <w:start w:val="1"/>
      <w:numFmt w:val="bullet"/>
      <w:lvlText w:val="•"/>
      <w:lvlPicBulletId w:val="1"/>
      <w:lvlJc w:val="left"/>
      <w:pPr>
        <w:ind w:left="7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8467EE0">
      <w:start w:val="1"/>
      <w:numFmt w:val="bullet"/>
      <w:lvlText w:val="▪"/>
      <w:lvlJc w:val="left"/>
      <w:pPr>
        <w:ind w:left="18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96CAE10">
      <w:start w:val="1"/>
      <w:numFmt w:val="bullet"/>
      <w:lvlText w:val="•"/>
      <w:lvlJc w:val="left"/>
      <w:pPr>
        <w:ind w:left="254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0B880DA">
      <w:start w:val="1"/>
      <w:numFmt w:val="bullet"/>
      <w:lvlText w:val="o"/>
      <w:lvlJc w:val="left"/>
      <w:pPr>
        <w:ind w:left="326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E24E2A8">
      <w:start w:val="1"/>
      <w:numFmt w:val="bullet"/>
      <w:lvlText w:val="▪"/>
      <w:lvlJc w:val="left"/>
      <w:pPr>
        <w:ind w:left="398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96A1C5E">
      <w:start w:val="1"/>
      <w:numFmt w:val="bullet"/>
      <w:lvlText w:val="•"/>
      <w:lvlJc w:val="left"/>
      <w:pPr>
        <w:ind w:left="47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01473F4">
      <w:start w:val="1"/>
      <w:numFmt w:val="bullet"/>
      <w:lvlText w:val="o"/>
      <w:lvlJc w:val="left"/>
      <w:pPr>
        <w:ind w:left="54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4883AFC">
      <w:start w:val="1"/>
      <w:numFmt w:val="bullet"/>
      <w:lvlText w:val="▪"/>
      <w:lvlJc w:val="left"/>
      <w:pPr>
        <w:ind w:left="614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7CB32F50"/>
    <w:multiLevelType w:val="hybridMultilevel"/>
    <w:tmpl w:val="967813B6"/>
    <w:lvl w:ilvl="0" w:tplc="B032E2B8">
      <w:start w:val="1"/>
      <w:numFmt w:val="bullet"/>
      <w:lvlText w:val="•"/>
      <w:lvlJc w:val="left"/>
      <w:pPr>
        <w:ind w:left="70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41000DD2">
      <w:start w:val="1"/>
      <w:numFmt w:val="bullet"/>
      <w:lvlText w:val="o"/>
      <w:lvlJc w:val="left"/>
      <w:pPr>
        <w:ind w:left="143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B6C29FDA">
      <w:start w:val="1"/>
      <w:numFmt w:val="bullet"/>
      <w:lvlText w:val="▪"/>
      <w:lvlJc w:val="left"/>
      <w:pPr>
        <w:ind w:left="215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F5D6CF9E">
      <w:start w:val="1"/>
      <w:numFmt w:val="bullet"/>
      <w:lvlText w:val="•"/>
      <w:lvlJc w:val="left"/>
      <w:pPr>
        <w:ind w:left="287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75D87B12">
      <w:start w:val="1"/>
      <w:numFmt w:val="bullet"/>
      <w:lvlText w:val="o"/>
      <w:lvlJc w:val="left"/>
      <w:pPr>
        <w:ind w:left="359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D3AE50AC">
      <w:start w:val="1"/>
      <w:numFmt w:val="bullet"/>
      <w:lvlText w:val="▪"/>
      <w:lvlJc w:val="left"/>
      <w:pPr>
        <w:ind w:left="431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2CE6C354">
      <w:start w:val="1"/>
      <w:numFmt w:val="bullet"/>
      <w:lvlText w:val="•"/>
      <w:lvlJc w:val="left"/>
      <w:pPr>
        <w:ind w:left="503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08C830F4">
      <w:start w:val="1"/>
      <w:numFmt w:val="bullet"/>
      <w:lvlText w:val="o"/>
      <w:lvlJc w:val="left"/>
      <w:pPr>
        <w:ind w:left="575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78BA0CE4">
      <w:start w:val="1"/>
      <w:numFmt w:val="bullet"/>
      <w:lvlText w:val="▪"/>
      <w:lvlJc w:val="left"/>
      <w:pPr>
        <w:ind w:left="647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num w:numId="1" w16cid:durableId="1386027648">
    <w:abstractNumId w:val="3"/>
  </w:num>
  <w:num w:numId="2" w16cid:durableId="260770746">
    <w:abstractNumId w:val="0"/>
  </w:num>
  <w:num w:numId="3" w16cid:durableId="1435514091">
    <w:abstractNumId w:val="2"/>
  </w:num>
  <w:num w:numId="4" w16cid:durableId="11097395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34C7"/>
    <w:rsid w:val="001D2A7D"/>
    <w:rsid w:val="00AF0D71"/>
    <w:rsid w:val="00B534C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B46EE"/>
  <w15:docId w15:val="{FE297110-1F48-4F56-A15C-C4F457641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5" w:line="247" w:lineRule="auto"/>
      <w:ind w:left="2851" w:right="3254" w:hanging="341"/>
      <w:jc w:val="both"/>
    </w:pPr>
    <w:rPr>
      <w:rFonts w:ascii="Calibri" w:eastAsia="Calibri" w:hAnsi="Calibri" w:cs="Calibri"/>
      <w:color w:val="00000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6.jpg"/><Relationship Id="rId3" Type="http://schemas.openxmlformats.org/officeDocument/2006/relationships/settings" Target="settings.xml"/><Relationship Id="rId7" Type="http://schemas.openxmlformats.org/officeDocument/2006/relationships/image" Target="media/image5.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4.jpg"/><Relationship Id="rId11" Type="http://schemas.openxmlformats.org/officeDocument/2006/relationships/theme" Target="theme/theme1.xml"/><Relationship Id="rId5" Type="http://schemas.openxmlformats.org/officeDocument/2006/relationships/image" Target="media/image3.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7.jp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766</Words>
  <Characters>4520</Characters>
  <Application>Microsoft Office Word</Application>
  <DocSecurity>0</DocSecurity>
  <Lines>37</Lines>
  <Paragraphs>10</Paragraphs>
  <ScaleCrop>false</ScaleCrop>
  <Company/>
  <LinksUpToDate>false</LinksUpToDate>
  <CharactersWithSpaces>5276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SKM_C250i25111813420</dc:title>
  <dc:subject/>
  <dc:creator>Pivčíková Michaela</dc:creator>
  <cp:keywords/>
  <cp:lastModifiedBy>Pivčíková Michaela</cp:lastModifiedBy>
  <cp:revision>2</cp:revision>
  <dcterms:created xsi:type="dcterms:W3CDTF">2025-11-19T12:29:00Z</dcterms:created>
  <dcterms:modified xsi:type="dcterms:W3CDTF">2025-11-19T12:29:00Z</dcterms:modified>
</cp:coreProperties>
</file>