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E805" w14:textId="6854D5AA" w:rsidR="005112E0" w:rsidRDefault="005112E0">
      <w:pPr>
        <w:pStyle w:val="Nadpis2"/>
        <w:tabs>
          <w:tab w:val="center" w:pos="5679"/>
        </w:tabs>
        <w:ind w:left="0"/>
        <w:rPr>
          <w:rFonts w:ascii="Times New Roman" w:eastAsia="Times New Roman" w:hAnsi="Times New Roman" w:cs="Times New Roman"/>
        </w:rPr>
      </w:pPr>
    </w:p>
    <w:p w14:paraId="1995D066" w14:textId="77777777" w:rsidR="005112E0" w:rsidRPr="005112E0" w:rsidRDefault="005112E0" w:rsidP="005112E0"/>
    <w:p w14:paraId="104AA467" w14:textId="08CD486B" w:rsidR="00CD0C6D" w:rsidRDefault="004F54AC">
      <w:pPr>
        <w:pStyle w:val="Nadpis2"/>
        <w:tabs>
          <w:tab w:val="center" w:pos="5679"/>
        </w:tabs>
        <w:ind w:left="0"/>
      </w:pPr>
      <w:r>
        <w:rPr>
          <w:rFonts w:ascii="Times New Roman" w:eastAsia="Times New Roman" w:hAnsi="Times New Roman" w:cs="Times New Roman"/>
        </w:rPr>
        <w:tab/>
      </w:r>
      <w:r>
        <w:t>RÁMCOVÁ KUPNÍ SMLOUVA č. 251104</w:t>
      </w:r>
    </w:p>
    <w:p w14:paraId="62AC662A" w14:textId="23689347" w:rsidR="00CD0C6D" w:rsidRDefault="004F54AC">
      <w:pPr>
        <w:spacing w:after="464" w:line="230" w:lineRule="auto"/>
        <w:ind w:left="2246" w:right="211" w:hanging="2247"/>
        <w:jc w:val="both"/>
      </w:pPr>
      <w:r>
        <w:tab/>
      </w:r>
      <w:r>
        <w:rPr>
          <w:rFonts w:ascii="Calibri" w:eastAsia="Calibri" w:hAnsi="Calibri" w:cs="Calibri"/>
        </w:rPr>
        <w:t>zák. č. 89/2012 Sb., občanský zákoník, v platném znění mezi smluvními stranami</w:t>
      </w:r>
    </w:p>
    <w:p w14:paraId="18E485D1" w14:textId="77777777" w:rsidR="005112E0" w:rsidRDefault="004F54AC">
      <w:pPr>
        <w:spacing w:after="356" w:line="373" w:lineRule="auto"/>
        <w:ind w:left="2616" w:right="2198" w:hanging="1277"/>
        <w:rPr>
          <w:sz w:val="20"/>
        </w:rPr>
      </w:pPr>
      <w:r>
        <w:rPr>
          <w:rFonts w:ascii="Calibri" w:eastAsia="Calibri" w:hAnsi="Calibri" w:cs="Calibri"/>
          <w:sz w:val="20"/>
        </w:rPr>
        <w:t>Kupující :</w:t>
      </w:r>
      <w:r>
        <w:rPr>
          <w:rFonts w:ascii="Calibri" w:eastAsia="Calibri" w:hAnsi="Calibri" w:cs="Calibri"/>
          <w:sz w:val="20"/>
        </w:rPr>
        <w:tab/>
        <w:t xml:space="preserve">Muzeum středního Pootaví Strakonice </w:t>
      </w:r>
      <w:r>
        <w:rPr>
          <w:sz w:val="20"/>
        </w:rPr>
        <w:t>se sídlem:</w:t>
      </w:r>
      <w:r>
        <w:rPr>
          <w:sz w:val="20"/>
        </w:rPr>
        <w:tab/>
      </w:r>
    </w:p>
    <w:p w14:paraId="0AD84229" w14:textId="6088C38B" w:rsidR="00CD0C6D" w:rsidRDefault="005112E0">
      <w:pPr>
        <w:spacing w:after="356" w:line="373" w:lineRule="auto"/>
        <w:ind w:left="2616" w:right="2198" w:hanging="1277"/>
      </w:pPr>
      <w:r>
        <w:rPr>
          <w:rFonts w:ascii="Calibri" w:eastAsia="Calibri" w:hAnsi="Calibri" w:cs="Calibri"/>
          <w:sz w:val="20"/>
        </w:rPr>
        <w:t xml:space="preserve">                           </w:t>
      </w:r>
      <w:r w:rsidR="004F54AC">
        <w:rPr>
          <w:rFonts w:ascii="Calibri" w:eastAsia="Calibri" w:hAnsi="Calibri" w:cs="Calibri"/>
          <w:sz w:val="20"/>
        </w:rPr>
        <w:t xml:space="preserve">Zámek l, 38601 Strakonice </w:t>
      </w:r>
      <w:r w:rsidR="004F54AC">
        <w:rPr>
          <w:sz w:val="20"/>
        </w:rPr>
        <w:t>zastoupena:</w:t>
      </w:r>
      <w:r w:rsidR="004F54AC">
        <w:rPr>
          <w:sz w:val="20"/>
        </w:rPr>
        <w:tab/>
      </w:r>
    </w:p>
    <w:p w14:paraId="02C858D0" w14:textId="77777777" w:rsidR="005112E0" w:rsidRDefault="004F54AC">
      <w:pPr>
        <w:tabs>
          <w:tab w:val="center" w:pos="3300"/>
          <w:tab w:val="center" w:pos="5496"/>
        </w:tabs>
        <w:spacing w:after="369" w:line="249" w:lineRule="auto"/>
        <w:rPr>
          <w:rFonts w:ascii="Calibri" w:eastAsia="Calibri" w:hAnsi="Calibri" w:cs="Calibri"/>
          <w:sz w:val="20"/>
        </w:rPr>
      </w:pPr>
      <w:r>
        <w:rPr>
          <w:sz w:val="20"/>
        </w:rPr>
        <w:tab/>
      </w:r>
      <w:r>
        <w:rPr>
          <w:rFonts w:ascii="Calibri" w:eastAsia="Calibri" w:hAnsi="Calibri" w:cs="Calibri"/>
          <w:sz w:val="20"/>
        </w:rPr>
        <w:t>IČO: 00072150</w:t>
      </w:r>
    </w:p>
    <w:p w14:paraId="256EDDC3" w14:textId="793D7BE2" w:rsidR="00CD0C6D" w:rsidRPr="005112E0" w:rsidRDefault="005112E0">
      <w:pPr>
        <w:tabs>
          <w:tab w:val="center" w:pos="3300"/>
          <w:tab w:val="center" w:pos="5496"/>
        </w:tabs>
        <w:spacing w:after="369" w:line="249" w:lineRule="auto"/>
        <w:rPr>
          <w:rFonts w:ascii="Calibri" w:eastAsia="Calibri" w:hAnsi="Calibri" w:cs="Calibri"/>
          <w:sz w:val="20"/>
        </w:rPr>
      </w:pPr>
      <w:r>
        <w:rPr>
          <w:rFonts w:ascii="Calibri" w:eastAsia="Calibri" w:hAnsi="Calibri" w:cs="Calibri"/>
          <w:sz w:val="20"/>
        </w:rPr>
        <w:t xml:space="preserve">                                                           </w:t>
      </w:r>
      <w:r w:rsidR="004F54AC">
        <w:rPr>
          <w:sz w:val="20"/>
        </w:rPr>
        <w:t>DIČ:</w:t>
      </w:r>
    </w:p>
    <w:p w14:paraId="293E4487" w14:textId="77777777" w:rsidR="00CD0C6D" w:rsidRDefault="004F54AC">
      <w:pPr>
        <w:spacing w:after="0"/>
        <w:ind w:left="1339" w:right="2198"/>
      </w:pPr>
      <w:r>
        <w:rPr>
          <w:rFonts w:ascii="Calibri" w:eastAsia="Calibri" w:hAnsi="Calibri" w:cs="Calibri"/>
          <w:sz w:val="24"/>
        </w:rPr>
        <w:t xml:space="preserve">Prodávající : Apex </w:t>
      </w:r>
      <w:proofErr w:type="spellStart"/>
      <w:r>
        <w:rPr>
          <w:rFonts w:ascii="Calibri" w:eastAsia="Calibri" w:hAnsi="Calibri" w:cs="Calibri"/>
          <w:sz w:val="24"/>
        </w:rPr>
        <w:t>Central</w:t>
      </w:r>
      <w:proofErr w:type="spellEnd"/>
      <w:r>
        <w:rPr>
          <w:rFonts w:ascii="Calibri" w:eastAsia="Calibri" w:hAnsi="Calibri" w:cs="Calibri"/>
          <w:sz w:val="24"/>
        </w:rPr>
        <w:t xml:space="preserve"> </w:t>
      </w:r>
      <w:proofErr w:type="spellStart"/>
      <w:r>
        <w:rPr>
          <w:rFonts w:ascii="Calibri" w:eastAsia="Calibri" w:hAnsi="Calibri" w:cs="Calibri"/>
          <w:sz w:val="24"/>
        </w:rPr>
        <w:t>Europe</w:t>
      </w:r>
      <w:proofErr w:type="spellEnd"/>
      <w:r>
        <w:rPr>
          <w:rFonts w:ascii="Calibri" w:eastAsia="Calibri" w:hAnsi="Calibri" w:cs="Calibri"/>
          <w:sz w:val="24"/>
        </w:rPr>
        <w:t>, s.r.o.</w:t>
      </w:r>
    </w:p>
    <w:p w14:paraId="54D7BBD8" w14:textId="77777777" w:rsidR="00CD0C6D" w:rsidRDefault="004F54AC">
      <w:pPr>
        <w:spacing w:after="0" w:line="250" w:lineRule="auto"/>
        <w:ind w:left="1920" w:right="43"/>
        <w:jc w:val="right"/>
      </w:pPr>
      <w:r>
        <w:rPr>
          <w:rFonts w:ascii="Calibri" w:eastAsia="Calibri" w:hAnsi="Calibri" w:cs="Calibri"/>
        </w:rPr>
        <w:t xml:space="preserve">se sídlem: </w:t>
      </w:r>
      <w:r>
        <w:rPr>
          <w:rFonts w:ascii="Calibri" w:eastAsia="Calibri" w:hAnsi="Calibri" w:cs="Calibri"/>
        </w:rPr>
        <w:tab/>
        <w:t>Blučina 627</w:t>
      </w:r>
      <w:r>
        <w:rPr>
          <w:rFonts w:ascii="Calibri" w:eastAsia="Calibri" w:hAnsi="Calibri" w:cs="Calibri"/>
        </w:rPr>
        <w:tab/>
        <w:t>psč 664 56 zapsaná v obchodním rejstříku vedeném Krajským soudem v Brně, oddíl C, vložka</w:t>
      </w:r>
    </w:p>
    <w:p w14:paraId="37C96C1B" w14:textId="77777777" w:rsidR="005112E0" w:rsidRDefault="004F54AC">
      <w:pPr>
        <w:spacing w:after="229" w:line="230" w:lineRule="auto"/>
        <w:ind w:left="2664" w:right="2232" w:hanging="5"/>
        <w:jc w:val="both"/>
        <w:rPr>
          <w:rFonts w:ascii="Calibri" w:eastAsia="Calibri" w:hAnsi="Calibri" w:cs="Calibri"/>
        </w:rPr>
      </w:pPr>
      <w:r>
        <w:rPr>
          <w:rFonts w:ascii="Calibri" w:eastAsia="Calibri" w:hAnsi="Calibri" w:cs="Calibri"/>
        </w:rPr>
        <w:t xml:space="preserve">43296 zastoupena: jednatelem společnosti </w:t>
      </w:r>
    </w:p>
    <w:p w14:paraId="494D44E9" w14:textId="143B08B3" w:rsidR="005112E0" w:rsidRDefault="004F54AC">
      <w:pPr>
        <w:spacing w:after="229" w:line="230" w:lineRule="auto"/>
        <w:ind w:left="2664" w:right="2232" w:hanging="5"/>
        <w:jc w:val="both"/>
        <w:rPr>
          <w:rFonts w:ascii="Calibri" w:eastAsia="Calibri" w:hAnsi="Calibri" w:cs="Calibri"/>
        </w:rPr>
      </w:pPr>
      <w:r>
        <w:rPr>
          <w:rFonts w:ascii="Calibri" w:eastAsia="Calibri" w:hAnsi="Calibri" w:cs="Calibri"/>
        </w:rPr>
        <w:t xml:space="preserve">IČO : 26313766 </w:t>
      </w:r>
    </w:p>
    <w:p w14:paraId="734E2E46" w14:textId="46C6879C" w:rsidR="00CD0C6D" w:rsidRDefault="004F54AC">
      <w:pPr>
        <w:spacing w:after="229" w:line="230" w:lineRule="auto"/>
        <w:ind w:left="2664" w:right="2232" w:hanging="5"/>
        <w:jc w:val="both"/>
      </w:pPr>
      <w:r>
        <w:rPr>
          <w:rFonts w:ascii="Calibri" w:eastAsia="Calibri" w:hAnsi="Calibri" w:cs="Calibri"/>
        </w:rPr>
        <w:t>DIČ : CZ26313766</w:t>
      </w:r>
    </w:p>
    <w:p w14:paraId="023A25A3" w14:textId="77777777" w:rsidR="005112E0" w:rsidRDefault="004F54AC">
      <w:pPr>
        <w:spacing w:after="4" w:line="249" w:lineRule="auto"/>
        <w:ind w:left="2668" w:right="3336" w:hanging="1301"/>
        <w:jc w:val="both"/>
        <w:rPr>
          <w:rFonts w:ascii="Calibri" w:eastAsia="Calibri" w:hAnsi="Calibri" w:cs="Calibri"/>
          <w:sz w:val="20"/>
        </w:rPr>
      </w:pPr>
      <w:r>
        <w:rPr>
          <w:rFonts w:ascii="Calibri" w:eastAsia="Calibri" w:hAnsi="Calibri" w:cs="Calibri"/>
          <w:sz w:val="20"/>
        </w:rPr>
        <w:t>Smluvní pr</w:t>
      </w:r>
      <w:r>
        <w:rPr>
          <w:rFonts w:ascii="Calibri" w:eastAsia="Calibri" w:hAnsi="Calibri" w:cs="Calibri"/>
          <w:sz w:val="20"/>
        </w:rPr>
        <w:t xml:space="preserve">odejce: </w:t>
      </w:r>
    </w:p>
    <w:p w14:paraId="19522759" w14:textId="3FE3A16D" w:rsidR="00CD0C6D" w:rsidRDefault="004F54AC">
      <w:pPr>
        <w:spacing w:after="4" w:line="249" w:lineRule="auto"/>
        <w:ind w:left="2668" w:right="3336" w:hanging="1301"/>
        <w:jc w:val="both"/>
        <w:rPr>
          <w:rFonts w:ascii="Calibri" w:eastAsia="Calibri" w:hAnsi="Calibri" w:cs="Calibri"/>
          <w:sz w:val="20"/>
        </w:rPr>
      </w:pPr>
      <w:r>
        <w:rPr>
          <w:rFonts w:ascii="Calibri" w:eastAsia="Calibri" w:hAnsi="Calibri" w:cs="Calibri"/>
          <w:sz w:val="20"/>
        </w:rPr>
        <w:t xml:space="preserve">- RIVEL </w:t>
      </w:r>
      <w:r>
        <w:rPr>
          <w:sz w:val="20"/>
        </w:rPr>
        <w:t xml:space="preserve">se sídlem: </w:t>
      </w:r>
      <w:r>
        <w:rPr>
          <w:rFonts w:ascii="Calibri" w:eastAsia="Calibri" w:hAnsi="Calibri" w:cs="Calibri"/>
          <w:sz w:val="20"/>
        </w:rPr>
        <w:t xml:space="preserve">Raisova 1444 , 386 Ol Strakonice zastoupený: </w:t>
      </w:r>
    </w:p>
    <w:p w14:paraId="1AB4B4E6" w14:textId="77777777" w:rsidR="005112E0" w:rsidRDefault="005112E0">
      <w:pPr>
        <w:spacing w:after="4" w:line="249" w:lineRule="auto"/>
        <w:ind w:left="2668" w:right="3336" w:hanging="1301"/>
        <w:jc w:val="both"/>
      </w:pPr>
    </w:p>
    <w:p w14:paraId="27D97D45" w14:textId="77777777" w:rsidR="005112E0" w:rsidRDefault="004F54AC">
      <w:pPr>
        <w:tabs>
          <w:tab w:val="center" w:pos="3403"/>
          <w:tab w:val="center" w:pos="5511"/>
        </w:tabs>
        <w:spacing w:after="212" w:line="249" w:lineRule="auto"/>
        <w:rPr>
          <w:rFonts w:ascii="Calibri" w:eastAsia="Calibri" w:hAnsi="Calibri" w:cs="Calibri"/>
          <w:sz w:val="20"/>
        </w:rPr>
      </w:pPr>
      <w:r>
        <w:rPr>
          <w:sz w:val="20"/>
        </w:rPr>
        <w:tab/>
      </w:r>
      <w:r>
        <w:rPr>
          <w:rFonts w:ascii="Calibri" w:eastAsia="Calibri" w:hAnsi="Calibri" w:cs="Calibri"/>
          <w:sz w:val="20"/>
        </w:rPr>
        <w:t>IČO: 60829168</w:t>
      </w:r>
      <w:r>
        <w:rPr>
          <w:rFonts w:ascii="Calibri" w:eastAsia="Calibri" w:hAnsi="Calibri" w:cs="Calibri"/>
          <w:sz w:val="20"/>
        </w:rPr>
        <w:tab/>
      </w:r>
    </w:p>
    <w:p w14:paraId="7FBC34CE" w14:textId="2EBF4878" w:rsidR="00CD0C6D" w:rsidRDefault="005112E0">
      <w:pPr>
        <w:tabs>
          <w:tab w:val="center" w:pos="3403"/>
          <w:tab w:val="center" w:pos="5511"/>
        </w:tabs>
        <w:spacing w:after="212" w:line="249" w:lineRule="auto"/>
        <w:rPr>
          <w:rFonts w:ascii="Calibri" w:eastAsia="Calibri" w:hAnsi="Calibri" w:cs="Calibri"/>
          <w:sz w:val="20"/>
        </w:rPr>
      </w:pPr>
      <w:r>
        <w:rPr>
          <w:rFonts w:ascii="Calibri" w:eastAsia="Calibri" w:hAnsi="Calibri" w:cs="Calibri"/>
          <w:sz w:val="20"/>
        </w:rPr>
        <w:t xml:space="preserve">                                                             </w:t>
      </w:r>
      <w:r w:rsidR="004F54AC">
        <w:rPr>
          <w:rFonts w:ascii="Calibri" w:eastAsia="Calibri" w:hAnsi="Calibri" w:cs="Calibri"/>
          <w:sz w:val="20"/>
        </w:rPr>
        <w:t>DIČ: CZ6603171993</w:t>
      </w:r>
    </w:p>
    <w:p w14:paraId="7B4BFE67" w14:textId="77777777" w:rsidR="005112E0" w:rsidRDefault="005112E0">
      <w:pPr>
        <w:tabs>
          <w:tab w:val="center" w:pos="3403"/>
          <w:tab w:val="center" w:pos="5511"/>
        </w:tabs>
        <w:spacing w:after="212" w:line="249" w:lineRule="auto"/>
      </w:pPr>
    </w:p>
    <w:p w14:paraId="7242BADE" w14:textId="77777777" w:rsidR="00CD0C6D" w:rsidRDefault="004F54AC">
      <w:pPr>
        <w:spacing w:after="0"/>
        <w:ind w:left="1320"/>
        <w:jc w:val="center"/>
      </w:pPr>
      <w:r>
        <w:rPr>
          <w:rFonts w:ascii="Calibri" w:eastAsia="Calibri" w:hAnsi="Calibri" w:cs="Calibri"/>
          <w:sz w:val="20"/>
        </w:rPr>
        <w:t>1.</w:t>
      </w:r>
    </w:p>
    <w:p w14:paraId="0507D68E" w14:textId="77777777" w:rsidR="00CD0C6D" w:rsidRDefault="004F54AC">
      <w:pPr>
        <w:spacing w:after="0"/>
        <w:ind w:left="1392" w:right="43" w:hanging="10"/>
        <w:jc w:val="center"/>
      </w:pPr>
      <w:r>
        <w:rPr>
          <w:rFonts w:ascii="Calibri" w:eastAsia="Calibri" w:hAnsi="Calibri" w:cs="Calibri"/>
        </w:rPr>
        <w:t>Předmět plnění</w:t>
      </w:r>
    </w:p>
    <w:p w14:paraId="18BEBB76" w14:textId="77777777" w:rsidR="00CD0C6D" w:rsidRDefault="004F54AC">
      <w:pPr>
        <w:spacing w:after="4" w:line="249" w:lineRule="auto"/>
        <w:ind w:left="1367" w:right="14" w:firstLine="9"/>
        <w:jc w:val="both"/>
      </w:pPr>
      <w:r>
        <w:rPr>
          <w:rFonts w:ascii="Calibri" w:eastAsia="Calibri" w:hAnsi="Calibri" w:cs="Calibri"/>
          <w:sz w:val="20"/>
        </w:rPr>
        <w:t>I. l. Předmětem plnění této smlouvy je rámcové ujednáni o dodávkách přípravků na mytí rukou, sortime</w:t>
      </w:r>
      <w:r>
        <w:rPr>
          <w:rFonts w:ascii="Calibri" w:eastAsia="Calibri" w:hAnsi="Calibri" w:cs="Calibri"/>
          <w:sz w:val="20"/>
        </w:rPr>
        <w:t>nt přípravků DEB. Prodávající prostřednictvím výše uvedeného smluvního prodejce je výhradním dodavatelem přípravků DEB kupujícímu.</w:t>
      </w:r>
    </w:p>
    <w:p w14:paraId="682A6858" w14:textId="77777777" w:rsidR="00CD0C6D" w:rsidRDefault="004F54AC">
      <w:pPr>
        <w:spacing w:after="213" w:line="249" w:lineRule="auto"/>
        <w:ind w:left="1367" w:right="14" w:firstLine="9"/>
        <w:jc w:val="both"/>
      </w:pPr>
      <w:r>
        <w:rPr>
          <w:rFonts w:ascii="Calibri" w:eastAsia="Calibri" w:hAnsi="Calibri" w:cs="Calibri"/>
          <w:sz w:val="20"/>
        </w:rPr>
        <w:t>1.2. Dodávky jsou uskutečňovány mezi uvedeným smluvním prodejcem a kupujícím. Podkladem pro dílčí dodávky je vždy písemná neb</w:t>
      </w:r>
      <w:r>
        <w:rPr>
          <w:rFonts w:ascii="Calibri" w:eastAsia="Calibri" w:hAnsi="Calibri" w:cs="Calibri"/>
          <w:sz w:val="20"/>
        </w:rPr>
        <w:t>o telefonická objednávka kupujícího.</w:t>
      </w:r>
    </w:p>
    <w:p w14:paraId="3DF1E6F0" w14:textId="5E07D946" w:rsidR="00CD0C6D" w:rsidRDefault="005112E0">
      <w:pPr>
        <w:spacing w:after="1"/>
        <w:ind w:left="1378" w:right="24" w:hanging="10"/>
        <w:jc w:val="center"/>
      </w:pPr>
      <w:r>
        <w:rPr>
          <w:rFonts w:ascii="Calibri" w:eastAsia="Calibri" w:hAnsi="Calibri" w:cs="Calibri"/>
          <w:sz w:val="18"/>
        </w:rPr>
        <w:t>2.</w:t>
      </w:r>
    </w:p>
    <w:p w14:paraId="04355F68" w14:textId="77777777" w:rsidR="00CD0C6D" w:rsidRDefault="004F54AC">
      <w:pPr>
        <w:spacing w:after="0"/>
        <w:ind w:left="1392" w:right="24" w:hanging="10"/>
        <w:jc w:val="center"/>
      </w:pPr>
      <w:r>
        <w:rPr>
          <w:rFonts w:ascii="Calibri" w:eastAsia="Calibri" w:hAnsi="Calibri" w:cs="Calibri"/>
        </w:rPr>
        <w:t>Termíny plnění</w:t>
      </w:r>
    </w:p>
    <w:p w14:paraId="0E99C092" w14:textId="20EE2419" w:rsidR="00CD0C6D" w:rsidRDefault="004F54AC">
      <w:pPr>
        <w:spacing w:after="4" w:line="249" w:lineRule="auto"/>
        <w:ind w:left="1367" w:right="14" w:firstLine="9"/>
        <w:jc w:val="both"/>
      </w:pPr>
      <w:r>
        <w:rPr>
          <w:rFonts w:ascii="Calibri" w:eastAsia="Calibri" w:hAnsi="Calibri" w:cs="Calibri"/>
          <w:sz w:val="20"/>
        </w:rPr>
        <w:t>2.I. Plnění se uskuteční do 48 pracovních hodin od data přijetí objednávky, pokud nebude při p</w:t>
      </w:r>
      <w:r w:rsidR="005112E0">
        <w:rPr>
          <w:rFonts w:ascii="Calibri" w:eastAsia="Calibri" w:hAnsi="Calibri" w:cs="Calibri"/>
          <w:sz w:val="20"/>
        </w:rPr>
        <w:t>řijí</w:t>
      </w:r>
      <w:r>
        <w:rPr>
          <w:rFonts w:ascii="Calibri" w:eastAsia="Calibri" w:hAnsi="Calibri" w:cs="Calibri"/>
          <w:sz w:val="20"/>
        </w:rPr>
        <w:t>mání objednávky sjednáno jinak.</w:t>
      </w:r>
    </w:p>
    <w:p w14:paraId="3B7D65D3" w14:textId="02FCC197" w:rsidR="00CD0C6D" w:rsidRDefault="004F54AC">
      <w:pPr>
        <w:spacing w:after="447" w:line="249" w:lineRule="auto"/>
        <w:ind w:left="1367" w:right="14" w:firstLine="9"/>
        <w:jc w:val="both"/>
      </w:pPr>
      <w:r>
        <w:rPr>
          <w:rFonts w:ascii="Calibri" w:eastAsia="Calibri" w:hAnsi="Calibri" w:cs="Calibri"/>
          <w:sz w:val="20"/>
        </w:rPr>
        <w:t>2.2. Prodávající si vyhrazuje právo stanovit jiný termín dodání při objednání většího množství zboží přesahujícího objem 40.000</w:t>
      </w:r>
      <w:r>
        <w:rPr>
          <w:rFonts w:ascii="Calibri" w:eastAsia="Calibri" w:hAnsi="Calibri" w:cs="Calibri"/>
          <w:sz w:val="20"/>
        </w:rPr>
        <w:t>,-Kč nebo při speciálních požadavcích kupujícího. Při změně te</w:t>
      </w:r>
      <w:r w:rsidR="005112E0">
        <w:rPr>
          <w:rFonts w:ascii="Calibri" w:eastAsia="Calibri" w:hAnsi="Calibri" w:cs="Calibri"/>
          <w:sz w:val="20"/>
        </w:rPr>
        <w:t>rmí</w:t>
      </w:r>
      <w:r>
        <w:rPr>
          <w:rFonts w:ascii="Calibri" w:eastAsia="Calibri" w:hAnsi="Calibri" w:cs="Calibri"/>
          <w:sz w:val="20"/>
        </w:rPr>
        <w:t>nu dodávky musí prodávající do 24 pracovních hodin od přijetí objednávky vždy písemně nebo telefonicky informovat kupujícího.</w:t>
      </w:r>
    </w:p>
    <w:p w14:paraId="54B81FC0" w14:textId="59829176" w:rsidR="00CD0C6D" w:rsidRDefault="005112E0">
      <w:pPr>
        <w:spacing w:after="1"/>
        <w:ind w:left="1378" w:hanging="10"/>
        <w:jc w:val="center"/>
      </w:pPr>
      <w:r>
        <w:rPr>
          <w:rFonts w:ascii="Calibri" w:eastAsia="Calibri" w:hAnsi="Calibri" w:cs="Calibri"/>
          <w:sz w:val="18"/>
        </w:rPr>
        <w:t>3.</w:t>
      </w:r>
    </w:p>
    <w:p w14:paraId="36A6E942" w14:textId="77777777" w:rsidR="00CD0C6D" w:rsidRDefault="004F54AC">
      <w:pPr>
        <w:spacing w:after="0"/>
        <w:ind w:left="1392" w:hanging="10"/>
        <w:jc w:val="center"/>
      </w:pPr>
      <w:r>
        <w:rPr>
          <w:rFonts w:ascii="Calibri" w:eastAsia="Calibri" w:hAnsi="Calibri" w:cs="Calibri"/>
        </w:rPr>
        <w:t>Cena, způsob a termín úhrady zboží</w:t>
      </w:r>
    </w:p>
    <w:p w14:paraId="3C4F6105" w14:textId="77777777" w:rsidR="00CD0C6D" w:rsidRDefault="004F54AC">
      <w:pPr>
        <w:spacing w:after="4" w:line="249" w:lineRule="auto"/>
        <w:ind w:left="1367" w:right="14" w:firstLine="9"/>
        <w:jc w:val="both"/>
      </w:pPr>
      <w:r>
        <w:rPr>
          <w:rFonts w:ascii="Calibri" w:eastAsia="Calibri" w:hAnsi="Calibri" w:cs="Calibri"/>
          <w:sz w:val="20"/>
        </w:rPr>
        <w:t>3.I. Ceny výrobků jsou st</w:t>
      </w:r>
      <w:r>
        <w:rPr>
          <w:rFonts w:ascii="Calibri" w:eastAsia="Calibri" w:hAnsi="Calibri" w:cs="Calibri"/>
          <w:sz w:val="20"/>
        </w:rPr>
        <w:t>anoveny dohodou dle zákona o cenách jako ceny smluvní dle platného ceníku.</w:t>
      </w:r>
    </w:p>
    <w:p w14:paraId="4C49C0B3" w14:textId="359B7D65" w:rsidR="00CD0C6D" w:rsidRDefault="004F54AC">
      <w:pPr>
        <w:spacing w:after="4" w:line="249" w:lineRule="auto"/>
        <w:ind w:left="1367" w:right="14" w:firstLine="9"/>
        <w:jc w:val="both"/>
        <w:rPr>
          <w:rFonts w:ascii="Calibri" w:eastAsia="Calibri" w:hAnsi="Calibri" w:cs="Calibri"/>
          <w:sz w:val="20"/>
        </w:rPr>
      </w:pPr>
      <w:r>
        <w:rPr>
          <w:rFonts w:ascii="Calibri" w:eastAsia="Calibri" w:hAnsi="Calibri" w:cs="Calibri"/>
          <w:sz w:val="20"/>
        </w:rPr>
        <w:t>Prodávající si vyhrazuje právo na zvýšení cen jedenkrát ročně, a to ve výši odpovídající vývoji trhu. 3.2. Kupující se zavazuje za dodané zboží platit, na základě faktur vystavených</w:t>
      </w:r>
      <w:r>
        <w:rPr>
          <w:rFonts w:ascii="Calibri" w:eastAsia="Calibri" w:hAnsi="Calibri" w:cs="Calibri"/>
          <w:sz w:val="20"/>
        </w:rPr>
        <w:t xml:space="preserve"> smluvním prodejcem. Splatnost faktur je sjednána na 14 dnů ode dne doručení kupujícímu.</w:t>
      </w:r>
    </w:p>
    <w:p w14:paraId="292666BC" w14:textId="413FF903" w:rsidR="005112E0" w:rsidRDefault="005112E0">
      <w:pPr>
        <w:spacing w:after="4" w:line="249" w:lineRule="auto"/>
        <w:ind w:left="1367" w:right="14" w:firstLine="9"/>
        <w:jc w:val="both"/>
        <w:rPr>
          <w:rFonts w:ascii="Calibri" w:eastAsia="Calibri" w:hAnsi="Calibri" w:cs="Calibri"/>
          <w:sz w:val="20"/>
        </w:rPr>
      </w:pPr>
    </w:p>
    <w:p w14:paraId="4E40C334" w14:textId="77777777" w:rsidR="005112E0" w:rsidRDefault="005112E0">
      <w:pPr>
        <w:spacing w:after="4" w:line="249" w:lineRule="auto"/>
        <w:ind w:left="1367" w:right="14" w:firstLine="9"/>
        <w:jc w:val="both"/>
      </w:pPr>
    </w:p>
    <w:p w14:paraId="44728298" w14:textId="258D76F0" w:rsidR="00CD0C6D" w:rsidRDefault="004F54AC">
      <w:pPr>
        <w:spacing w:after="439" w:line="249" w:lineRule="auto"/>
        <w:ind w:left="1367" w:right="14" w:firstLine="9"/>
        <w:jc w:val="both"/>
        <w:rPr>
          <w:rFonts w:ascii="Calibri" w:eastAsia="Calibri" w:hAnsi="Calibri" w:cs="Calibri"/>
          <w:sz w:val="20"/>
        </w:rPr>
      </w:pPr>
      <w:r>
        <w:rPr>
          <w:rFonts w:ascii="Calibri" w:eastAsia="Calibri" w:hAnsi="Calibri" w:cs="Calibri"/>
          <w:sz w:val="20"/>
        </w:rPr>
        <w:t>3.3. V případě nedodržení splatnosti je prodejce oprávněn za každý den prodlení platby za dodané zboží účtovat kupujícímu smluvní pokutu ve výši 0,05% z dlužné částky.</w:t>
      </w:r>
    </w:p>
    <w:p w14:paraId="3F188EE2" w14:textId="03DDC5F1" w:rsidR="005112E0" w:rsidRDefault="005112E0">
      <w:pPr>
        <w:spacing w:after="439" w:line="249" w:lineRule="auto"/>
        <w:ind w:left="1367" w:right="14" w:firstLine="9"/>
        <w:jc w:val="both"/>
      </w:pPr>
      <w:r>
        <w:rPr>
          <w:rFonts w:ascii="Calibri" w:eastAsia="Calibri" w:hAnsi="Calibri" w:cs="Calibri"/>
          <w:sz w:val="20"/>
        </w:rPr>
        <w:t xml:space="preserve">                                                                                         4.</w:t>
      </w:r>
    </w:p>
    <w:p w14:paraId="7808ECD0" w14:textId="77777777" w:rsidR="00CD0C6D" w:rsidRDefault="004F54AC">
      <w:pPr>
        <w:spacing w:after="0"/>
        <w:ind w:left="1392" w:right="5" w:hanging="10"/>
        <w:jc w:val="center"/>
      </w:pPr>
      <w:r>
        <w:rPr>
          <w:rFonts w:ascii="Calibri" w:eastAsia="Calibri" w:hAnsi="Calibri" w:cs="Calibri"/>
        </w:rPr>
        <w:t>Zvláštní ujednání — poskytnutí dávkovačů</w:t>
      </w:r>
    </w:p>
    <w:p w14:paraId="0971E179" w14:textId="77777777" w:rsidR="00CD0C6D" w:rsidRDefault="004F54AC">
      <w:pPr>
        <w:numPr>
          <w:ilvl w:val="0"/>
          <w:numId w:val="1"/>
        </w:numPr>
        <w:spacing w:after="338" w:line="249" w:lineRule="auto"/>
        <w:ind w:right="7" w:firstLine="9"/>
        <w:jc w:val="both"/>
      </w:pPr>
      <w:r>
        <w:rPr>
          <w:rFonts w:ascii="Calibri" w:eastAsia="Calibri" w:hAnsi="Calibri" w:cs="Calibri"/>
          <w:sz w:val="20"/>
        </w:rPr>
        <w:t>l. Prodávající poskytne kupujícímu potřebné množství dávkovačů pro aplikaci přípravků na mytí, které jsou předmětem této smlouvy. Dávkovače jsou kupujícímu poskytnuty zdarma, se zárukou funkčnosti platnou po celou dobu užívání přípravků, které jsou předmět</w:t>
      </w:r>
      <w:r>
        <w:rPr>
          <w:rFonts w:ascii="Calibri" w:eastAsia="Calibri" w:hAnsi="Calibri" w:cs="Calibri"/>
          <w:sz w:val="20"/>
        </w:rPr>
        <w:t>em této smlouvy.</w:t>
      </w:r>
    </w:p>
    <w:p w14:paraId="68835AD1" w14:textId="77777777" w:rsidR="00CD0C6D" w:rsidRDefault="004F54AC">
      <w:pPr>
        <w:numPr>
          <w:ilvl w:val="1"/>
          <w:numId w:val="1"/>
        </w:numPr>
        <w:spacing w:after="3" w:line="261" w:lineRule="auto"/>
        <w:ind w:hanging="355"/>
        <w:jc w:val="both"/>
      </w:pPr>
      <w:r>
        <w:rPr>
          <w:sz w:val="20"/>
        </w:rPr>
        <w:t>Zárukou funkčnosti se rozumí, že dávkovač, který se stane nefunkčním v důsledku výrobní nebo materiálové vady, bude na základě písemného nebo telefonického oznámení kupujícím neprodleně vyměněn. Z této záruky jsou vyjmuty případy násil</w:t>
      </w:r>
      <w:r>
        <w:rPr>
          <w:sz w:val="20"/>
        </w:rPr>
        <w:t>ného poškození.</w:t>
      </w:r>
    </w:p>
    <w:p w14:paraId="123FFB71" w14:textId="0F8E489F" w:rsidR="00CD0C6D" w:rsidRPr="005112E0" w:rsidRDefault="004F54AC">
      <w:pPr>
        <w:numPr>
          <w:ilvl w:val="1"/>
          <w:numId w:val="1"/>
        </w:numPr>
        <w:spacing w:after="461" w:line="261" w:lineRule="auto"/>
        <w:ind w:hanging="355"/>
        <w:jc w:val="both"/>
      </w:pPr>
      <w:r>
        <w:rPr>
          <w:sz w:val="20"/>
        </w:rPr>
        <w:t>Při nedodržení sjednané doby platnosti dle čl. V bod 5.I. a bod 5.3. této smlouvy ze strany kupujícího, je kupující povinen uhradit prodávajícímu dávkovače, které mu byly poskytnuty a to dle ceny dávkovačů platné ke dni podpisu smlouvy. Úhr</w:t>
      </w:r>
      <w:r>
        <w:rPr>
          <w:sz w:val="20"/>
        </w:rPr>
        <w:t>ada bude provedena na základě faktury vystavené prodávajícím a se splatností 14 dnů ode dne doručení kupujícímu.</w:t>
      </w:r>
    </w:p>
    <w:p w14:paraId="6C262060" w14:textId="72EAF787" w:rsidR="005112E0" w:rsidRPr="005112E0" w:rsidRDefault="005112E0" w:rsidP="005112E0">
      <w:pPr>
        <w:spacing w:after="461" w:line="261" w:lineRule="auto"/>
        <w:jc w:val="both"/>
        <w:rPr>
          <w:sz w:val="20"/>
        </w:rPr>
      </w:pPr>
      <w:r>
        <w:rPr>
          <w:sz w:val="20"/>
        </w:rPr>
        <w:t xml:space="preserve">                                                                                                               5.</w:t>
      </w:r>
    </w:p>
    <w:p w14:paraId="3B9DC6AA" w14:textId="77777777" w:rsidR="00CD0C6D" w:rsidRDefault="004F54AC">
      <w:pPr>
        <w:spacing w:after="0"/>
        <w:ind w:left="1416"/>
        <w:jc w:val="center"/>
      </w:pPr>
      <w:r>
        <w:t>Ostatní ujednání</w:t>
      </w:r>
    </w:p>
    <w:p w14:paraId="2EDB2C78" w14:textId="77777777" w:rsidR="00CD0C6D" w:rsidRDefault="004F54AC">
      <w:pPr>
        <w:numPr>
          <w:ilvl w:val="0"/>
          <w:numId w:val="1"/>
        </w:numPr>
        <w:spacing w:after="3" w:line="261" w:lineRule="auto"/>
        <w:ind w:right="7" w:firstLine="9"/>
        <w:jc w:val="both"/>
      </w:pPr>
      <w:r>
        <w:rPr>
          <w:sz w:val="20"/>
        </w:rPr>
        <w:t>I . Platnost této smlouvy se sjednává na dobu 36 měsíců od podpisu smlouvy.</w:t>
      </w:r>
    </w:p>
    <w:p w14:paraId="2945C0BA" w14:textId="77777777" w:rsidR="00CD0C6D" w:rsidRDefault="004F54AC">
      <w:pPr>
        <w:numPr>
          <w:ilvl w:val="1"/>
          <w:numId w:val="1"/>
        </w:numPr>
        <w:spacing w:after="3" w:line="261" w:lineRule="auto"/>
        <w:ind w:hanging="355"/>
        <w:jc w:val="both"/>
      </w:pPr>
      <w:r>
        <w:rPr>
          <w:sz w:val="20"/>
        </w:rPr>
        <w:t>Smluvní strany se dohodly, že tato smlouva platí i</w:t>
      </w:r>
      <w:r>
        <w:rPr>
          <w:sz w:val="20"/>
        </w:rPr>
        <w:t xml:space="preserve"> pro případné právní nástupce smluvních stran.</w:t>
      </w:r>
    </w:p>
    <w:p w14:paraId="73FF5DD5" w14:textId="77777777" w:rsidR="00CD0C6D" w:rsidRDefault="004F54AC">
      <w:pPr>
        <w:numPr>
          <w:ilvl w:val="1"/>
          <w:numId w:val="1"/>
        </w:numPr>
        <w:spacing w:after="3" w:line="261" w:lineRule="auto"/>
        <w:ind w:hanging="355"/>
        <w:jc w:val="both"/>
      </w:pPr>
      <w:r>
        <w:rPr>
          <w:sz w:val="20"/>
        </w:rPr>
        <w:t>Před uplynutím platnosti dle bodu 5.I., lze smlouvu ukončit vzájemnou dohodou smluvních stran nebo výpovědí s jednoměsíční výpovědní lhůtou, výpovědní doba počíná běžet první den následujícího kalendářního měs</w:t>
      </w:r>
      <w:r>
        <w:rPr>
          <w:sz w:val="20"/>
        </w:rPr>
        <w:t xml:space="preserve">íce ode dne doručení výpovědi druhé straně. Smlouvu lze zrušit okamžitě v případě, kdy </w:t>
      </w:r>
      <w:r>
        <w:rPr>
          <w:sz w:val="20"/>
        </w:rPr>
        <w:t>některá ze smluvních stran závažným způsobem porušila své smluvní povinnosti.</w:t>
      </w:r>
    </w:p>
    <w:p w14:paraId="26BFB269" w14:textId="77777777" w:rsidR="00CD0C6D" w:rsidRDefault="004F54AC">
      <w:pPr>
        <w:numPr>
          <w:ilvl w:val="1"/>
          <w:numId w:val="1"/>
        </w:numPr>
        <w:spacing w:after="3" w:line="261" w:lineRule="auto"/>
        <w:ind w:hanging="355"/>
        <w:jc w:val="both"/>
      </w:pPr>
      <w:r>
        <w:rPr>
          <w:sz w:val="20"/>
        </w:rPr>
        <w:t>Smlouva je vyhotovena ve třech stejnopisech, z nichž vždy po jednom obdrží každá smluvní st</w:t>
      </w:r>
      <w:r>
        <w:rPr>
          <w:sz w:val="20"/>
        </w:rPr>
        <w:t>rana.</w:t>
      </w:r>
    </w:p>
    <w:p w14:paraId="232C2DB4" w14:textId="77777777" w:rsidR="00CD0C6D" w:rsidRDefault="00CD0C6D">
      <w:pPr>
        <w:sectPr w:rsidR="00CD0C6D">
          <w:footerReference w:type="even" r:id="rId7"/>
          <w:footerReference w:type="default" r:id="rId8"/>
          <w:footerReference w:type="first" r:id="rId9"/>
          <w:pgSz w:w="11900" w:h="16840"/>
          <w:pgMar w:top="230" w:right="1541" w:bottom="1095" w:left="283" w:header="708" w:footer="1114" w:gutter="0"/>
          <w:cols w:space="708"/>
        </w:sectPr>
      </w:pPr>
    </w:p>
    <w:p w14:paraId="70E217C6" w14:textId="5591A27D" w:rsidR="00CD0C6D" w:rsidRDefault="004F54AC">
      <w:pPr>
        <w:spacing w:after="3" w:line="261" w:lineRule="auto"/>
        <w:ind w:left="5" w:right="278" w:hanging="5"/>
        <w:jc w:val="both"/>
        <w:rPr>
          <w:sz w:val="20"/>
        </w:rPr>
      </w:pPr>
      <w:r>
        <w:rPr>
          <w:sz w:val="20"/>
        </w:rPr>
        <w:t>V Blučině dne</w:t>
      </w:r>
    </w:p>
    <w:p w14:paraId="4F136A74" w14:textId="77777777" w:rsidR="00AD792D" w:rsidRDefault="00AD792D">
      <w:pPr>
        <w:spacing w:after="3" w:line="261" w:lineRule="auto"/>
        <w:ind w:left="5" w:right="278" w:hanging="5"/>
        <w:jc w:val="both"/>
      </w:pPr>
    </w:p>
    <w:p w14:paraId="2CB6E86A" w14:textId="77777777" w:rsidR="00CD0C6D" w:rsidRDefault="004F54AC">
      <w:pPr>
        <w:spacing w:after="912"/>
        <w:ind w:left="1210"/>
      </w:pPr>
      <w:r>
        <w:rPr>
          <w:noProof/>
        </w:rPr>
        <w:drawing>
          <wp:inline distT="0" distB="0" distL="0" distR="0" wp14:anchorId="5BFC6B36" wp14:editId="7DA9D8B2">
            <wp:extent cx="591352" cy="15241"/>
            <wp:effectExtent l="0" t="0" r="0" b="0"/>
            <wp:docPr id="3995" name="Picture 3995"/>
            <wp:cNvGraphicFramePr/>
            <a:graphic xmlns:a="http://schemas.openxmlformats.org/drawingml/2006/main">
              <a:graphicData uri="http://schemas.openxmlformats.org/drawingml/2006/picture">
                <pic:pic xmlns:pic="http://schemas.openxmlformats.org/drawingml/2006/picture">
                  <pic:nvPicPr>
                    <pic:cNvPr id="3995" name="Picture 3995"/>
                    <pic:cNvPicPr/>
                  </pic:nvPicPr>
                  <pic:blipFill>
                    <a:blip r:embed="rId10"/>
                    <a:stretch>
                      <a:fillRect/>
                    </a:stretch>
                  </pic:blipFill>
                  <pic:spPr>
                    <a:xfrm>
                      <a:off x="0" y="0"/>
                      <a:ext cx="591352" cy="15241"/>
                    </a:xfrm>
                    <a:prstGeom prst="rect">
                      <a:avLst/>
                    </a:prstGeom>
                  </pic:spPr>
                </pic:pic>
              </a:graphicData>
            </a:graphic>
          </wp:inline>
        </w:drawing>
      </w:r>
    </w:p>
    <w:p w14:paraId="7FFEEA1E" w14:textId="77777777" w:rsidR="00CD0C6D" w:rsidRDefault="004F54AC">
      <w:pPr>
        <w:spacing w:after="38"/>
        <w:ind w:left="-14" w:right="-427"/>
      </w:pPr>
      <w:r>
        <w:rPr>
          <w:noProof/>
        </w:rPr>
        <mc:AlternateContent>
          <mc:Choice Requires="wpg">
            <w:drawing>
              <wp:inline distT="0" distB="0" distL="0" distR="0" wp14:anchorId="77EB1BF2" wp14:editId="119C19B7">
                <wp:extent cx="1816730" cy="12193"/>
                <wp:effectExtent l="0" t="0" r="0" b="0"/>
                <wp:docPr id="9085" name="Group 9085"/>
                <wp:cNvGraphicFramePr/>
                <a:graphic xmlns:a="http://schemas.openxmlformats.org/drawingml/2006/main">
                  <a:graphicData uri="http://schemas.microsoft.com/office/word/2010/wordprocessingGroup">
                    <wpg:wgp>
                      <wpg:cNvGrpSpPr/>
                      <wpg:grpSpPr>
                        <a:xfrm>
                          <a:off x="0" y="0"/>
                          <a:ext cx="1816730" cy="12193"/>
                          <a:chOff x="0" y="0"/>
                          <a:chExt cx="1816730" cy="12193"/>
                        </a:xfrm>
                      </wpg:grpSpPr>
                      <wps:wsp>
                        <wps:cNvPr id="9084" name="Shape 9084"/>
                        <wps:cNvSpPr/>
                        <wps:spPr>
                          <a:xfrm>
                            <a:off x="0" y="0"/>
                            <a:ext cx="1816730" cy="12193"/>
                          </a:xfrm>
                          <a:custGeom>
                            <a:avLst/>
                            <a:gdLst/>
                            <a:ahLst/>
                            <a:cxnLst/>
                            <a:rect l="0" t="0" r="0" b="0"/>
                            <a:pathLst>
                              <a:path w="1816730" h="12193">
                                <a:moveTo>
                                  <a:pt x="0" y="6097"/>
                                </a:moveTo>
                                <a:lnTo>
                                  <a:pt x="1816730"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85" style="width:143.05pt;height:0.960083pt;mso-position-horizontal-relative:char;mso-position-vertical-relative:line" coordsize="18167,121">
                <v:shape id="Shape 9084" style="position:absolute;width:18167;height:121;left:0;top:0;" coordsize="1816730,12193" path="m0,6097l1816730,6097">
                  <v:stroke weight="0.960083pt" endcap="flat" joinstyle="miter" miterlimit="1" on="true" color="#000000"/>
                  <v:fill on="false" color="#000000"/>
                </v:shape>
              </v:group>
            </w:pict>
          </mc:Fallback>
        </mc:AlternateContent>
      </w:r>
    </w:p>
    <w:p w14:paraId="71688944" w14:textId="77777777" w:rsidR="00CD0C6D" w:rsidRDefault="004F54AC">
      <w:pPr>
        <w:spacing w:after="929" w:line="261" w:lineRule="auto"/>
        <w:ind w:left="658" w:hanging="5"/>
        <w:jc w:val="both"/>
      </w:pPr>
      <w:r>
        <w:rPr>
          <w:sz w:val="20"/>
        </w:rPr>
        <w:t>prodávající</w:t>
      </w:r>
    </w:p>
    <w:p w14:paraId="5266E605" w14:textId="77777777" w:rsidR="00CD0C6D" w:rsidRDefault="004F54AC">
      <w:pPr>
        <w:spacing w:after="3" w:line="261" w:lineRule="auto"/>
        <w:ind w:left="10" w:hanging="5"/>
        <w:jc w:val="both"/>
      </w:pPr>
      <w:r>
        <w:rPr>
          <w:sz w:val="20"/>
        </w:rPr>
        <w:t xml:space="preserve">V Strakonicích dne 4. I </w:t>
      </w:r>
      <w:proofErr w:type="spellStart"/>
      <w:r>
        <w:rPr>
          <w:sz w:val="20"/>
        </w:rPr>
        <w:t>I</w:t>
      </w:r>
      <w:proofErr w:type="spellEnd"/>
      <w:r>
        <w:rPr>
          <w:sz w:val="20"/>
        </w:rPr>
        <w:t xml:space="preserve"> .2025</w:t>
      </w:r>
    </w:p>
    <w:p w14:paraId="50933272" w14:textId="611ABCB3" w:rsidR="00CD0C6D" w:rsidRDefault="00CD0C6D">
      <w:pPr>
        <w:spacing w:after="41"/>
        <w:ind w:left="-19" w:right="-538"/>
      </w:pPr>
    </w:p>
    <w:p w14:paraId="3A031715" w14:textId="77777777" w:rsidR="00CD0C6D" w:rsidRDefault="004F54AC">
      <w:pPr>
        <w:spacing w:after="3" w:line="261" w:lineRule="auto"/>
        <w:ind w:left="653" w:hanging="5"/>
        <w:jc w:val="both"/>
      </w:pPr>
      <w:r>
        <w:rPr>
          <w:sz w:val="20"/>
        </w:rPr>
        <w:t>smluvní prodejce</w:t>
      </w:r>
    </w:p>
    <w:p w14:paraId="2399480A" w14:textId="77777777" w:rsidR="00CD0C6D" w:rsidRDefault="004F54AC">
      <w:pPr>
        <w:spacing w:after="0"/>
        <w:ind w:right="1685"/>
        <w:jc w:val="right"/>
      </w:pPr>
      <w:r>
        <w:rPr>
          <w:sz w:val="20"/>
        </w:rPr>
        <w:t>V Strakonicích dne 4.I I.2025</w:t>
      </w:r>
    </w:p>
    <w:p w14:paraId="60E56BFD" w14:textId="7C90AEDF" w:rsidR="00CD0C6D" w:rsidRDefault="004F54AC" w:rsidP="00AD792D">
      <w:pPr>
        <w:spacing w:after="7315" w:line="261" w:lineRule="auto"/>
        <w:jc w:val="both"/>
      </w:pPr>
      <w:r>
        <w:rPr>
          <w:sz w:val="20"/>
        </w:rPr>
        <w:t>kupující</w:t>
      </w:r>
    </w:p>
    <w:p w14:paraId="505E7DE5" w14:textId="77777777" w:rsidR="00CD0C6D" w:rsidRDefault="00CD0C6D">
      <w:pPr>
        <w:sectPr w:rsidR="00CD0C6D">
          <w:type w:val="continuous"/>
          <w:pgSz w:w="11900" w:h="16840"/>
          <w:pgMar w:top="1440" w:right="1440" w:bottom="1440" w:left="1709" w:header="708" w:footer="708" w:gutter="0"/>
          <w:cols w:num="2" w:space="708" w:equalWidth="0">
            <w:col w:w="2996" w:space="2146"/>
            <w:col w:w="3609"/>
          </w:cols>
        </w:sectPr>
      </w:pPr>
    </w:p>
    <w:p w14:paraId="54108B1D" w14:textId="77777777" w:rsidR="00CD0C6D" w:rsidRDefault="004F54AC">
      <w:pPr>
        <w:pStyle w:val="Nadpis3"/>
      </w:pPr>
      <w:r>
        <w:lastRenderedPageBreak/>
        <w:t>PŘÍLOHA č. K RÁMCOVÉ KUPNÍ SMLOUVĚ č. 251104</w:t>
      </w:r>
    </w:p>
    <w:p w14:paraId="19B5B7F8" w14:textId="77777777" w:rsidR="00CD0C6D" w:rsidRDefault="004F54AC">
      <w:pPr>
        <w:spacing w:after="257"/>
      </w:pPr>
      <w:r>
        <w:rPr>
          <w:sz w:val="20"/>
        </w:rPr>
        <w:t>Specifikace typu a počtu dávkovačů poskytnutých kupujícímu dle výše uvedené rámcové kupní smlouvy:</w:t>
      </w:r>
    </w:p>
    <w:p w14:paraId="6B5F762A" w14:textId="77777777" w:rsidR="00CD0C6D" w:rsidRDefault="004F54AC">
      <w:pPr>
        <w:tabs>
          <w:tab w:val="center" w:pos="422"/>
          <w:tab w:val="center" w:pos="3022"/>
        </w:tabs>
        <w:spacing w:after="0"/>
      </w:pPr>
      <w:r>
        <w:tab/>
      </w:r>
      <w:r>
        <w:t>8 ks</w:t>
      </w:r>
      <w:r>
        <w:tab/>
        <w:t>dávkovač DEB Proline PROI LCHRB</w:t>
      </w:r>
    </w:p>
    <w:p w14:paraId="484517A1" w14:textId="77777777" w:rsidR="00CD0C6D" w:rsidRDefault="00CD0C6D">
      <w:pPr>
        <w:sectPr w:rsidR="00CD0C6D">
          <w:type w:val="continuous"/>
          <w:pgSz w:w="11900" w:h="16840"/>
          <w:pgMar w:top="2304" w:right="1517" w:bottom="1090" w:left="1795" w:header="708" w:footer="708" w:gutter="0"/>
          <w:cols w:space="708"/>
        </w:sectPr>
      </w:pPr>
    </w:p>
    <w:tbl>
      <w:tblPr>
        <w:tblStyle w:val="TableGrid"/>
        <w:tblW w:w="7076" w:type="dxa"/>
        <w:tblInd w:w="-629" w:type="dxa"/>
        <w:tblCellMar>
          <w:top w:w="0" w:type="dxa"/>
          <w:left w:w="0" w:type="dxa"/>
          <w:bottom w:w="0" w:type="dxa"/>
          <w:right w:w="0" w:type="dxa"/>
        </w:tblCellMar>
        <w:tblLook w:val="04A0" w:firstRow="1" w:lastRow="0" w:firstColumn="1" w:lastColumn="0" w:noHBand="0" w:noVBand="1"/>
      </w:tblPr>
      <w:tblGrid>
        <w:gridCol w:w="3466"/>
        <w:gridCol w:w="3610"/>
      </w:tblGrid>
      <w:tr w:rsidR="00CD0C6D" w14:paraId="59811489" w14:textId="77777777">
        <w:trPr>
          <w:trHeight w:val="235"/>
        </w:trPr>
        <w:tc>
          <w:tcPr>
            <w:tcW w:w="3466" w:type="dxa"/>
            <w:tcBorders>
              <w:top w:val="nil"/>
              <w:left w:val="nil"/>
              <w:bottom w:val="nil"/>
              <w:right w:val="nil"/>
            </w:tcBorders>
          </w:tcPr>
          <w:p w14:paraId="1DA84465" w14:textId="77777777" w:rsidR="00CD0C6D" w:rsidRDefault="004F54AC">
            <w:pPr>
              <w:spacing w:after="0"/>
            </w:pPr>
            <w:r>
              <w:rPr>
                <w:sz w:val="20"/>
              </w:rPr>
              <w:t>V Blučině dne</w:t>
            </w:r>
            <w:r>
              <w:rPr>
                <w:noProof/>
              </w:rPr>
              <w:drawing>
                <wp:inline distT="0" distB="0" distL="0" distR="0" wp14:anchorId="4F0F86EA" wp14:editId="21B796AD">
                  <wp:extent cx="594400" cy="15241"/>
                  <wp:effectExtent l="0" t="0" r="0" b="0"/>
                  <wp:docPr id="4711" name="Picture 4711"/>
                  <wp:cNvGraphicFramePr/>
                  <a:graphic xmlns:a="http://schemas.openxmlformats.org/drawingml/2006/main">
                    <a:graphicData uri="http://schemas.openxmlformats.org/drawingml/2006/picture">
                      <pic:pic xmlns:pic="http://schemas.openxmlformats.org/drawingml/2006/picture">
                        <pic:nvPicPr>
                          <pic:cNvPr id="4711" name="Picture 4711"/>
                          <pic:cNvPicPr/>
                        </pic:nvPicPr>
                        <pic:blipFill>
                          <a:blip r:embed="rId11"/>
                          <a:stretch>
                            <a:fillRect/>
                          </a:stretch>
                        </pic:blipFill>
                        <pic:spPr>
                          <a:xfrm>
                            <a:off x="0" y="0"/>
                            <a:ext cx="594400" cy="15241"/>
                          </a:xfrm>
                          <a:prstGeom prst="rect">
                            <a:avLst/>
                          </a:prstGeom>
                        </pic:spPr>
                      </pic:pic>
                    </a:graphicData>
                  </a:graphic>
                </wp:inline>
              </w:drawing>
            </w:r>
          </w:p>
        </w:tc>
        <w:tc>
          <w:tcPr>
            <w:tcW w:w="3610" w:type="dxa"/>
            <w:tcBorders>
              <w:top w:val="nil"/>
              <w:left w:val="nil"/>
              <w:bottom w:val="nil"/>
              <w:right w:val="nil"/>
            </w:tcBorders>
          </w:tcPr>
          <w:p w14:paraId="5B54A66A" w14:textId="77777777" w:rsidR="00CD0C6D" w:rsidRDefault="004F54AC">
            <w:pPr>
              <w:spacing w:after="0"/>
              <w:jc w:val="right"/>
            </w:pPr>
            <w:r>
              <w:rPr>
                <w:sz w:val="20"/>
              </w:rPr>
              <w:t>V Strakonicích dne 4. I I.2025</w:t>
            </w:r>
          </w:p>
        </w:tc>
      </w:tr>
    </w:tbl>
    <w:p w14:paraId="47FDB86A" w14:textId="36E7C433" w:rsidR="00CD0C6D" w:rsidRDefault="00CD0C6D">
      <w:pPr>
        <w:spacing w:after="5"/>
        <w:ind w:left="-648" w:right="-2525"/>
      </w:pPr>
    </w:p>
    <w:tbl>
      <w:tblPr>
        <w:tblStyle w:val="TableGrid"/>
        <w:tblW w:w="5914" w:type="dxa"/>
        <w:tblInd w:w="19" w:type="dxa"/>
        <w:tblCellMar>
          <w:top w:w="0" w:type="dxa"/>
          <w:left w:w="0" w:type="dxa"/>
          <w:bottom w:w="0" w:type="dxa"/>
          <w:right w:w="0" w:type="dxa"/>
        </w:tblCellMar>
        <w:tblLook w:val="04A0" w:firstRow="1" w:lastRow="0" w:firstColumn="1" w:lastColumn="0" w:noHBand="0" w:noVBand="1"/>
      </w:tblPr>
      <w:tblGrid>
        <w:gridCol w:w="5258"/>
        <w:gridCol w:w="656"/>
      </w:tblGrid>
      <w:tr w:rsidR="00CD0C6D" w14:paraId="72E9FA8A" w14:textId="77777777">
        <w:trPr>
          <w:trHeight w:val="226"/>
        </w:trPr>
        <w:tc>
          <w:tcPr>
            <w:tcW w:w="5261" w:type="dxa"/>
            <w:tcBorders>
              <w:top w:val="nil"/>
              <w:left w:val="nil"/>
              <w:bottom w:val="nil"/>
              <w:right w:val="nil"/>
            </w:tcBorders>
          </w:tcPr>
          <w:p w14:paraId="6B98A2E1" w14:textId="77777777" w:rsidR="00CD0C6D" w:rsidRDefault="004F54AC">
            <w:pPr>
              <w:spacing w:after="0"/>
            </w:pPr>
            <w:r>
              <w:rPr>
                <w:sz w:val="20"/>
              </w:rPr>
              <w:t>prodávající</w:t>
            </w:r>
          </w:p>
        </w:tc>
        <w:tc>
          <w:tcPr>
            <w:tcW w:w="653" w:type="dxa"/>
            <w:tcBorders>
              <w:top w:val="nil"/>
              <w:left w:val="nil"/>
              <w:bottom w:val="nil"/>
              <w:right w:val="nil"/>
            </w:tcBorders>
          </w:tcPr>
          <w:p w14:paraId="59AD92EA" w14:textId="77777777" w:rsidR="00CD0C6D" w:rsidRDefault="004F54AC">
            <w:pPr>
              <w:spacing w:after="0"/>
              <w:jc w:val="both"/>
            </w:pPr>
            <w:r>
              <w:rPr>
                <w:sz w:val="20"/>
              </w:rPr>
              <w:t>kupující</w:t>
            </w:r>
          </w:p>
        </w:tc>
      </w:tr>
    </w:tbl>
    <w:p w14:paraId="153D70AE" w14:textId="745EAD1E" w:rsidR="00CD0C6D" w:rsidRDefault="00CD0C6D">
      <w:pPr>
        <w:spacing w:after="34"/>
        <w:ind w:left="-931"/>
      </w:pPr>
    </w:p>
    <w:p w14:paraId="71187017" w14:textId="77777777" w:rsidR="00CD0C6D" w:rsidRDefault="004F54AC">
      <w:pPr>
        <w:spacing w:after="5822"/>
      </w:pPr>
      <w:r>
        <w:rPr>
          <w:sz w:val="20"/>
        </w:rPr>
        <w:t>smluvní prodejce</w:t>
      </w:r>
    </w:p>
    <w:p w14:paraId="51911AFD" w14:textId="008CE2A9" w:rsidR="00CD0C6D" w:rsidRDefault="004F54AC">
      <w:pPr>
        <w:tabs>
          <w:tab w:val="center" w:pos="3495"/>
          <w:tab w:val="right" w:pos="4296"/>
        </w:tabs>
        <w:spacing w:after="0"/>
      </w:pPr>
      <w:r>
        <w:rPr>
          <w:sz w:val="18"/>
        </w:rPr>
        <w:tab/>
      </w:r>
    </w:p>
    <w:sectPr w:rsidR="00CD0C6D">
      <w:type w:val="continuous"/>
      <w:pgSz w:w="11900" w:h="16840"/>
      <w:pgMar w:top="2304" w:right="5199" w:bottom="1090" w:left="24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85B6" w14:textId="77777777" w:rsidR="004F54AC" w:rsidRDefault="004F54AC">
      <w:pPr>
        <w:spacing w:after="0" w:line="240" w:lineRule="auto"/>
      </w:pPr>
      <w:r>
        <w:separator/>
      </w:r>
    </w:p>
  </w:endnote>
  <w:endnote w:type="continuationSeparator" w:id="0">
    <w:p w14:paraId="23A971E2" w14:textId="77777777" w:rsidR="004F54AC" w:rsidRDefault="004F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E9AB" w14:textId="77777777" w:rsidR="00CD0C6D" w:rsidRDefault="004F54AC">
    <w:pPr>
      <w:spacing w:after="0"/>
      <w:ind w:left="1219"/>
      <w:jc w:val="center"/>
    </w:pPr>
    <w:r>
      <w:rPr>
        <w:rFonts w:ascii="Calibri" w:eastAsia="Calibri" w:hAnsi="Calibri" w:cs="Calibri"/>
        <w:sz w:val="16"/>
      </w:rPr>
      <w:t>Strana {celkem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FABA" w14:textId="77777777" w:rsidR="00CD0C6D" w:rsidRDefault="004F54AC">
    <w:pPr>
      <w:spacing w:after="0"/>
      <w:ind w:left="1219"/>
      <w:jc w:val="center"/>
    </w:pPr>
    <w:r>
      <w:rPr>
        <w:rFonts w:ascii="Calibri" w:eastAsia="Calibri" w:hAnsi="Calibri" w:cs="Calibri"/>
        <w:sz w:val="16"/>
      </w:rPr>
      <w:t>Strana {celkem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59CE" w14:textId="77777777" w:rsidR="00CD0C6D" w:rsidRDefault="004F54AC">
    <w:pPr>
      <w:spacing w:after="0"/>
      <w:ind w:left="1219"/>
      <w:jc w:val="center"/>
    </w:pPr>
    <w:r>
      <w:rPr>
        <w:rFonts w:ascii="Calibri" w:eastAsia="Calibri" w:hAnsi="Calibri" w:cs="Calibri"/>
        <w:sz w:val="16"/>
      </w:rPr>
      <w:t>Strana {celkem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38A7" w14:textId="77777777" w:rsidR="004F54AC" w:rsidRDefault="004F54AC">
      <w:pPr>
        <w:spacing w:after="0" w:line="240" w:lineRule="auto"/>
      </w:pPr>
      <w:r>
        <w:separator/>
      </w:r>
    </w:p>
  </w:footnote>
  <w:footnote w:type="continuationSeparator" w:id="0">
    <w:p w14:paraId="2F51CF60" w14:textId="77777777" w:rsidR="004F54AC" w:rsidRDefault="004F5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2532F"/>
    <w:multiLevelType w:val="multilevel"/>
    <w:tmpl w:val="E2020EC8"/>
    <w:lvl w:ilvl="0">
      <w:start w:val="4"/>
      <w:numFmt w:val="decimal"/>
      <w:lvlText w:val="%1."/>
      <w:lvlJc w:val="left"/>
      <w:pPr>
        <w:ind w:left="1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6D"/>
    <w:rsid w:val="004F54AC"/>
    <w:rsid w:val="005112E0"/>
    <w:rsid w:val="00750D33"/>
    <w:rsid w:val="00AD792D"/>
    <w:rsid w:val="00CD0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96E2"/>
  <w15:docId w15:val="{5C30ACFC-4F58-427E-AE33-141E7A45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336"/>
      <w:outlineLvl w:val="0"/>
    </w:pPr>
    <w:rPr>
      <w:rFonts w:ascii="Times New Roman" w:eastAsia="Times New Roman" w:hAnsi="Times New Roman" w:cs="Times New Roman"/>
      <w:color w:val="000000"/>
      <w:sz w:val="36"/>
    </w:rPr>
  </w:style>
  <w:style w:type="paragraph" w:styleId="Nadpis2">
    <w:name w:val="heading 2"/>
    <w:next w:val="Normln"/>
    <w:link w:val="Nadpis2Char"/>
    <w:uiPriority w:val="9"/>
    <w:unhideWhenUsed/>
    <w:qFormat/>
    <w:pPr>
      <w:keepNext/>
      <w:keepLines/>
      <w:spacing w:after="0"/>
      <w:ind w:left="19"/>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173"/>
      <w:ind w:left="72"/>
      <w:jc w:val="center"/>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8"/>
    </w:rPr>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Nadpis1Char">
    <w:name w:val="Nadpis 1 Char"/>
    <w:link w:val="Nadpis1"/>
    <w:rPr>
      <w:rFonts w:ascii="Times New Roman" w:eastAsia="Times New Roman" w:hAnsi="Times New Roman" w:cs="Times New Roman"/>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632</Words>
  <Characters>3733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RS</dc:creator>
  <cp:keywords/>
  <cp:lastModifiedBy>RS</cp:lastModifiedBy>
  <cp:revision>4</cp:revision>
  <dcterms:created xsi:type="dcterms:W3CDTF">2025-11-18T06:07:00Z</dcterms:created>
  <dcterms:modified xsi:type="dcterms:W3CDTF">2025-11-18T06:08:00Z</dcterms:modified>
</cp:coreProperties>
</file>