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05ECA152" w:rsidR="00D024DD" w:rsidRDefault="00D024DD" w:rsidP="00D024DD">
      <w:r w:rsidRPr="004D4D93">
        <w:t xml:space="preserve">obchodní firma: </w:t>
      </w:r>
      <w:r>
        <w:tab/>
      </w:r>
      <w:r w:rsidR="00DB6096">
        <w:t>PROMOS spol. s r. o. projekce, montáže, servis</w:t>
      </w:r>
    </w:p>
    <w:p w14:paraId="14B0F186" w14:textId="69A724BC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proofErr w:type="spellStart"/>
      <w:r w:rsidR="00DB6096">
        <w:t>Starozuberská</w:t>
      </w:r>
      <w:proofErr w:type="spellEnd"/>
      <w:r w:rsidR="00DB6096">
        <w:t xml:space="preserve"> 1445, 75654 Zubří</w:t>
      </w:r>
    </w:p>
    <w:p w14:paraId="632E5CCC" w14:textId="2C2C47E9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DB6096">
        <w:t>42866103</w:t>
      </w:r>
    </w:p>
    <w:p w14:paraId="04AAE404" w14:textId="3182E67C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DB6096">
        <w:t>CZ72866103</w:t>
      </w:r>
    </w:p>
    <w:p w14:paraId="2AFA2221" w14:textId="47F0B84F" w:rsidR="00D024DD" w:rsidRPr="004D4D93" w:rsidRDefault="00D024DD" w:rsidP="00D024DD">
      <w:r w:rsidRPr="004D4D93">
        <w:t>jehož jménem jedná:</w:t>
      </w:r>
      <w:r w:rsidRPr="004D4D93">
        <w:tab/>
      </w:r>
      <w:r w:rsidR="00DB6096">
        <w:t xml:space="preserve">Ing. Jiří </w:t>
      </w:r>
      <w:proofErr w:type="spellStart"/>
      <w:r w:rsidR="00DB6096">
        <w:t>Mikůš</w:t>
      </w:r>
      <w:proofErr w:type="spellEnd"/>
      <w:r w:rsidR="00DB6096">
        <w:t>, jednatel společnosti</w:t>
      </w:r>
    </w:p>
    <w:p w14:paraId="58FC1A10" w14:textId="43E30168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7753D3">
        <w:t>xxxxxxxxxxxx</w:t>
      </w:r>
      <w:proofErr w:type="spellEnd"/>
    </w:p>
    <w:p w14:paraId="5A80BBFE" w14:textId="5310F952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7753D3">
        <w:t>xxxxxxxxxxxxxxxxxx</w:t>
      </w:r>
      <w:proofErr w:type="spellEnd"/>
      <w:r w:rsidRPr="004D4D93">
        <w:tab/>
      </w:r>
      <w:r w:rsidRPr="004D4D93">
        <w:tab/>
      </w:r>
    </w:p>
    <w:p w14:paraId="17B8D37F" w14:textId="38122E08" w:rsidR="00D024DD" w:rsidRDefault="00D024DD" w:rsidP="00D024DD">
      <w:r w:rsidRPr="004D4D93">
        <w:t xml:space="preserve">bankovní spojení / číslo účtu: </w:t>
      </w:r>
      <w:r w:rsidR="00501154" w:rsidRPr="00501154">
        <w:t>Unicredit bank a.s. /2109716044/2700</w:t>
      </w:r>
    </w:p>
    <w:p w14:paraId="289668E8" w14:textId="003B8760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DB6096" w:rsidRPr="00EC7011">
        <w:t>Krajského soudu v Ostravě</w:t>
      </w:r>
      <w:r w:rsidRPr="00EC7011">
        <w:t xml:space="preserve">, oddíl </w:t>
      </w:r>
      <w:r w:rsidR="00DB6096" w:rsidRPr="00EC7011">
        <w:t>C</w:t>
      </w:r>
      <w:r w:rsidRPr="00EC7011">
        <w:t xml:space="preserve">, vložka </w:t>
      </w:r>
      <w:r w:rsidR="00DB6096" w:rsidRPr="00EC7011">
        <w:t>1830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106C5B8C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7753D3">
        <w:t>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38AE1DE5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7753D3">
        <w:t>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3A6FB354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FD7F1D">
        <w:rPr>
          <w:bCs/>
        </w:rPr>
        <w:t>Signalizační zařízení</w:t>
      </w:r>
      <w:r w:rsidR="00BF5234" w:rsidRPr="00680D10">
        <w:rPr>
          <w:bCs/>
        </w:rPr>
        <w:t xml:space="preserve"> BOAS4</w:t>
      </w:r>
      <w:r w:rsidR="00FD7F1D">
        <w:rPr>
          <w:bCs/>
        </w:rPr>
        <w:t xml:space="preserve"> (sestra pacient)</w:t>
      </w:r>
    </w:p>
    <w:p w14:paraId="2ADB43A4" w14:textId="77777777" w:rsidR="0043645E" w:rsidRDefault="0043645E" w:rsidP="00AA38DE"/>
    <w:p w14:paraId="242D159C" w14:textId="6A3F7328" w:rsidR="00D024DD" w:rsidRDefault="004155DF" w:rsidP="00D024DD">
      <w:r>
        <w:t>Dle cenové nabídky</w:t>
      </w:r>
      <w:r w:rsidR="00BB484A">
        <w:t xml:space="preserve">: cenová kalkulace BOAS4 Šternberk LDN </w:t>
      </w:r>
      <w:r w:rsidR="00FD7F1D">
        <w:t>ze dne 20. 8. 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1F31B6FA" w:rsidR="00573F0E" w:rsidRPr="0055086D" w:rsidRDefault="00FD7F1D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130.756,40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6C4CDF5C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680D10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51454872" w:rsidR="00573F0E" w:rsidRPr="0055086D" w:rsidRDefault="00FD7F1D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27.458,84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69F91D05" w:rsidR="00573F0E" w:rsidRPr="0055086D" w:rsidRDefault="00FD7F1D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158.215,24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7C0C392C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D024DD" w:rsidRPr="00E6151E">
        <w:rPr>
          <w:rFonts w:ascii="Garamond" w:hAnsi="Garamond"/>
          <w:sz w:val="24"/>
          <w:szCs w:val="24"/>
        </w:rPr>
        <w:t>Šternberk,</w:t>
      </w:r>
      <w:r w:rsidR="00D024DD" w:rsidRPr="00483750">
        <w:rPr>
          <w:rFonts w:ascii="Garamond" w:hAnsi="Garamond"/>
          <w:sz w:val="24"/>
          <w:szCs w:val="24"/>
        </w:rPr>
        <w:t xml:space="preserve"> </w:t>
      </w:r>
      <w:proofErr w:type="spellStart"/>
      <w:r w:rsidR="00FD7F1D">
        <w:rPr>
          <w:rFonts w:ascii="Garamond" w:hAnsi="Garamond"/>
          <w:sz w:val="24"/>
          <w:szCs w:val="24"/>
        </w:rPr>
        <w:t>Jívavská</w:t>
      </w:r>
      <w:proofErr w:type="spellEnd"/>
      <w:r w:rsidR="00FD7F1D">
        <w:rPr>
          <w:rFonts w:ascii="Garamond" w:hAnsi="Garamond"/>
          <w:sz w:val="24"/>
          <w:szCs w:val="24"/>
        </w:rPr>
        <w:t xml:space="preserve"> 20, 785 01 Šternberk</w:t>
      </w:r>
    </w:p>
    <w:p w14:paraId="729D6EC2" w14:textId="3220A63D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>kupujícímu zboží nejpozději do</w:t>
      </w:r>
      <w:r w:rsidR="00E6151E">
        <w:rPr>
          <w:rFonts w:ascii="Garamond" w:hAnsi="Garamond"/>
          <w:sz w:val="24"/>
          <w:szCs w:val="24"/>
        </w:rPr>
        <w:t xml:space="preserve"> 6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00C0C12D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680D10">
        <w:t xml:space="preserve"> 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070743D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7753D3">
        <w:t>xxxxxxxxxxxxxxxxxxx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2C4D4E2B" w:rsidR="00C90296" w:rsidRPr="00680D10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680D10" w:rsidRPr="00680D10">
        <w:rPr>
          <w:rFonts w:ascii="Garamond" w:hAnsi="Garamond"/>
          <w:sz w:val="24"/>
          <w:szCs w:val="24"/>
        </w:rPr>
        <w:t xml:space="preserve">Ing. Jiří </w:t>
      </w:r>
      <w:proofErr w:type="spellStart"/>
      <w:r w:rsidR="00680D10" w:rsidRPr="00680D10">
        <w:rPr>
          <w:rFonts w:ascii="Garamond" w:hAnsi="Garamond"/>
          <w:sz w:val="24"/>
          <w:szCs w:val="24"/>
        </w:rPr>
        <w:t>Mikůš</w:t>
      </w:r>
      <w:proofErr w:type="spellEnd"/>
      <w:r w:rsidR="00680D10" w:rsidRPr="00680D10">
        <w:rPr>
          <w:rFonts w:ascii="Garamond" w:hAnsi="Garamond"/>
          <w:sz w:val="24"/>
          <w:szCs w:val="24"/>
        </w:rPr>
        <w:t>, jednatel společnosti</w:t>
      </w:r>
    </w:p>
    <w:p w14:paraId="1550462C" w14:textId="4DE3C527" w:rsidR="00123768" w:rsidRDefault="007753D3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5289D527" w:rsidR="00C90296" w:rsidRDefault="007753D3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59007F22" w:rsidR="00C90296" w:rsidRDefault="007753D3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2EFA7455" w:rsidR="00C90296" w:rsidRDefault="007753D3" w:rsidP="00C90296">
      <w:pPr>
        <w:spacing w:line="276" w:lineRule="auto"/>
        <w:ind w:firstLine="360"/>
        <w:jc w:val="both"/>
      </w:pPr>
      <w:proofErr w:type="spellStart"/>
      <w:r>
        <w:t>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6467A4A5" w:rsidR="00C90296" w:rsidRDefault="007753D3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50D4186A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1E4E557A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7BFA57F9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680D10">
        <w:t>Zubří</w:t>
      </w:r>
      <w:r w:rsidR="00123768">
        <w:rPr>
          <w:bCs/>
        </w:rPr>
        <w:tab/>
      </w:r>
      <w:r w:rsidR="00123768">
        <w:rPr>
          <w:bCs/>
        </w:rPr>
        <w:tab/>
      </w:r>
      <w:r w:rsidR="00FD7F1D">
        <w:rPr>
          <w:bCs/>
        </w:rPr>
        <w:tab/>
      </w:r>
      <w:r w:rsidR="005E00A7">
        <w:rPr>
          <w:bCs/>
        </w:rPr>
        <w:t>dne:</w:t>
      </w:r>
      <w:r w:rsidR="00680D10">
        <w:rPr>
          <w:bCs/>
        </w:rPr>
        <w:t xml:space="preserve"> </w:t>
      </w:r>
    </w:p>
    <w:p w14:paraId="5320B5EE" w14:textId="3F0C5501" w:rsidR="00174F30" w:rsidRDefault="00174F30" w:rsidP="00F46576">
      <w:pPr>
        <w:spacing w:before="120"/>
        <w:jc w:val="both"/>
        <w:rPr>
          <w:bCs/>
        </w:rPr>
      </w:pPr>
    </w:p>
    <w:p w14:paraId="28F04B5F" w14:textId="6A2578A7" w:rsidR="00174F30" w:rsidRDefault="00174F30" w:rsidP="00F46576">
      <w:pPr>
        <w:spacing w:before="120"/>
        <w:jc w:val="both"/>
        <w:rPr>
          <w:bCs/>
        </w:rPr>
      </w:pPr>
    </w:p>
    <w:p w14:paraId="2588422C" w14:textId="1206E633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193D7C22" w14:textId="77777777" w:rsidR="0000369E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  <w:r w:rsidR="0000369E">
        <w:rPr>
          <w:bCs/>
        </w:rPr>
        <w:t xml:space="preserve">Ing. Jiří </w:t>
      </w:r>
      <w:proofErr w:type="spellStart"/>
      <w:r w:rsidR="0000369E">
        <w:rPr>
          <w:bCs/>
        </w:rPr>
        <w:t>Mikůš</w:t>
      </w:r>
      <w:proofErr w:type="spellEnd"/>
    </w:p>
    <w:p w14:paraId="7DE57B6F" w14:textId="31656E43" w:rsidR="00F46576" w:rsidRPr="00BD277B" w:rsidRDefault="0000369E" w:rsidP="00F46576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</w:t>
      </w:r>
      <w:r w:rsidR="00680D10">
        <w:rPr>
          <w:bCs/>
        </w:rPr>
        <w:t xml:space="preserve">jednatel 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88DF" w14:textId="77777777" w:rsidR="00A945B7" w:rsidRDefault="00A945B7">
      <w:r>
        <w:separator/>
      </w:r>
    </w:p>
  </w:endnote>
  <w:endnote w:type="continuationSeparator" w:id="0">
    <w:p w14:paraId="59E67427" w14:textId="77777777" w:rsidR="00A945B7" w:rsidRDefault="00A9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7F1D">
      <w:rPr>
        <w:rStyle w:val="slostrnky"/>
        <w:noProof/>
      </w:rPr>
      <w:t>2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E34D" w14:textId="77777777" w:rsidR="00A945B7" w:rsidRDefault="00A945B7">
      <w:r>
        <w:separator/>
      </w:r>
    </w:p>
  </w:footnote>
  <w:footnote w:type="continuationSeparator" w:id="0">
    <w:p w14:paraId="0C363DAA" w14:textId="77777777" w:rsidR="00A945B7" w:rsidRDefault="00A9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297318">
    <w:abstractNumId w:val="0"/>
  </w:num>
  <w:num w:numId="2" w16cid:durableId="116920627">
    <w:abstractNumId w:val="11"/>
  </w:num>
  <w:num w:numId="3" w16cid:durableId="924068035">
    <w:abstractNumId w:val="38"/>
  </w:num>
  <w:num w:numId="4" w16cid:durableId="1332172699">
    <w:abstractNumId w:val="4"/>
  </w:num>
  <w:num w:numId="5" w16cid:durableId="1634865461">
    <w:abstractNumId w:val="19"/>
  </w:num>
  <w:num w:numId="6" w16cid:durableId="561016924">
    <w:abstractNumId w:val="35"/>
  </w:num>
  <w:num w:numId="7" w16cid:durableId="1516993171">
    <w:abstractNumId w:val="34"/>
  </w:num>
  <w:num w:numId="8" w16cid:durableId="1082020223">
    <w:abstractNumId w:val="22"/>
  </w:num>
  <w:num w:numId="9" w16cid:durableId="226841670">
    <w:abstractNumId w:val="21"/>
  </w:num>
  <w:num w:numId="10" w16cid:durableId="1961296308">
    <w:abstractNumId w:val="13"/>
  </w:num>
  <w:num w:numId="11" w16cid:durableId="15540667">
    <w:abstractNumId w:val="37"/>
  </w:num>
  <w:num w:numId="12" w16cid:durableId="219439571">
    <w:abstractNumId w:val="26"/>
  </w:num>
  <w:num w:numId="13" w16cid:durableId="525758192">
    <w:abstractNumId w:val="29"/>
  </w:num>
  <w:num w:numId="14" w16cid:durableId="1932926506">
    <w:abstractNumId w:val="36"/>
  </w:num>
  <w:num w:numId="15" w16cid:durableId="297540219">
    <w:abstractNumId w:val="39"/>
  </w:num>
  <w:num w:numId="16" w16cid:durableId="938292328">
    <w:abstractNumId w:val="10"/>
  </w:num>
  <w:num w:numId="17" w16cid:durableId="1536112606">
    <w:abstractNumId w:val="30"/>
  </w:num>
  <w:num w:numId="18" w16cid:durableId="472479676">
    <w:abstractNumId w:val="3"/>
  </w:num>
  <w:num w:numId="19" w16cid:durableId="811139321">
    <w:abstractNumId w:val="28"/>
  </w:num>
  <w:num w:numId="20" w16cid:durableId="442768912">
    <w:abstractNumId w:val="12"/>
  </w:num>
  <w:num w:numId="21" w16cid:durableId="137500835">
    <w:abstractNumId w:val="32"/>
  </w:num>
  <w:num w:numId="22" w16cid:durableId="1381250608">
    <w:abstractNumId w:val="5"/>
  </w:num>
  <w:num w:numId="23" w16cid:durableId="1889100804">
    <w:abstractNumId w:val="33"/>
  </w:num>
  <w:num w:numId="24" w16cid:durableId="645088867">
    <w:abstractNumId w:val="18"/>
  </w:num>
  <w:num w:numId="25" w16cid:durableId="653873405">
    <w:abstractNumId w:val="23"/>
  </w:num>
  <w:num w:numId="26" w16cid:durableId="1259369769">
    <w:abstractNumId w:val="2"/>
  </w:num>
  <w:num w:numId="27" w16cid:durableId="790904198">
    <w:abstractNumId w:val="40"/>
  </w:num>
  <w:num w:numId="28" w16cid:durableId="185600641">
    <w:abstractNumId w:val="7"/>
  </w:num>
  <w:num w:numId="29" w16cid:durableId="1052385051">
    <w:abstractNumId w:val="15"/>
  </w:num>
  <w:num w:numId="30" w16cid:durableId="802698490">
    <w:abstractNumId w:val="16"/>
  </w:num>
  <w:num w:numId="31" w16cid:durableId="221408971">
    <w:abstractNumId w:val="16"/>
    <w:lvlOverride w:ilvl="0">
      <w:startOverride w:val="1"/>
    </w:lvlOverride>
  </w:num>
  <w:num w:numId="32" w16cid:durableId="495461452">
    <w:abstractNumId w:val="25"/>
  </w:num>
  <w:num w:numId="33" w16cid:durableId="386418072">
    <w:abstractNumId w:val="9"/>
  </w:num>
  <w:num w:numId="34" w16cid:durableId="457532359">
    <w:abstractNumId w:val="27"/>
  </w:num>
  <w:num w:numId="35" w16cid:durableId="897083954">
    <w:abstractNumId w:val="6"/>
  </w:num>
  <w:num w:numId="36" w16cid:durableId="1071004404">
    <w:abstractNumId w:val="8"/>
  </w:num>
  <w:num w:numId="37" w16cid:durableId="623730650">
    <w:abstractNumId w:val="31"/>
  </w:num>
  <w:num w:numId="38" w16cid:durableId="591276325">
    <w:abstractNumId w:val="14"/>
  </w:num>
  <w:num w:numId="39" w16cid:durableId="920412908">
    <w:abstractNumId w:val="17"/>
  </w:num>
  <w:num w:numId="40" w16cid:durableId="923802427">
    <w:abstractNumId w:val="20"/>
  </w:num>
  <w:num w:numId="41" w16cid:durableId="265040052">
    <w:abstractNumId w:val="1"/>
  </w:num>
  <w:num w:numId="42" w16cid:durableId="5216328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0369E"/>
    <w:rsid w:val="00020AD6"/>
    <w:rsid w:val="0003254B"/>
    <w:rsid w:val="000410DC"/>
    <w:rsid w:val="0005197A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01154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80D10"/>
    <w:rsid w:val="00691AFE"/>
    <w:rsid w:val="006B10C7"/>
    <w:rsid w:val="006B171C"/>
    <w:rsid w:val="006B57BB"/>
    <w:rsid w:val="006D2B5E"/>
    <w:rsid w:val="006E4048"/>
    <w:rsid w:val="006F7B38"/>
    <w:rsid w:val="007020D1"/>
    <w:rsid w:val="00732D80"/>
    <w:rsid w:val="007409FA"/>
    <w:rsid w:val="00763A6A"/>
    <w:rsid w:val="00770DB4"/>
    <w:rsid w:val="007742FB"/>
    <w:rsid w:val="0077486E"/>
    <w:rsid w:val="00774C27"/>
    <w:rsid w:val="007753D3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958C5"/>
    <w:rsid w:val="009A5B03"/>
    <w:rsid w:val="009C088D"/>
    <w:rsid w:val="009C19EB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65971"/>
    <w:rsid w:val="00A73CC5"/>
    <w:rsid w:val="00A75303"/>
    <w:rsid w:val="00A83C3E"/>
    <w:rsid w:val="00A84D89"/>
    <w:rsid w:val="00A945B7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B21B0"/>
    <w:rsid w:val="00BB484A"/>
    <w:rsid w:val="00BC2960"/>
    <w:rsid w:val="00BD277B"/>
    <w:rsid w:val="00BD4E5C"/>
    <w:rsid w:val="00BD7D11"/>
    <w:rsid w:val="00BE7967"/>
    <w:rsid w:val="00BF5234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35A4F"/>
    <w:rsid w:val="00D41ADB"/>
    <w:rsid w:val="00D56F83"/>
    <w:rsid w:val="00D60AA1"/>
    <w:rsid w:val="00DB3740"/>
    <w:rsid w:val="00DB4CEE"/>
    <w:rsid w:val="00DB6096"/>
    <w:rsid w:val="00DC06B4"/>
    <w:rsid w:val="00DD58DA"/>
    <w:rsid w:val="00DF7BAB"/>
    <w:rsid w:val="00E04DCB"/>
    <w:rsid w:val="00E10682"/>
    <w:rsid w:val="00E34C94"/>
    <w:rsid w:val="00E5283D"/>
    <w:rsid w:val="00E57736"/>
    <w:rsid w:val="00E6151E"/>
    <w:rsid w:val="00E72AED"/>
    <w:rsid w:val="00E76629"/>
    <w:rsid w:val="00E80434"/>
    <w:rsid w:val="00EA5719"/>
    <w:rsid w:val="00EA64D7"/>
    <w:rsid w:val="00EB2DE7"/>
    <w:rsid w:val="00EB6471"/>
    <w:rsid w:val="00EC7011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D7F1D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6764-0CAA-4D6B-B74E-ACEB1CA2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1333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Pavel Gottwald</dc:creator>
  <cp:lastModifiedBy>reditel NOK</cp:lastModifiedBy>
  <cp:revision>2</cp:revision>
  <cp:lastPrinted>2025-08-22T08:06:00Z</cp:lastPrinted>
  <dcterms:created xsi:type="dcterms:W3CDTF">2025-11-18T09:50:00Z</dcterms:created>
  <dcterms:modified xsi:type="dcterms:W3CDTF">2025-11-18T09:50:00Z</dcterms:modified>
</cp:coreProperties>
</file>