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9745" w14:textId="250F4769" w:rsidR="001722E7" w:rsidRPr="001F3BA6" w:rsidRDefault="001722E7" w:rsidP="001722E7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F3BA6">
        <w:rPr>
          <w:rFonts w:ascii="Tahoma" w:hAnsi="Tahoma" w:cs="Tahoma"/>
          <w:b/>
          <w:sz w:val="20"/>
          <w:szCs w:val="20"/>
          <w:u w:val="single"/>
        </w:rPr>
        <w:t>Dodatek č. 1 ke smlouvě o dílo EV.Č. 1000</w:t>
      </w:r>
      <w:r w:rsidR="00B67DD3" w:rsidRPr="001F3BA6">
        <w:rPr>
          <w:rFonts w:ascii="Tahoma" w:hAnsi="Tahoma" w:cs="Tahoma"/>
          <w:b/>
          <w:sz w:val="20"/>
          <w:szCs w:val="20"/>
          <w:u w:val="single"/>
        </w:rPr>
        <w:t>42</w:t>
      </w:r>
      <w:r w:rsidRPr="001F3BA6">
        <w:rPr>
          <w:rFonts w:ascii="Tahoma" w:hAnsi="Tahoma" w:cs="Tahoma"/>
          <w:b/>
          <w:sz w:val="20"/>
          <w:szCs w:val="20"/>
          <w:u w:val="single"/>
        </w:rPr>
        <w:t>/2025</w:t>
      </w:r>
    </w:p>
    <w:p w14:paraId="34B41965" w14:textId="77777777" w:rsidR="001722E7" w:rsidRPr="001F3BA6" w:rsidRDefault="001722E7" w:rsidP="001722E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C3EFDAC" w14:textId="5890DB79" w:rsidR="001722E7" w:rsidRPr="001F3BA6" w:rsidRDefault="001722E7" w:rsidP="001722E7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Tento dodatek č. 1 ke smlouvě o dílo </w:t>
      </w:r>
      <w:r w:rsidRPr="001F3BA6">
        <w:rPr>
          <w:rFonts w:ascii="Tahoma" w:hAnsi="Tahoma" w:cs="Tahoma"/>
          <w:bCs/>
          <w:sz w:val="20"/>
          <w:szCs w:val="20"/>
        </w:rPr>
        <w:t>EV.Č. 1000</w:t>
      </w:r>
      <w:r w:rsidR="00B67DD3" w:rsidRPr="001F3BA6">
        <w:rPr>
          <w:rFonts w:ascii="Tahoma" w:hAnsi="Tahoma" w:cs="Tahoma"/>
          <w:bCs/>
          <w:sz w:val="20"/>
          <w:szCs w:val="20"/>
        </w:rPr>
        <w:t>42</w:t>
      </w:r>
      <w:r w:rsidRPr="001F3BA6">
        <w:rPr>
          <w:rFonts w:ascii="Tahoma" w:hAnsi="Tahoma" w:cs="Tahoma"/>
          <w:bCs/>
          <w:sz w:val="20"/>
          <w:szCs w:val="20"/>
        </w:rPr>
        <w:t>/2025</w:t>
      </w:r>
      <w:r w:rsidRPr="001F3BA6">
        <w:rPr>
          <w:rFonts w:ascii="Tahoma" w:hAnsi="Tahoma" w:cs="Tahoma"/>
          <w:sz w:val="20"/>
          <w:szCs w:val="20"/>
        </w:rPr>
        <w:t xml:space="preserve"> (dále jen </w:t>
      </w:r>
      <w:r w:rsidRPr="001F3BA6">
        <w:rPr>
          <w:rFonts w:ascii="Tahoma" w:hAnsi="Tahoma" w:cs="Tahoma"/>
          <w:b/>
          <w:bCs/>
          <w:sz w:val="20"/>
          <w:szCs w:val="20"/>
        </w:rPr>
        <w:t>“dodatek“</w:t>
      </w:r>
      <w:r w:rsidRPr="001F3BA6">
        <w:rPr>
          <w:rFonts w:ascii="Tahoma" w:hAnsi="Tahoma" w:cs="Tahoma"/>
          <w:sz w:val="20"/>
          <w:szCs w:val="20"/>
        </w:rPr>
        <w:t xml:space="preserve">) uzavírají dle </w:t>
      </w:r>
      <w:proofErr w:type="spellStart"/>
      <w:r w:rsidRPr="001F3BA6">
        <w:rPr>
          <w:rFonts w:ascii="Tahoma" w:hAnsi="Tahoma" w:cs="Tahoma"/>
          <w:sz w:val="20"/>
          <w:szCs w:val="20"/>
        </w:rPr>
        <w:t>ust</w:t>
      </w:r>
      <w:proofErr w:type="spellEnd"/>
      <w:r w:rsidRPr="001F3BA6">
        <w:rPr>
          <w:rFonts w:ascii="Tahoma" w:hAnsi="Tahoma" w:cs="Tahoma"/>
          <w:sz w:val="20"/>
          <w:szCs w:val="20"/>
        </w:rPr>
        <w:t>. § 2201 a násl. zákona č. 89/2012 Sb., občanský zákoník, ve znění pozdějších předpisů (dále jen OZ)</w:t>
      </w:r>
      <w:r w:rsidRPr="001F3BA6">
        <w:rPr>
          <w:rFonts w:ascii="Tahoma" w:hAnsi="Tahoma" w:cs="Tahoma"/>
          <w:sz w:val="20"/>
          <w:szCs w:val="20"/>
        </w:rPr>
        <w:br/>
        <w:t>za níže uvedených ujednání, tyto smluvní strany:</w:t>
      </w:r>
    </w:p>
    <w:p w14:paraId="1796A25A" w14:textId="77777777" w:rsidR="001722E7" w:rsidRPr="001F3BA6" w:rsidRDefault="001722E7" w:rsidP="001722E7">
      <w:pPr>
        <w:spacing w:after="0"/>
        <w:rPr>
          <w:rFonts w:ascii="Tahoma" w:hAnsi="Tahoma" w:cs="Tahoma"/>
          <w:b/>
          <w:sz w:val="20"/>
          <w:szCs w:val="20"/>
        </w:rPr>
      </w:pPr>
    </w:p>
    <w:p w14:paraId="08DF1BB5" w14:textId="77777777" w:rsidR="001722E7" w:rsidRPr="001F3BA6" w:rsidRDefault="001722E7" w:rsidP="001722E7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b/>
          <w:bCs/>
          <w:sz w:val="20"/>
          <w:szCs w:val="20"/>
        </w:rPr>
        <w:t>Správa sportovních a rekreačních zařízení Havířov</w:t>
      </w:r>
    </w:p>
    <w:p w14:paraId="7236AD64" w14:textId="77777777" w:rsidR="001722E7" w:rsidRPr="001F3BA6" w:rsidRDefault="001722E7" w:rsidP="001722E7">
      <w:pPr>
        <w:spacing w:after="0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právní forma: příspěvková organizace</w:t>
      </w:r>
    </w:p>
    <w:p w14:paraId="36A6CFD6" w14:textId="77777777" w:rsidR="001722E7" w:rsidRPr="001F3BA6" w:rsidRDefault="001722E7" w:rsidP="001722E7">
      <w:pPr>
        <w:pStyle w:val="Bezmezer"/>
        <w:ind w:left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zapsaná v registru ekonomických subjektů vedeném Českým statistickým úřadem v   </w:t>
      </w:r>
    </w:p>
    <w:p w14:paraId="38801DFC" w14:textId="77777777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Ostravě, č. j. 48/03-8402 </w:t>
      </w:r>
    </w:p>
    <w:p w14:paraId="260B0CD6" w14:textId="77777777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sídlo firmy: Těšínská 1296/</w:t>
      </w:r>
      <w:proofErr w:type="gramStart"/>
      <w:r w:rsidRPr="001F3BA6">
        <w:rPr>
          <w:rFonts w:ascii="Tahoma" w:hAnsi="Tahoma" w:cs="Tahoma"/>
          <w:sz w:val="20"/>
          <w:szCs w:val="20"/>
        </w:rPr>
        <w:t>2a</w:t>
      </w:r>
      <w:proofErr w:type="gramEnd"/>
      <w:r w:rsidRPr="001F3BA6">
        <w:rPr>
          <w:rFonts w:ascii="Tahoma" w:hAnsi="Tahoma" w:cs="Tahoma"/>
          <w:sz w:val="20"/>
          <w:szCs w:val="20"/>
        </w:rPr>
        <w:t xml:space="preserve">, PSČ 736 01 Havířov – Podlesí </w:t>
      </w:r>
    </w:p>
    <w:p w14:paraId="10F841BD" w14:textId="77777777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IČ: 00306754 </w:t>
      </w:r>
    </w:p>
    <w:p w14:paraId="1EFEBAE4" w14:textId="77777777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DIČ: CZ00306754 </w:t>
      </w:r>
    </w:p>
    <w:p w14:paraId="2D547E64" w14:textId="44FF3F62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číslo bankovního účtu: </w:t>
      </w:r>
      <w:proofErr w:type="spellStart"/>
      <w:r w:rsidR="00A11B2F">
        <w:rPr>
          <w:rFonts w:ascii="Tahoma" w:hAnsi="Tahoma" w:cs="Tahoma"/>
          <w:sz w:val="20"/>
          <w:szCs w:val="20"/>
        </w:rPr>
        <w:t>xxxxxxxxxxxxx</w:t>
      </w:r>
      <w:proofErr w:type="spellEnd"/>
      <w:r w:rsidRPr="001F3BA6">
        <w:rPr>
          <w:rFonts w:ascii="Tahoma" w:hAnsi="Tahoma" w:cs="Tahoma"/>
          <w:sz w:val="20"/>
          <w:szCs w:val="20"/>
        </w:rPr>
        <w:t xml:space="preserve"> </w:t>
      </w:r>
    </w:p>
    <w:p w14:paraId="1D8199B2" w14:textId="77777777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datová schránka: vx2rnkn </w:t>
      </w:r>
    </w:p>
    <w:p w14:paraId="0FF21390" w14:textId="785358DE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telefon: </w:t>
      </w:r>
      <w:proofErr w:type="spellStart"/>
      <w:r w:rsidR="00A11B2F">
        <w:rPr>
          <w:rFonts w:ascii="Tahoma" w:hAnsi="Tahoma" w:cs="Tahoma"/>
          <w:sz w:val="20"/>
          <w:szCs w:val="20"/>
        </w:rPr>
        <w:t>xxxxxxxxxxxx</w:t>
      </w:r>
      <w:proofErr w:type="spellEnd"/>
      <w:r w:rsidRPr="001F3BA6">
        <w:rPr>
          <w:rFonts w:ascii="Tahoma" w:hAnsi="Tahoma" w:cs="Tahoma"/>
          <w:sz w:val="20"/>
          <w:szCs w:val="20"/>
        </w:rPr>
        <w:t xml:space="preserve"> </w:t>
      </w:r>
    </w:p>
    <w:p w14:paraId="54E5433E" w14:textId="1F3D8F03" w:rsidR="001722E7" w:rsidRPr="001F3BA6" w:rsidRDefault="001722E7" w:rsidP="001722E7">
      <w:pPr>
        <w:pStyle w:val="Bezmezer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e-mail: </w:t>
      </w:r>
      <w:proofErr w:type="spellStart"/>
      <w:r w:rsidR="00A11B2F">
        <w:rPr>
          <w:rFonts w:ascii="Tahoma" w:hAnsi="Tahoma" w:cs="Tahoma"/>
          <w:sz w:val="20"/>
          <w:szCs w:val="20"/>
        </w:rPr>
        <w:t>xxxxxxxxxxx</w:t>
      </w:r>
      <w:proofErr w:type="spellEnd"/>
      <w:r w:rsidRPr="001F3BA6">
        <w:rPr>
          <w:rFonts w:ascii="Tahoma" w:hAnsi="Tahoma" w:cs="Tahoma"/>
          <w:sz w:val="20"/>
          <w:szCs w:val="20"/>
        </w:rPr>
        <w:t xml:space="preserve"> </w:t>
      </w:r>
    </w:p>
    <w:p w14:paraId="7A5189BF" w14:textId="77777777" w:rsidR="001722E7" w:rsidRPr="001F3BA6" w:rsidRDefault="001722E7" w:rsidP="001722E7">
      <w:pPr>
        <w:spacing w:after="0"/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zástupce: PhDr. Mgr. Nazim Afana, LL.M., ředitel </w:t>
      </w:r>
    </w:p>
    <w:p w14:paraId="251E57A1" w14:textId="77777777" w:rsidR="001722E7" w:rsidRPr="001F3BA6" w:rsidRDefault="001722E7" w:rsidP="001722E7">
      <w:pPr>
        <w:ind w:firstLine="708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 xml:space="preserve">(dále jen </w:t>
      </w:r>
      <w:r w:rsidRPr="001F3BA6">
        <w:rPr>
          <w:rFonts w:ascii="Tahoma" w:hAnsi="Tahoma" w:cs="Tahoma"/>
          <w:b/>
          <w:bCs/>
          <w:sz w:val="20"/>
          <w:szCs w:val="20"/>
        </w:rPr>
        <w:t>„objednatel“</w:t>
      </w:r>
      <w:r w:rsidRPr="001F3BA6">
        <w:rPr>
          <w:rFonts w:ascii="Tahoma" w:hAnsi="Tahoma" w:cs="Tahoma"/>
          <w:sz w:val="20"/>
          <w:szCs w:val="20"/>
        </w:rPr>
        <w:t>)</w:t>
      </w:r>
    </w:p>
    <w:p w14:paraId="18147D0E" w14:textId="77777777" w:rsidR="001722E7" w:rsidRPr="001F3BA6" w:rsidRDefault="001722E7" w:rsidP="001722E7">
      <w:pPr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a</w:t>
      </w:r>
    </w:p>
    <w:p w14:paraId="746D271D" w14:textId="362BB7E1" w:rsidR="00D57521" w:rsidRPr="001F12A1" w:rsidRDefault="00D57521" w:rsidP="00D57521">
      <w:pPr>
        <w:pStyle w:val="Odstavecseseznamem"/>
        <w:numPr>
          <w:ilvl w:val="0"/>
          <w:numId w:val="4"/>
        </w:numPr>
        <w:spacing w:after="0"/>
        <w:rPr>
          <w:rFonts w:ascii="Tahoma" w:eastAsia="Times New Roman" w:hAnsi="Tahoma" w:cs="Tahoma"/>
          <w:b/>
          <w:bCs/>
          <w:sz w:val="20"/>
          <w:szCs w:val="20"/>
        </w:rPr>
      </w:pPr>
      <w:r w:rsidRPr="001F12A1">
        <w:rPr>
          <w:rFonts w:ascii="Tahoma" w:eastAsia="Times New Roman" w:hAnsi="Tahoma" w:cs="Tahoma"/>
          <w:b/>
          <w:bCs/>
          <w:sz w:val="20"/>
          <w:szCs w:val="20"/>
        </w:rPr>
        <w:t>FORTI OSTRAVA s.r.o.</w:t>
      </w:r>
    </w:p>
    <w:p w14:paraId="1A826B2A" w14:textId="75EF9555" w:rsidR="00D57521" w:rsidRPr="001F3BA6" w:rsidRDefault="00D57521" w:rsidP="001F12A1">
      <w:pPr>
        <w:tabs>
          <w:tab w:val="left" w:pos="2977"/>
        </w:tabs>
        <w:spacing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1F3BA6">
        <w:rPr>
          <w:rFonts w:ascii="Tahoma" w:eastAsia="Times New Roman" w:hAnsi="Tahoma" w:cs="Tahoma"/>
          <w:sz w:val="20"/>
          <w:szCs w:val="20"/>
        </w:rPr>
        <w:t xml:space="preserve">se </w:t>
      </w:r>
      <w:proofErr w:type="spellStart"/>
      <w:proofErr w:type="gramStart"/>
      <w:r w:rsidRPr="001F3BA6">
        <w:rPr>
          <w:rFonts w:ascii="Tahoma" w:eastAsia="Times New Roman" w:hAnsi="Tahoma" w:cs="Tahoma"/>
          <w:sz w:val="20"/>
          <w:szCs w:val="20"/>
        </w:rPr>
        <w:t>sídlem:Novoveská</w:t>
      </w:r>
      <w:proofErr w:type="spellEnd"/>
      <w:proofErr w:type="gramEnd"/>
      <w:r w:rsidRPr="001F3BA6">
        <w:rPr>
          <w:rFonts w:ascii="Tahoma" w:eastAsia="Times New Roman" w:hAnsi="Tahoma" w:cs="Tahoma"/>
          <w:sz w:val="20"/>
          <w:szCs w:val="20"/>
        </w:rPr>
        <w:t xml:space="preserve"> 1264/9, 709 00 Ostrava</w:t>
      </w:r>
      <w:r w:rsidRPr="001F3BA6">
        <w:rPr>
          <w:rFonts w:ascii="Tahoma" w:eastAsia="Times New Roman" w:hAnsi="Tahoma" w:cs="Tahoma"/>
          <w:sz w:val="20"/>
          <w:szCs w:val="20"/>
        </w:rPr>
        <w:tab/>
      </w:r>
    </w:p>
    <w:p w14:paraId="1855E5D4" w14:textId="0340DD90" w:rsidR="00D57521" w:rsidRPr="001F3BA6" w:rsidRDefault="00D57521" w:rsidP="001F12A1">
      <w:pPr>
        <w:tabs>
          <w:tab w:val="left" w:pos="2977"/>
        </w:tabs>
        <w:spacing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proofErr w:type="gramStart"/>
      <w:r w:rsidRPr="001F3BA6">
        <w:rPr>
          <w:rFonts w:ascii="Tahoma" w:eastAsia="Times New Roman" w:hAnsi="Tahoma" w:cs="Tahoma"/>
          <w:sz w:val="20"/>
          <w:szCs w:val="20"/>
        </w:rPr>
        <w:t>zastoupena:Ing</w:t>
      </w:r>
      <w:proofErr w:type="spellEnd"/>
      <w:r w:rsidRPr="001F3BA6">
        <w:rPr>
          <w:rFonts w:ascii="Tahoma" w:eastAsia="Times New Roman" w:hAnsi="Tahoma" w:cs="Tahoma"/>
          <w:sz w:val="20"/>
          <w:szCs w:val="20"/>
        </w:rPr>
        <w:t>.</w:t>
      </w:r>
      <w:proofErr w:type="gramEnd"/>
      <w:r w:rsidRPr="001F3BA6">
        <w:rPr>
          <w:rFonts w:ascii="Tahoma" w:eastAsia="Times New Roman" w:hAnsi="Tahoma" w:cs="Tahoma"/>
          <w:sz w:val="20"/>
          <w:szCs w:val="20"/>
        </w:rPr>
        <w:t xml:space="preserve"> Jindřich Skopal, jednatel</w:t>
      </w:r>
      <w:r w:rsidRPr="001F3BA6">
        <w:rPr>
          <w:rFonts w:ascii="Tahoma" w:eastAsia="Times New Roman" w:hAnsi="Tahoma" w:cs="Tahoma"/>
          <w:sz w:val="20"/>
          <w:szCs w:val="20"/>
        </w:rPr>
        <w:tab/>
      </w:r>
    </w:p>
    <w:p w14:paraId="325EB901" w14:textId="6A807E34" w:rsidR="00D57521" w:rsidRPr="001F3BA6" w:rsidRDefault="00D57521" w:rsidP="001F12A1">
      <w:pPr>
        <w:tabs>
          <w:tab w:val="left" w:pos="2977"/>
        </w:tabs>
        <w:spacing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1F3BA6">
        <w:rPr>
          <w:rFonts w:ascii="Tahoma" w:eastAsia="Times New Roman" w:hAnsi="Tahoma" w:cs="Tahoma"/>
          <w:sz w:val="20"/>
          <w:szCs w:val="20"/>
        </w:rPr>
        <w:t>IČO:25888111</w:t>
      </w:r>
    </w:p>
    <w:p w14:paraId="76EC1DAC" w14:textId="5E768721" w:rsidR="00D57521" w:rsidRPr="001F3BA6" w:rsidRDefault="00D57521" w:rsidP="001F12A1">
      <w:pPr>
        <w:tabs>
          <w:tab w:val="left" w:pos="2977"/>
        </w:tabs>
        <w:spacing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1F3BA6">
        <w:rPr>
          <w:rFonts w:ascii="Tahoma" w:eastAsia="Times New Roman" w:hAnsi="Tahoma" w:cs="Tahoma"/>
          <w:sz w:val="20"/>
          <w:szCs w:val="20"/>
        </w:rPr>
        <w:t>DIČ:CZ25888111</w:t>
      </w:r>
    </w:p>
    <w:p w14:paraId="5B3B462B" w14:textId="042ADF99" w:rsidR="00D57521" w:rsidRPr="001F3BA6" w:rsidRDefault="00D57521" w:rsidP="001F12A1">
      <w:pPr>
        <w:tabs>
          <w:tab w:val="left" w:pos="2977"/>
        </w:tabs>
        <w:spacing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1F3BA6">
        <w:rPr>
          <w:rFonts w:ascii="Tahoma" w:eastAsia="Times New Roman" w:hAnsi="Tahoma" w:cs="Tahoma"/>
          <w:sz w:val="20"/>
          <w:szCs w:val="20"/>
        </w:rPr>
        <w:t xml:space="preserve">bankovní </w:t>
      </w:r>
      <w:proofErr w:type="spellStart"/>
      <w:proofErr w:type="gramStart"/>
      <w:r w:rsidRPr="001F3BA6">
        <w:rPr>
          <w:rFonts w:ascii="Tahoma" w:eastAsia="Times New Roman" w:hAnsi="Tahoma" w:cs="Tahoma"/>
          <w:sz w:val="20"/>
          <w:szCs w:val="20"/>
        </w:rPr>
        <w:t>spojení:Komerční</w:t>
      </w:r>
      <w:proofErr w:type="spellEnd"/>
      <w:proofErr w:type="gramEnd"/>
      <w:r w:rsidRPr="001F3BA6">
        <w:rPr>
          <w:rFonts w:ascii="Tahoma" w:eastAsia="Times New Roman" w:hAnsi="Tahoma" w:cs="Tahoma"/>
          <w:sz w:val="20"/>
          <w:szCs w:val="20"/>
        </w:rPr>
        <w:t xml:space="preserve"> banka a.s., pobočka Ostrava</w:t>
      </w:r>
    </w:p>
    <w:p w14:paraId="0BFFD50A" w14:textId="708C20CB" w:rsidR="00D57521" w:rsidRPr="001F3BA6" w:rsidRDefault="00D57521" w:rsidP="001F12A1">
      <w:pPr>
        <w:tabs>
          <w:tab w:val="left" w:pos="2977"/>
        </w:tabs>
        <w:spacing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1F3BA6">
        <w:rPr>
          <w:rFonts w:ascii="Tahoma" w:eastAsia="Times New Roman" w:hAnsi="Tahoma" w:cs="Tahoma"/>
          <w:sz w:val="20"/>
          <w:szCs w:val="20"/>
        </w:rPr>
        <w:t xml:space="preserve">číslo </w:t>
      </w:r>
      <w:proofErr w:type="spellStart"/>
      <w:proofErr w:type="gramStart"/>
      <w:r w:rsidRPr="001F3BA6">
        <w:rPr>
          <w:rFonts w:ascii="Tahoma" w:eastAsia="Times New Roman" w:hAnsi="Tahoma" w:cs="Tahoma"/>
          <w:sz w:val="20"/>
          <w:szCs w:val="20"/>
        </w:rPr>
        <w:t>účtu:</w:t>
      </w:r>
      <w:r w:rsidR="00A11B2F">
        <w:rPr>
          <w:rFonts w:ascii="Tahoma" w:eastAsia="Times New Roman" w:hAnsi="Tahoma" w:cs="Tahoma"/>
          <w:sz w:val="20"/>
          <w:szCs w:val="20"/>
        </w:rPr>
        <w:t>xxxxxxxxxxxxxx</w:t>
      </w:r>
      <w:proofErr w:type="spellEnd"/>
      <w:proofErr w:type="gramEnd"/>
    </w:p>
    <w:p w14:paraId="709C85F2" w14:textId="77777777" w:rsidR="00D57521" w:rsidRPr="001F3BA6" w:rsidRDefault="00D57521" w:rsidP="001F12A1">
      <w:pPr>
        <w:spacing w:before="120" w:after="0"/>
        <w:ind w:left="357"/>
        <w:jc w:val="both"/>
        <w:rPr>
          <w:rFonts w:ascii="Tahoma" w:eastAsia="Times New Roman" w:hAnsi="Tahoma" w:cs="Tahoma"/>
          <w:sz w:val="20"/>
          <w:szCs w:val="20"/>
        </w:rPr>
      </w:pPr>
      <w:r w:rsidRPr="001F3BA6">
        <w:rPr>
          <w:rFonts w:ascii="Tahoma" w:eastAsia="Times New Roman" w:hAnsi="Tahoma" w:cs="Tahoma"/>
          <w:sz w:val="20"/>
          <w:szCs w:val="20"/>
        </w:rPr>
        <w:t>Zapsána v obchodním rejstříku vedeném krajským soudem v Ostravě, oddíl C vložka 24354</w:t>
      </w:r>
    </w:p>
    <w:p w14:paraId="061DA146" w14:textId="0DE0422F" w:rsidR="001722E7" w:rsidRPr="001F3BA6" w:rsidRDefault="001F12A1" w:rsidP="001F12A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1722E7" w:rsidRPr="001F3BA6">
        <w:rPr>
          <w:rFonts w:ascii="Tahoma" w:hAnsi="Tahoma" w:cs="Tahoma"/>
          <w:sz w:val="20"/>
          <w:szCs w:val="20"/>
        </w:rPr>
        <w:t>(dále jen „</w:t>
      </w:r>
      <w:r w:rsidR="001722E7" w:rsidRPr="001F3BA6">
        <w:rPr>
          <w:rFonts w:ascii="Tahoma" w:hAnsi="Tahoma" w:cs="Tahoma"/>
          <w:b/>
          <w:bCs/>
          <w:sz w:val="20"/>
          <w:szCs w:val="20"/>
        </w:rPr>
        <w:t>zhotovitel</w:t>
      </w:r>
      <w:r w:rsidR="001722E7" w:rsidRPr="001F3BA6">
        <w:rPr>
          <w:rFonts w:ascii="Tahoma" w:hAnsi="Tahoma" w:cs="Tahoma"/>
          <w:sz w:val="20"/>
          <w:szCs w:val="20"/>
        </w:rPr>
        <w:t>“</w:t>
      </w:r>
      <w:r w:rsidR="00B67DD3" w:rsidRPr="001F3BA6">
        <w:rPr>
          <w:rFonts w:ascii="Tahoma" w:hAnsi="Tahoma" w:cs="Tahoma"/>
          <w:sz w:val="20"/>
          <w:szCs w:val="20"/>
        </w:rPr>
        <w:t>)</w:t>
      </w:r>
    </w:p>
    <w:p w14:paraId="39C09FF8" w14:textId="77777777" w:rsidR="001722E7" w:rsidRPr="001F3BA6" w:rsidRDefault="001722E7" w:rsidP="001722E7">
      <w:pPr>
        <w:spacing w:before="120" w:after="0"/>
        <w:ind w:firstLine="1418"/>
        <w:rPr>
          <w:rFonts w:ascii="Tahoma" w:hAnsi="Tahoma" w:cs="Tahoma"/>
          <w:sz w:val="20"/>
          <w:szCs w:val="20"/>
        </w:rPr>
      </w:pPr>
    </w:p>
    <w:p w14:paraId="2DC5C702" w14:textId="77777777" w:rsidR="001722E7" w:rsidRPr="001F3BA6" w:rsidRDefault="001722E7" w:rsidP="001722E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1F3BA6">
        <w:rPr>
          <w:rFonts w:ascii="Tahoma" w:hAnsi="Tahoma" w:cs="Tahoma"/>
          <w:bCs/>
          <w:sz w:val="20"/>
          <w:szCs w:val="20"/>
        </w:rPr>
        <w:t>takto:</w:t>
      </w:r>
    </w:p>
    <w:p w14:paraId="1770705F" w14:textId="7AF46F57" w:rsidR="001722E7" w:rsidRPr="001F3BA6" w:rsidRDefault="001722E7" w:rsidP="001722E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F3BA6">
        <w:rPr>
          <w:rFonts w:ascii="Tahoma" w:hAnsi="Tahoma" w:cs="Tahoma"/>
          <w:b/>
          <w:sz w:val="20"/>
          <w:szCs w:val="20"/>
        </w:rPr>
        <w:t>I</w:t>
      </w:r>
      <w:r w:rsidR="0015181B" w:rsidRPr="001F3BA6">
        <w:rPr>
          <w:rFonts w:ascii="Tahoma" w:hAnsi="Tahoma" w:cs="Tahoma"/>
          <w:b/>
          <w:sz w:val="20"/>
          <w:szCs w:val="20"/>
        </w:rPr>
        <w:t>I</w:t>
      </w:r>
      <w:r w:rsidRPr="001F3BA6">
        <w:rPr>
          <w:rFonts w:ascii="Tahoma" w:hAnsi="Tahoma" w:cs="Tahoma"/>
          <w:b/>
          <w:sz w:val="20"/>
          <w:szCs w:val="20"/>
        </w:rPr>
        <w:t>.</w:t>
      </w:r>
    </w:p>
    <w:p w14:paraId="4F939B6B" w14:textId="4CADC318" w:rsidR="001722E7" w:rsidRPr="001F3BA6" w:rsidRDefault="001722E7" w:rsidP="001722E7">
      <w:pPr>
        <w:pStyle w:val="Odstavecseseznamem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</w:t>
      </w:r>
      <w:r w:rsidR="0015181B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ředmět dodatku</w:t>
      </w:r>
    </w:p>
    <w:p w14:paraId="6CBE2678" w14:textId="77777777" w:rsidR="001722E7" w:rsidRPr="001F3BA6" w:rsidRDefault="001722E7" w:rsidP="001722E7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8AC992" w14:textId="0F3D34EB" w:rsidR="004710C4" w:rsidRPr="004710C4" w:rsidRDefault="004710C4" w:rsidP="009F7055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Tento dodatek se uzavírá z důvodu potřeby provedení dodatečných stavebních prací, které nebyly součástí původního závazku ze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Smlouvy o dílo č. </w:t>
      </w:r>
      <w:r w:rsidR="0015181B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1000</w:t>
      </w:r>
      <w:r w:rsidR="00DB2A17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42/2025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 uzavřené dne </w:t>
      </w:r>
      <w:r w:rsidR="00DB2A17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22. 9. 2025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, jejímž předmětem je realizace stavby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„</w:t>
      </w:r>
      <w:r w:rsidR="00AE327B" w:rsidRPr="001F3BA6">
        <w:rPr>
          <w:rFonts w:ascii="Tahoma" w:hAnsi="Tahoma" w:cs="Tahoma"/>
          <w:b/>
          <w:bCs/>
          <w:sz w:val="20"/>
          <w:szCs w:val="20"/>
        </w:rPr>
        <w:t>Sanace stropu budovy v areálu Letní koupaliště Jindřich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“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7163A8F3" w14:textId="77777777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V průběhu stavebních prací bylo zjištěno, že skutečný technický stav konstrukce stropu neodpovídá předpokladům uvedeným v projektové dokumentaci.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br/>
        <w:t>Materiál stropu vykazuje rozsáhlejší degradaci, než bylo možné před zahájením prací zjistit.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br/>
        <w:t>Dále bylo při provádění otvoru pro dopravu materiálu zjištěno, že obvodové stěny nejsou dostatečně pevně kotveny, což by mohlo negativně ovlivnit statickou stabilitu konstrukce.</w:t>
      </w:r>
    </w:p>
    <w:p w14:paraId="175553FD" w14:textId="77777777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Z těchto důvodů je nezbytné provést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dodatečné práce spočívající v rozšíření sanace stropní konstrukce a ve zřízení nové příčky se ztužením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 podle návrhu zhotovitele a stanoviska technického dozoru stavby.</w:t>
      </w:r>
    </w:p>
    <w:p w14:paraId="3F83BEFE" w14:textId="1B718CF2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C4259AA" w14:textId="683AFF29" w:rsidR="00AE327B" w:rsidRPr="001F3BA6" w:rsidRDefault="004710C4" w:rsidP="00AE327B">
      <w:pPr>
        <w:pStyle w:val="Default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III.</w:t>
      </w:r>
    </w:p>
    <w:p w14:paraId="3C42E4F3" w14:textId="0C29D7A4" w:rsidR="004710C4" w:rsidRPr="004710C4" w:rsidRDefault="004710C4" w:rsidP="00AE327B">
      <w:pPr>
        <w:pStyle w:val="Default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Právní rámec změny</w:t>
      </w:r>
    </w:p>
    <w:p w14:paraId="6D560D79" w14:textId="77777777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Tento dodatek se uzavírá v souladu s ustanoveními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§ 222 odst. 5, 6 a 9 zákona č. 134/2016 Sb., o zadávání veřejných zakázek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, neboť:</w:t>
      </w:r>
    </w:p>
    <w:p w14:paraId="194FDAF0" w14:textId="77777777" w:rsidR="004710C4" w:rsidRPr="004710C4" w:rsidRDefault="004710C4" w:rsidP="004710C4">
      <w:pPr>
        <w:pStyle w:val="Default"/>
        <w:numPr>
          <w:ilvl w:val="0"/>
          <w:numId w:val="36"/>
        </w:numPr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dodatečné práce nebyly zahrnuty v původním závazku,</w:t>
      </w:r>
    </w:p>
    <w:p w14:paraId="278EE5F5" w14:textId="77777777" w:rsidR="004710C4" w:rsidRPr="004710C4" w:rsidRDefault="004710C4" w:rsidP="004710C4">
      <w:pPr>
        <w:pStyle w:val="Default"/>
        <w:numPr>
          <w:ilvl w:val="0"/>
          <w:numId w:val="36"/>
        </w:numPr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jejich provedení je nezbytné pro dokončení a bezpečné užívání stavby,</w:t>
      </w:r>
    </w:p>
    <w:p w14:paraId="3018A765" w14:textId="77777777" w:rsidR="004710C4" w:rsidRPr="004710C4" w:rsidRDefault="004710C4" w:rsidP="004710C4">
      <w:pPr>
        <w:pStyle w:val="Default"/>
        <w:numPr>
          <w:ilvl w:val="0"/>
          <w:numId w:val="36"/>
        </w:numPr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 xml:space="preserve">potřeba změny vznikla v důsledku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okolností, které objednatel jednající s náležitou péčí nemohl předvídat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14:paraId="3CDA9ACB" w14:textId="77777777" w:rsidR="004710C4" w:rsidRPr="004710C4" w:rsidRDefault="004710C4" w:rsidP="004710C4">
      <w:pPr>
        <w:pStyle w:val="Default"/>
        <w:numPr>
          <w:ilvl w:val="0"/>
          <w:numId w:val="36"/>
        </w:numPr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a navrhovaná změna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nemění celkovou povahu veřejné zakázky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9713411" w14:textId="6E38EA51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7FB8C1C" w14:textId="3A5BC4CD" w:rsidR="00AE327B" w:rsidRPr="001F3BA6" w:rsidRDefault="004710C4" w:rsidP="00AE327B">
      <w:pPr>
        <w:pStyle w:val="Default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IV.</w:t>
      </w:r>
    </w:p>
    <w:p w14:paraId="76E72D3D" w14:textId="5876933E" w:rsidR="004710C4" w:rsidRPr="004710C4" w:rsidRDefault="004710C4" w:rsidP="00AE327B">
      <w:pPr>
        <w:pStyle w:val="Default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Cena dodatečných prací</w:t>
      </w:r>
    </w:p>
    <w:p w14:paraId="3E2BEA50" w14:textId="77777777" w:rsidR="00AE327B" w:rsidRPr="001F3BA6" w:rsidRDefault="00AE327B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DBF7ECA" w14:textId="137B037F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Původní cena díla dle smlouvy o dílo činí </w:t>
      </w:r>
      <w:r w:rsidR="00BC2A8D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438 678,00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Kč bez DPH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Cena dodatečných stavebních prací uvedených v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Změnovém listu č. </w:t>
      </w:r>
      <w:r w:rsidR="00BC2A8D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 činí </w:t>
      </w:r>
      <w:r w:rsidR="00BC2A8D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84 802,72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Kč bez DPH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566FC826" w14:textId="27B646AE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Celková cena díla po zapracování této změny činí </w:t>
      </w:r>
      <w:r w:rsidR="008D75B2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523 480,85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Kč bez DPH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Cenový nárůst odpovídá </w:t>
      </w:r>
      <w:r w:rsidR="00D5795F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19,34 %</w:t>
      </w:r>
      <w:r w:rsidR="00CD7454" w:rsidRPr="001F3BA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původní hodnoty závazku, a tím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nepřekračuje limit 30 %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 stanovený v § 222 odst. 9 ZZVZ.</w:t>
      </w:r>
    </w:p>
    <w:p w14:paraId="195E3F8F" w14:textId="77777777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Podrobný rozpočet dodatečných prací tvoří </w:t>
      </w: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Přílohu č. 1</w:t>
      </w:r>
      <w:r w:rsidRPr="004710C4">
        <w:rPr>
          <w:rFonts w:ascii="Tahoma" w:eastAsia="Times New Roman" w:hAnsi="Tahoma" w:cs="Tahoma"/>
          <w:sz w:val="20"/>
          <w:szCs w:val="20"/>
          <w:lang w:eastAsia="cs-CZ"/>
        </w:rPr>
        <w:t xml:space="preserve"> tohoto dodatku.</w:t>
      </w:r>
    </w:p>
    <w:p w14:paraId="4FB91E0D" w14:textId="18820D6E" w:rsidR="004710C4" w:rsidRPr="004710C4" w:rsidRDefault="004710C4" w:rsidP="004710C4">
      <w:pPr>
        <w:pStyle w:val="Default"/>
        <w:spacing w:line="276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47489B6" w14:textId="75D3E900" w:rsidR="00CD7454" w:rsidRPr="001F3BA6" w:rsidRDefault="004710C4" w:rsidP="00CD7454">
      <w:pPr>
        <w:pStyle w:val="Default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V.</w:t>
      </w:r>
    </w:p>
    <w:p w14:paraId="0BC2AF0B" w14:textId="16C23B95" w:rsidR="004710C4" w:rsidRPr="004710C4" w:rsidRDefault="004710C4" w:rsidP="00CD7454">
      <w:pPr>
        <w:pStyle w:val="Default"/>
        <w:spacing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710C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Ostatní ujednání</w:t>
      </w:r>
    </w:p>
    <w:p w14:paraId="30045FE4" w14:textId="77777777" w:rsidR="001722E7" w:rsidRPr="001F3BA6" w:rsidRDefault="001722E7" w:rsidP="009F7055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Tento dodatek byl vyhotoven ve dvou vyhotoveních, z nichž každá smluvní strana obdrží jedno vyhotovení, které má platnost originálu.</w:t>
      </w:r>
    </w:p>
    <w:p w14:paraId="32DF8D4A" w14:textId="77777777" w:rsidR="001722E7" w:rsidRPr="001F3BA6" w:rsidRDefault="001722E7" w:rsidP="009F7055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Tento dodatek nabývá platnosti ke dni podpisu oběma účastníky tohoto dodatku.</w:t>
      </w:r>
    </w:p>
    <w:p w14:paraId="453C1318" w14:textId="77777777" w:rsidR="001722E7" w:rsidRPr="001F3BA6" w:rsidRDefault="001722E7" w:rsidP="009F7055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Tento dodatek nabývá účinnosti dnem zveřejnění v Registru smluv dle zákona č. 340/2015 Sb., o zvláštních podmínkách účinnosti některých smluv, uveřejňování těchto smluv a o registru smluv, v platném a účinném znění.</w:t>
      </w:r>
    </w:p>
    <w:p w14:paraId="2CB556F0" w14:textId="77777777" w:rsidR="001722E7" w:rsidRPr="001F3BA6" w:rsidRDefault="001722E7" w:rsidP="009F7055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Smluvní strany shodně prohlašují, že si tento dodatek přečetly, že s jeho obsahem souhlasí, že nebyl sjednán v tísni a za nápadně nevýhodných podmínek. Na důkaz toho připojují své podpisy.</w:t>
      </w:r>
    </w:p>
    <w:p w14:paraId="43D4F926" w14:textId="77777777" w:rsidR="001722E7" w:rsidRPr="001F3BA6" w:rsidRDefault="001722E7" w:rsidP="001722E7">
      <w:pPr>
        <w:pStyle w:val="Default"/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  <w:sectPr w:rsidR="001722E7" w:rsidRPr="001F3BA6" w:rsidSect="001E1F43">
          <w:footerReference w:type="default" r:id="rId7"/>
          <w:pgSz w:w="11906" w:h="16838"/>
          <w:pgMar w:top="993" w:right="991" w:bottom="1417" w:left="1417" w:header="708" w:footer="708" w:gutter="0"/>
          <w:cols w:space="708"/>
          <w:docGrid w:linePitch="360"/>
        </w:sectPr>
      </w:pPr>
    </w:p>
    <w:p w14:paraId="5C66F6FA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</w:p>
    <w:p w14:paraId="751DBC4B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</w:p>
    <w:p w14:paraId="373BBCAB" w14:textId="27603112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  <w:r w:rsidRPr="001F3BA6">
        <w:rPr>
          <w:rFonts w:ascii="Tahoma" w:hAnsi="Tahoma" w:cs="Tahoma"/>
          <w:color w:val="auto"/>
          <w:sz w:val="20"/>
          <w:szCs w:val="20"/>
        </w:rPr>
        <w:t xml:space="preserve">V Havířově dne: </w:t>
      </w:r>
      <w:r w:rsidR="00A11B2F">
        <w:rPr>
          <w:rFonts w:ascii="Tahoma" w:hAnsi="Tahoma" w:cs="Tahoma"/>
          <w:color w:val="auto"/>
          <w:sz w:val="20"/>
          <w:szCs w:val="20"/>
        </w:rPr>
        <w:t>27.10.2025</w:t>
      </w:r>
    </w:p>
    <w:p w14:paraId="09C1B1CF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</w:p>
    <w:p w14:paraId="66CF02D3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</w:p>
    <w:p w14:paraId="2EAC546F" w14:textId="54E4A709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</w:pPr>
      <w:r w:rsidRPr="001F3BA6">
        <w:rPr>
          <w:rFonts w:ascii="Tahoma" w:hAnsi="Tahoma" w:cs="Tahoma"/>
          <w:color w:val="auto"/>
          <w:sz w:val="20"/>
          <w:szCs w:val="20"/>
        </w:rPr>
        <w:t xml:space="preserve">V Havířově dne: </w:t>
      </w:r>
      <w:r w:rsidR="00A11B2F">
        <w:rPr>
          <w:rFonts w:ascii="Tahoma" w:hAnsi="Tahoma" w:cs="Tahoma"/>
          <w:color w:val="auto"/>
          <w:sz w:val="20"/>
          <w:szCs w:val="20"/>
        </w:rPr>
        <w:t>27.10.2025</w:t>
      </w:r>
    </w:p>
    <w:p w14:paraId="243002DD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color w:val="auto"/>
          <w:sz w:val="20"/>
          <w:szCs w:val="20"/>
        </w:rPr>
        <w:sectPr w:rsidR="001722E7" w:rsidRPr="001F3BA6" w:rsidSect="001722E7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60EA9846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3A317A43" w14:textId="77777777" w:rsidR="009F7055" w:rsidRDefault="009F7055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22E093EB" w14:textId="19966871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  <w:r w:rsidRPr="001F3BA6">
        <w:rPr>
          <w:rFonts w:ascii="Tahoma" w:hAnsi="Tahoma" w:cs="Tahoma"/>
          <w:b/>
          <w:color w:val="auto"/>
          <w:sz w:val="20"/>
          <w:szCs w:val="20"/>
        </w:rPr>
        <w:t>Objednatel</w:t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  <w:t>Zhotovitel</w:t>
      </w:r>
    </w:p>
    <w:p w14:paraId="1C9753B9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64B40F90" w14:textId="77777777" w:rsidR="001E1F43" w:rsidRDefault="001E1F43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15C2B8E9" w14:textId="77777777" w:rsidR="009F7055" w:rsidRDefault="009F7055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30D94367" w14:textId="77777777" w:rsidR="009F7055" w:rsidRPr="001F3BA6" w:rsidRDefault="009F7055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7473A045" w14:textId="77777777" w:rsidR="001722E7" w:rsidRPr="001F3BA6" w:rsidRDefault="001722E7" w:rsidP="001722E7">
      <w:pPr>
        <w:pStyle w:val="Default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</w:p>
    <w:p w14:paraId="12D85C86" w14:textId="609779AD" w:rsidR="001722E7" w:rsidRPr="001F3BA6" w:rsidRDefault="001722E7" w:rsidP="001722E7">
      <w:pPr>
        <w:pStyle w:val="Default"/>
        <w:spacing w:line="276" w:lineRule="auto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1F3BA6">
        <w:rPr>
          <w:rFonts w:ascii="Tahoma" w:hAnsi="Tahoma" w:cs="Tahoma"/>
          <w:b/>
          <w:color w:val="auto"/>
          <w:sz w:val="20"/>
          <w:szCs w:val="20"/>
        </w:rPr>
        <w:t>…………………………………………………</w:t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</w:r>
      <w:r w:rsidR="00A24D41">
        <w:rPr>
          <w:rFonts w:ascii="Tahoma" w:hAnsi="Tahoma" w:cs="Tahoma"/>
          <w:b/>
          <w:color w:val="auto"/>
          <w:sz w:val="20"/>
          <w:szCs w:val="20"/>
        </w:rPr>
        <w:tab/>
      </w:r>
      <w:r w:rsidRPr="001F3BA6">
        <w:rPr>
          <w:rFonts w:ascii="Tahoma" w:hAnsi="Tahoma" w:cs="Tahoma"/>
          <w:b/>
          <w:color w:val="auto"/>
          <w:sz w:val="20"/>
          <w:szCs w:val="20"/>
        </w:rPr>
        <w:t>…………………………………………………………</w:t>
      </w:r>
    </w:p>
    <w:p w14:paraId="11623210" w14:textId="3C89D9C3" w:rsidR="001722E7" w:rsidRPr="001F3BA6" w:rsidRDefault="001722E7" w:rsidP="001722E7">
      <w:pPr>
        <w:pStyle w:val="Default"/>
        <w:spacing w:line="276" w:lineRule="auto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1F3BA6">
        <w:rPr>
          <w:rFonts w:ascii="Tahoma" w:hAnsi="Tahoma" w:cs="Tahoma"/>
          <w:b/>
          <w:color w:val="auto"/>
          <w:sz w:val="20"/>
          <w:szCs w:val="20"/>
        </w:rPr>
        <w:t>Správa sportovních a rekreačních zařízení Havířov</w:t>
      </w:r>
      <w:r w:rsidRPr="001F3BA6">
        <w:rPr>
          <w:rFonts w:ascii="Tahoma" w:hAnsi="Tahoma" w:cs="Tahoma"/>
          <w:b/>
          <w:color w:val="auto"/>
          <w:sz w:val="20"/>
          <w:szCs w:val="20"/>
        </w:rPr>
        <w:tab/>
        <w:t xml:space="preserve">        </w:t>
      </w:r>
      <w:r w:rsidR="00DE3F88" w:rsidRPr="001F3BA6">
        <w:rPr>
          <w:rFonts w:ascii="Tahoma" w:hAnsi="Tahoma" w:cs="Tahoma"/>
          <w:b/>
          <w:bCs/>
          <w:sz w:val="20"/>
          <w:szCs w:val="20"/>
        </w:rPr>
        <w:t>FORTI OSTRAVA</w:t>
      </w:r>
      <w:r w:rsidR="00295239" w:rsidRPr="001F3BA6">
        <w:rPr>
          <w:rFonts w:ascii="Tahoma" w:hAnsi="Tahoma" w:cs="Tahoma"/>
          <w:b/>
          <w:bCs/>
          <w:sz w:val="20"/>
          <w:szCs w:val="20"/>
        </w:rPr>
        <w:t xml:space="preserve"> s.r.o.</w:t>
      </w:r>
      <w:r w:rsidRPr="001F3BA6">
        <w:rPr>
          <w:rFonts w:ascii="Tahoma" w:hAnsi="Tahoma" w:cs="Tahoma"/>
          <w:b/>
          <w:color w:val="auto"/>
          <w:sz w:val="20"/>
          <w:szCs w:val="20"/>
        </w:rPr>
        <w:t xml:space="preserve"> </w:t>
      </w:r>
    </w:p>
    <w:p w14:paraId="7F2737D2" w14:textId="6B698868" w:rsidR="001722E7" w:rsidRPr="001F3BA6" w:rsidRDefault="001722E7" w:rsidP="001722E7">
      <w:pPr>
        <w:pStyle w:val="Default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1F3BA6">
        <w:rPr>
          <w:rFonts w:ascii="Tahoma" w:hAnsi="Tahoma" w:cs="Tahoma"/>
          <w:sz w:val="20"/>
          <w:szCs w:val="20"/>
        </w:rPr>
        <w:t>PhDr. Mgr. Nazim Afana</w:t>
      </w:r>
      <w:r w:rsidRPr="001F3BA6">
        <w:rPr>
          <w:rFonts w:ascii="Tahoma" w:hAnsi="Tahoma" w:cs="Tahoma"/>
          <w:sz w:val="20"/>
          <w:szCs w:val="20"/>
        </w:rPr>
        <w:tab/>
      </w:r>
      <w:r w:rsidRPr="001F3BA6">
        <w:rPr>
          <w:rFonts w:ascii="Tahoma" w:hAnsi="Tahoma" w:cs="Tahoma"/>
          <w:sz w:val="20"/>
          <w:szCs w:val="20"/>
        </w:rPr>
        <w:tab/>
      </w:r>
      <w:r w:rsidRPr="001F3BA6">
        <w:rPr>
          <w:rFonts w:ascii="Tahoma" w:hAnsi="Tahoma" w:cs="Tahoma"/>
          <w:sz w:val="20"/>
          <w:szCs w:val="20"/>
        </w:rPr>
        <w:tab/>
      </w:r>
      <w:r w:rsidRPr="001F3BA6">
        <w:rPr>
          <w:rFonts w:ascii="Tahoma" w:hAnsi="Tahoma" w:cs="Tahoma"/>
          <w:sz w:val="20"/>
          <w:szCs w:val="20"/>
        </w:rPr>
        <w:tab/>
      </w:r>
      <w:r w:rsidR="00A24D41">
        <w:rPr>
          <w:rFonts w:ascii="Tahoma" w:hAnsi="Tahoma" w:cs="Tahoma"/>
          <w:sz w:val="20"/>
          <w:szCs w:val="20"/>
        </w:rPr>
        <w:tab/>
      </w:r>
      <w:r w:rsidR="00A24D41">
        <w:rPr>
          <w:rFonts w:ascii="Tahoma" w:hAnsi="Tahoma" w:cs="Tahoma"/>
          <w:sz w:val="20"/>
          <w:szCs w:val="20"/>
        </w:rPr>
        <w:tab/>
      </w:r>
      <w:r w:rsidR="00DE3F88" w:rsidRPr="001F3BA6">
        <w:rPr>
          <w:rFonts w:ascii="Tahoma" w:hAnsi="Tahoma" w:cs="Tahoma"/>
          <w:sz w:val="20"/>
          <w:szCs w:val="20"/>
        </w:rPr>
        <w:t>Ing. Jindřich Skopal</w:t>
      </w:r>
    </w:p>
    <w:p w14:paraId="1E957358" w14:textId="64911C31" w:rsidR="001722E7" w:rsidRDefault="001722E7" w:rsidP="001722E7">
      <w:pPr>
        <w:pStyle w:val="Default"/>
        <w:spacing w:line="276" w:lineRule="auto"/>
        <w:ind w:left="708"/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             ř</w:t>
      </w:r>
      <w:r w:rsidRPr="00A947DA">
        <w:rPr>
          <w:color w:val="333333"/>
          <w:sz w:val="22"/>
          <w:szCs w:val="22"/>
          <w:shd w:val="clear" w:color="auto" w:fill="FFFFFF"/>
        </w:rPr>
        <w:t>editel</w:t>
      </w: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ab/>
      </w:r>
      <w:r>
        <w:rPr>
          <w:color w:val="333333"/>
          <w:sz w:val="22"/>
          <w:szCs w:val="22"/>
          <w:shd w:val="clear" w:color="auto" w:fill="FFFFFF"/>
        </w:rPr>
        <w:tab/>
        <w:t xml:space="preserve">       </w:t>
      </w:r>
      <w:r w:rsidR="00A24D41">
        <w:rPr>
          <w:color w:val="333333"/>
          <w:sz w:val="22"/>
          <w:szCs w:val="22"/>
          <w:shd w:val="clear" w:color="auto" w:fill="FFFFFF"/>
        </w:rPr>
        <w:tab/>
        <w:t xml:space="preserve">       </w:t>
      </w:r>
      <w:r>
        <w:rPr>
          <w:color w:val="333333"/>
          <w:sz w:val="22"/>
          <w:szCs w:val="22"/>
          <w:shd w:val="clear" w:color="auto" w:fill="FFFFFF"/>
        </w:rPr>
        <w:t>jednatel</w:t>
      </w:r>
    </w:p>
    <w:p w14:paraId="6676BAC7" w14:textId="369A35DD" w:rsidR="001722E7" w:rsidRPr="00A947DA" w:rsidRDefault="001722E7" w:rsidP="001722E7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  <w:sectPr w:rsidR="001722E7" w:rsidRPr="00A947DA" w:rsidSect="001722E7">
          <w:type w:val="continuous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r w:rsidRPr="00A947DA">
        <w:rPr>
          <w:sz w:val="22"/>
          <w:szCs w:val="22"/>
        </w:rPr>
        <w:t xml:space="preserve">                   </w:t>
      </w:r>
    </w:p>
    <w:p w14:paraId="2E99EC1B" w14:textId="77777777" w:rsidR="0002376D" w:rsidRDefault="0002376D"/>
    <w:sectPr w:rsidR="0002376D" w:rsidSect="001722E7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1E22" w14:textId="77777777" w:rsidR="007B5B65" w:rsidRDefault="007B5B65">
      <w:pPr>
        <w:spacing w:after="0" w:line="240" w:lineRule="auto"/>
      </w:pPr>
      <w:r>
        <w:separator/>
      </w:r>
    </w:p>
  </w:endnote>
  <w:endnote w:type="continuationSeparator" w:id="0">
    <w:p w14:paraId="4EEF70CA" w14:textId="77777777" w:rsidR="007B5B65" w:rsidRDefault="007B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218910"/>
      <w:docPartObj>
        <w:docPartGallery w:val="Page Numbers (Bottom of Page)"/>
        <w:docPartUnique/>
      </w:docPartObj>
    </w:sdtPr>
    <w:sdtEndPr/>
    <w:sdtContent>
      <w:p w14:paraId="30C926B7" w14:textId="77777777" w:rsidR="00DE6F0F" w:rsidRDefault="00DE6F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F0C4E" w14:textId="77777777" w:rsidR="00D255F6" w:rsidRDefault="00D255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DC0A" w14:textId="77777777" w:rsidR="007B5B65" w:rsidRDefault="007B5B65">
      <w:pPr>
        <w:spacing w:after="0" w:line="240" w:lineRule="auto"/>
      </w:pPr>
      <w:r>
        <w:separator/>
      </w:r>
    </w:p>
  </w:footnote>
  <w:footnote w:type="continuationSeparator" w:id="0">
    <w:p w14:paraId="4D3F6F5D" w14:textId="77777777" w:rsidR="007B5B65" w:rsidRDefault="007B5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14F6E44"/>
    <w:multiLevelType w:val="multilevel"/>
    <w:tmpl w:val="073C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45261"/>
    <w:multiLevelType w:val="multilevel"/>
    <w:tmpl w:val="26285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22520"/>
    <w:multiLevelType w:val="multilevel"/>
    <w:tmpl w:val="30965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10924"/>
    <w:multiLevelType w:val="multilevel"/>
    <w:tmpl w:val="D356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362B2"/>
    <w:multiLevelType w:val="hybridMultilevel"/>
    <w:tmpl w:val="3BE42E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C4871"/>
    <w:multiLevelType w:val="hybridMultilevel"/>
    <w:tmpl w:val="8766D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5EF8"/>
    <w:multiLevelType w:val="multilevel"/>
    <w:tmpl w:val="411426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A388D"/>
    <w:multiLevelType w:val="multilevel"/>
    <w:tmpl w:val="6CC8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A56B7"/>
    <w:multiLevelType w:val="multilevel"/>
    <w:tmpl w:val="0AAC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DD0B6F"/>
    <w:multiLevelType w:val="multilevel"/>
    <w:tmpl w:val="9326C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0791B"/>
    <w:multiLevelType w:val="multilevel"/>
    <w:tmpl w:val="A306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B5F95"/>
    <w:multiLevelType w:val="hybridMultilevel"/>
    <w:tmpl w:val="2912E03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052B35"/>
    <w:multiLevelType w:val="multilevel"/>
    <w:tmpl w:val="B57E5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20B3F"/>
    <w:multiLevelType w:val="multilevel"/>
    <w:tmpl w:val="674E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81808"/>
    <w:multiLevelType w:val="hybridMultilevel"/>
    <w:tmpl w:val="B6BE32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161CB"/>
    <w:multiLevelType w:val="hybridMultilevel"/>
    <w:tmpl w:val="8700A78E"/>
    <w:lvl w:ilvl="0" w:tplc="D80A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A4B78"/>
    <w:multiLevelType w:val="multilevel"/>
    <w:tmpl w:val="01AE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80F3F"/>
    <w:multiLevelType w:val="multilevel"/>
    <w:tmpl w:val="4A3A0D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90B28"/>
    <w:multiLevelType w:val="multilevel"/>
    <w:tmpl w:val="3D5E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A3380"/>
    <w:multiLevelType w:val="multilevel"/>
    <w:tmpl w:val="E2CC55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71D48"/>
    <w:multiLevelType w:val="hybridMultilevel"/>
    <w:tmpl w:val="97BC76B6"/>
    <w:lvl w:ilvl="0" w:tplc="6706D7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53037"/>
    <w:multiLevelType w:val="multilevel"/>
    <w:tmpl w:val="B232D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76060"/>
    <w:multiLevelType w:val="multilevel"/>
    <w:tmpl w:val="23BC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45D23"/>
    <w:multiLevelType w:val="multilevel"/>
    <w:tmpl w:val="8924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91E01"/>
    <w:multiLevelType w:val="multilevel"/>
    <w:tmpl w:val="7036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44923"/>
    <w:multiLevelType w:val="multilevel"/>
    <w:tmpl w:val="2A36A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70670E"/>
    <w:multiLevelType w:val="multilevel"/>
    <w:tmpl w:val="9F08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75AEE"/>
    <w:multiLevelType w:val="multilevel"/>
    <w:tmpl w:val="4FA60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543CB"/>
    <w:multiLevelType w:val="hybridMultilevel"/>
    <w:tmpl w:val="2ABCC2A2"/>
    <w:lvl w:ilvl="0" w:tplc="89F2A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07871"/>
    <w:multiLevelType w:val="multilevel"/>
    <w:tmpl w:val="AAF4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FB06A7"/>
    <w:multiLevelType w:val="multilevel"/>
    <w:tmpl w:val="BB7298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D14DD"/>
    <w:multiLevelType w:val="hybridMultilevel"/>
    <w:tmpl w:val="8F9E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16F76"/>
    <w:multiLevelType w:val="multilevel"/>
    <w:tmpl w:val="C214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2F3FB4"/>
    <w:multiLevelType w:val="multilevel"/>
    <w:tmpl w:val="50DA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A25179"/>
    <w:multiLevelType w:val="multilevel"/>
    <w:tmpl w:val="AC00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BE79F2"/>
    <w:multiLevelType w:val="multilevel"/>
    <w:tmpl w:val="3372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B589B"/>
    <w:multiLevelType w:val="multilevel"/>
    <w:tmpl w:val="17DCC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50135">
    <w:abstractNumId w:val="6"/>
  </w:num>
  <w:num w:numId="2" w16cid:durableId="1584726604">
    <w:abstractNumId w:val="29"/>
  </w:num>
  <w:num w:numId="3" w16cid:durableId="718406317">
    <w:abstractNumId w:val="15"/>
  </w:num>
  <w:num w:numId="4" w16cid:durableId="1465076536">
    <w:abstractNumId w:val="16"/>
  </w:num>
  <w:num w:numId="5" w16cid:durableId="1577549665">
    <w:abstractNumId w:val="27"/>
  </w:num>
  <w:num w:numId="6" w16cid:durableId="272130717">
    <w:abstractNumId w:val="34"/>
  </w:num>
  <w:num w:numId="7" w16cid:durableId="2098747867">
    <w:abstractNumId w:val="26"/>
  </w:num>
  <w:num w:numId="8" w16cid:durableId="1391077893">
    <w:abstractNumId w:val="30"/>
  </w:num>
  <w:num w:numId="9" w16cid:durableId="478806534">
    <w:abstractNumId w:val="13"/>
  </w:num>
  <w:num w:numId="10" w16cid:durableId="713044541">
    <w:abstractNumId w:val="24"/>
  </w:num>
  <w:num w:numId="11" w16cid:durableId="48768236">
    <w:abstractNumId w:val="37"/>
  </w:num>
  <w:num w:numId="12" w16cid:durableId="1019282839">
    <w:abstractNumId w:val="9"/>
  </w:num>
  <w:num w:numId="13" w16cid:durableId="290482168">
    <w:abstractNumId w:val="10"/>
  </w:num>
  <w:num w:numId="14" w16cid:durableId="448818730">
    <w:abstractNumId w:val="25"/>
  </w:num>
  <w:num w:numId="15" w16cid:durableId="168256389">
    <w:abstractNumId w:val="2"/>
  </w:num>
  <w:num w:numId="16" w16cid:durableId="2036930012">
    <w:abstractNumId w:val="14"/>
  </w:num>
  <w:num w:numId="17" w16cid:durableId="1907714648">
    <w:abstractNumId w:val="18"/>
  </w:num>
  <w:num w:numId="18" w16cid:durableId="1728794357">
    <w:abstractNumId w:val="4"/>
  </w:num>
  <w:num w:numId="19" w16cid:durableId="425539307">
    <w:abstractNumId w:val="31"/>
  </w:num>
  <w:num w:numId="20" w16cid:durableId="371199975">
    <w:abstractNumId w:val="1"/>
  </w:num>
  <w:num w:numId="21" w16cid:durableId="505754049">
    <w:abstractNumId w:val="20"/>
  </w:num>
  <w:num w:numId="22" w16cid:durableId="1816144375">
    <w:abstractNumId w:val="36"/>
  </w:num>
  <w:num w:numId="23" w16cid:durableId="1701200789">
    <w:abstractNumId w:val="7"/>
  </w:num>
  <w:num w:numId="24" w16cid:durableId="306128776">
    <w:abstractNumId w:val="35"/>
  </w:num>
  <w:num w:numId="25" w16cid:durableId="1856847670">
    <w:abstractNumId w:val="19"/>
  </w:num>
  <w:num w:numId="26" w16cid:durableId="939263124">
    <w:abstractNumId w:val="17"/>
  </w:num>
  <w:num w:numId="27" w16cid:durableId="1494950537">
    <w:abstractNumId w:val="22"/>
  </w:num>
  <w:num w:numId="28" w16cid:durableId="1857501109">
    <w:abstractNumId w:val="8"/>
  </w:num>
  <w:num w:numId="29" w16cid:durableId="297104752">
    <w:abstractNumId w:val="28"/>
  </w:num>
  <w:num w:numId="30" w16cid:durableId="1940791270">
    <w:abstractNumId w:val="11"/>
  </w:num>
  <w:num w:numId="31" w16cid:durableId="1193882528">
    <w:abstractNumId w:val="21"/>
  </w:num>
  <w:num w:numId="32" w16cid:durableId="1210997632">
    <w:abstractNumId w:val="5"/>
  </w:num>
  <w:num w:numId="33" w16cid:durableId="125702835">
    <w:abstractNumId w:val="3"/>
  </w:num>
  <w:num w:numId="34" w16cid:durableId="260333758">
    <w:abstractNumId w:val="12"/>
  </w:num>
  <w:num w:numId="35" w16cid:durableId="983199417">
    <w:abstractNumId w:val="0"/>
  </w:num>
  <w:num w:numId="36" w16cid:durableId="658465841">
    <w:abstractNumId w:val="23"/>
  </w:num>
  <w:num w:numId="37" w16cid:durableId="1958950151">
    <w:abstractNumId w:val="33"/>
  </w:num>
  <w:num w:numId="38" w16cid:durableId="6442852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7"/>
    <w:rsid w:val="0002376D"/>
    <w:rsid w:val="0015181B"/>
    <w:rsid w:val="001722E7"/>
    <w:rsid w:val="00196A6A"/>
    <w:rsid w:val="001E1F43"/>
    <w:rsid w:val="001F12A1"/>
    <w:rsid w:val="001F3BA6"/>
    <w:rsid w:val="00295239"/>
    <w:rsid w:val="00320ADB"/>
    <w:rsid w:val="004710C4"/>
    <w:rsid w:val="005A5D76"/>
    <w:rsid w:val="005D4E6B"/>
    <w:rsid w:val="0060586D"/>
    <w:rsid w:val="006354B2"/>
    <w:rsid w:val="00692CDA"/>
    <w:rsid w:val="00744251"/>
    <w:rsid w:val="00766758"/>
    <w:rsid w:val="007B5B65"/>
    <w:rsid w:val="008D75B2"/>
    <w:rsid w:val="00977546"/>
    <w:rsid w:val="009B14BE"/>
    <w:rsid w:val="009D5A11"/>
    <w:rsid w:val="009F7055"/>
    <w:rsid w:val="00A11B2F"/>
    <w:rsid w:val="00A24D41"/>
    <w:rsid w:val="00AE327B"/>
    <w:rsid w:val="00B67DD3"/>
    <w:rsid w:val="00BC2A8D"/>
    <w:rsid w:val="00C96344"/>
    <w:rsid w:val="00CD7454"/>
    <w:rsid w:val="00CF53A2"/>
    <w:rsid w:val="00D255F6"/>
    <w:rsid w:val="00D45BC8"/>
    <w:rsid w:val="00D51E9F"/>
    <w:rsid w:val="00D57521"/>
    <w:rsid w:val="00D5795F"/>
    <w:rsid w:val="00DB2A17"/>
    <w:rsid w:val="00DE3F88"/>
    <w:rsid w:val="00D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DF2A"/>
  <w15:chartTrackingRefBased/>
  <w15:docId w15:val="{53E08320-2720-4889-949A-FB23B441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2E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2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2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22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22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22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22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22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22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22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22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22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22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22E7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7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22E7"/>
    <w:rPr>
      <w:kern w:val="0"/>
      <w14:ligatures w14:val="none"/>
    </w:rPr>
  </w:style>
  <w:style w:type="paragraph" w:styleId="Bezmezer">
    <w:name w:val="No Spacing"/>
    <w:uiPriority w:val="1"/>
    <w:qFormat/>
    <w:rsid w:val="001722E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172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nowrap">
    <w:name w:val="nowrap"/>
    <w:basedOn w:val="Standardnpsmoodstavce"/>
    <w:rsid w:val="001722E7"/>
  </w:style>
  <w:style w:type="paragraph" w:styleId="Zhlav">
    <w:name w:val="header"/>
    <w:basedOn w:val="Normln"/>
    <w:link w:val="ZhlavChar"/>
    <w:uiPriority w:val="99"/>
    <w:unhideWhenUsed/>
    <w:rsid w:val="00DE6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F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Kateřina Lusková - SSRZ Havířov</cp:lastModifiedBy>
  <cp:revision>2</cp:revision>
  <cp:lastPrinted>2025-05-22T11:56:00Z</cp:lastPrinted>
  <dcterms:created xsi:type="dcterms:W3CDTF">2025-11-14T11:47:00Z</dcterms:created>
  <dcterms:modified xsi:type="dcterms:W3CDTF">2025-11-14T11:47:00Z</dcterms:modified>
</cp:coreProperties>
</file>