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1163/2025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1" name="Shape 1"/>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Očihovecký p., soutok - mostek Očihovec, vyřezání výmladků</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Radek Kubač</w:t>
      </w:r>
    </w:p>
    <w:p>
      <w:pPr>
        <w:pStyle w:val="Style2"/>
        <w:keepNext w:val="0"/>
        <w:keepLines w:val="0"/>
        <w:widowControl w:val="0"/>
        <w:shd w:val="clear" w:color="auto" w:fill="auto"/>
        <w:bidi w:val="0"/>
        <w:spacing w:before="0" w:after="320" w:line="240" w:lineRule="auto"/>
        <w:ind w:left="2480" w:right="0" w:firstLine="0"/>
        <w:jc w:val="both"/>
      </w:pPr>
      <w:r>
        <w:rPr>
          <w:color w:val="000000"/>
          <w:spacing w:val="0"/>
          <w:w w:val="100"/>
          <w:position w:val="0"/>
          <w:shd w:val="clear" w:color="auto" w:fill="auto"/>
          <w:lang w:val="cs-CZ" w:eastAsia="cs-CZ" w:bidi="cs-CZ"/>
        </w:rPr>
        <w:t>Vančurova 1256, 43601 Litvínov - Horní Litvínov 66685851</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Očihovecký p., soutok - mostek Očihovec, vyřezání výmladků</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probírka břehových porostů na březích vodního toku Očihovecký potok v k. ú. Očihov a Očihovec (ř. km 0,000 – 0,930).</w:t>
      </w:r>
      <w:bookmarkEnd w:id="11"/>
      <w:bookmarkEnd w:id="8"/>
      <w:bookmarkEnd w:id="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3"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128 ks stromů </w:t>
      </w:r>
      <w:r>
        <w:rPr>
          <w:color w:val="000000"/>
          <w:spacing w:val="0"/>
          <w:w w:val="100"/>
          <w:position w:val="0"/>
          <w:shd w:val="clear" w:color="auto" w:fill="auto"/>
          <w:lang w:val="cs-CZ" w:eastAsia="cs-CZ" w:bidi="cs-CZ"/>
        </w:rPr>
        <w:t>(z toho 121 ks do průměru kmene 200 mm - pařezové výmladky vrb)</w:t>
      </w:r>
    </w:p>
    <w:p>
      <w:pPr>
        <w:pStyle w:val="Style2"/>
        <w:keepNext w:val="0"/>
        <w:keepLines w:val="0"/>
        <w:widowControl w:val="0"/>
        <w:shd w:val="clear" w:color="auto" w:fill="auto"/>
        <w:bidi w:val="0"/>
        <w:spacing w:before="0" w:after="0" w:line="233"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postupné kácení 8 ks stromů </w:t>
      </w:r>
      <w:r>
        <w:rPr>
          <w:color w:val="000000"/>
          <w:spacing w:val="0"/>
          <w:w w:val="100"/>
          <w:position w:val="0"/>
          <w:shd w:val="clear" w:color="auto" w:fill="auto"/>
          <w:lang w:val="cs-CZ" w:eastAsia="cs-CZ" w:bidi="cs-CZ"/>
        </w:rPr>
        <w:t>(stromy značně vykloněné v blízkosti konstrukce chmelnice)</w:t>
      </w:r>
    </w:p>
    <w:p>
      <w:pPr>
        <w:pStyle w:val="Style2"/>
        <w:keepNext w:val="0"/>
        <w:keepLines w:val="0"/>
        <w:widowControl w:val="0"/>
        <w:shd w:val="clear" w:color="auto" w:fill="auto"/>
        <w:bidi w:val="0"/>
        <w:spacing w:before="0" w:after="0" w:line="223"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2200 m2</w:t>
      </w:r>
    </w:p>
    <w:p>
      <w:pPr>
        <w:pStyle w:val="Style2"/>
        <w:keepNext w:val="0"/>
        <w:keepLines w:val="0"/>
        <w:widowControl w:val="0"/>
        <w:shd w:val="clear" w:color="auto" w:fill="auto"/>
        <w:bidi w:val="0"/>
        <w:spacing w:before="0" w:line="233"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likvidace štěpkováním na místě včetně rovnoměrného rozhrnutí štěpky na povrchu břehu nebo odvoz a jiný způsob likvidace)</w:t>
      </w:r>
    </w:p>
    <w:p>
      <w:pPr>
        <w:pStyle w:val="Style12"/>
        <w:keepNext/>
        <w:keepLines/>
        <w:widowControl w:val="0"/>
        <w:shd w:val="clear" w:color="auto" w:fill="auto"/>
        <w:bidi w:val="0"/>
        <w:spacing w:before="0" w:line="240" w:lineRule="auto"/>
        <w:ind w:right="0" w:firstLine="2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25,1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w:t>
      </w:r>
      <w:bookmarkEnd w:id="12"/>
      <w:bookmarkEnd w:id="13"/>
      <w:bookmarkEnd w:id="14"/>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Břehy vodního toku Očihovecký potok v k. ú. Očihov a Očihovec. Jedná se o tyto pozemky:</w:t>
      </w:r>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p. p. č. 884/13, 884/14, 884/15, 884/22, 884/16, 884/19, 884/20, 884/37, 884/44, 884/45,</w:t>
      </w:r>
    </w:p>
    <w:p>
      <w:pPr>
        <w:pStyle w:val="Style2"/>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884/53, 884/54 v k. ú. Očihovec a p. p. č. 2866 v k. ú. Očihov</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15"/>
      <w:bookmarkEnd w:id="16"/>
      <w:bookmarkEnd w:id="18"/>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Za předmět díla se dále považuje:</w:t>
      </w:r>
      <w:bookmarkEnd w:id="19"/>
      <w:bookmarkEnd w:id="20"/>
      <w:bookmarkEnd w:id="22"/>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3"/>
      <w:bookmarkEnd w:id="24"/>
      <w:bookmarkEnd w:id="26"/>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zdokumentování současného stavu, pro pozdější porovnání stavu po dokončení díla.</w:t>
      </w:r>
      <w:bookmarkEnd w:id="27"/>
      <w:bookmarkEnd w:id="28"/>
      <w:bookmarkEnd w:id="30"/>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pravidelné čištění a úklid příjezdových a manipulačních ploch,</w:t>
      </w:r>
      <w:bookmarkEnd w:id="31"/>
      <w:bookmarkEnd w:id="32"/>
      <w:bookmarkEnd w:id="34"/>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5"/>
      <w:bookmarkEnd w:id="36"/>
      <w:bookmarkEnd w:id="38"/>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zajištění povolení zvláštního užívání silnic, bude-li potřeba,</w:t>
      </w:r>
      <w:bookmarkEnd w:id="43"/>
      <w:bookmarkEnd w:id="44"/>
      <w:bookmarkEnd w:id="46"/>
    </w:p>
    <w:p>
      <w:pPr>
        <w:pStyle w:val="Style18"/>
        <w:keepNext/>
        <w:keepLines/>
        <w:widowControl w:val="0"/>
        <w:numPr>
          <w:ilvl w:val="0"/>
          <w:numId w:val="3"/>
        </w:numPr>
        <w:shd w:val="clear" w:color="auto" w:fill="auto"/>
        <w:tabs>
          <w:tab w:pos="772" w:val="left"/>
        </w:tabs>
        <w:bidi w:val="0"/>
        <w:spacing w:before="0" w:after="0" w:line="240" w:lineRule="auto"/>
        <w:ind w:left="0" w:right="0" w:firstLine="38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průběžná taxace vytěžené dřevní hmoty,</w:t>
      </w:r>
      <w:bookmarkEnd w:id="47"/>
      <w:bookmarkEnd w:id="48"/>
      <w:bookmarkEnd w:id="50"/>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1"/>
      <w:bookmarkEnd w:id="52"/>
      <w:bookmarkEnd w:id="54"/>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5"/>
      <w:bookmarkEnd w:id="56"/>
      <w:bookmarkEnd w:id="58"/>
    </w:p>
    <w:p>
      <w:pPr>
        <w:pStyle w:val="Style18"/>
        <w:keepNext/>
        <w:keepLines/>
        <w:widowControl w:val="0"/>
        <w:numPr>
          <w:ilvl w:val="0"/>
          <w:numId w:val="3"/>
        </w:numPr>
        <w:shd w:val="clear" w:color="auto" w:fill="auto"/>
        <w:tabs>
          <w:tab w:pos="792" w:val="left"/>
        </w:tabs>
        <w:bidi w:val="0"/>
        <w:spacing w:before="0" w:after="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59"/>
      <w:bookmarkEnd w:id="60"/>
      <w:bookmarkEnd w:id="62"/>
    </w:p>
    <w:p>
      <w:pPr>
        <w:pStyle w:val="Style2"/>
        <w:keepNext w:val="0"/>
        <w:keepLines w:val="0"/>
        <w:widowControl w:val="0"/>
        <w:numPr>
          <w:ilvl w:val="0"/>
          <w:numId w:val="3"/>
        </w:numPr>
        <w:shd w:val="clear" w:color="auto" w:fill="auto"/>
        <w:tabs>
          <w:tab w:pos="792" w:val="left"/>
        </w:tabs>
        <w:bidi w:val="0"/>
        <w:spacing w:before="0" w:after="0" w:line="240" w:lineRule="auto"/>
        <w:ind w:left="740" w:right="0" w:hanging="340"/>
        <w:jc w:val="both"/>
      </w:pPr>
      <w:bookmarkStart w:id="63" w:name="bookmark63"/>
      <w:bookmarkStart w:id="64" w:name="bookmark64"/>
      <w:bookmarkEnd w:id="6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w:t>
      </w:r>
      <w:bookmarkEnd w:id="6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podzhotoviteli, v souladu s § 101 odst. 3 zákona č. 262/2006 Sb., zákoník práce, ve znění pozdějších předpisů,</w:t>
      </w:r>
    </w:p>
    <w:p>
      <w:pPr>
        <w:pStyle w:val="Style18"/>
        <w:keepNext/>
        <w:keepLines/>
        <w:widowControl w:val="0"/>
        <w:numPr>
          <w:ilvl w:val="0"/>
          <w:numId w:val="3"/>
        </w:numPr>
        <w:shd w:val="clear" w:color="auto" w:fill="auto"/>
        <w:tabs>
          <w:tab w:pos="740" w:val="left"/>
        </w:tabs>
        <w:bidi w:val="0"/>
        <w:spacing w:before="0" w:after="0" w:line="240" w:lineRule="auto"/>
        <w:ind w:left="800" w:right="0" w:hanging="38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65"/>
      <w:bookmarkEnd w:id="66"/>
      <w:bookmarkEnd w:id="68"/>
    </w:p>
    <w:p>
      <w:pPr>
        <w:pStyle w:val="Style18"/>
        <w:keepNext/>
        <w:keepLines/>
        <w:widowControl w:val="0"/>
        <w:numPr>
          <w:ilvl w:val="0"/>
          <w:numId w:val="3"/>
        </w:numPr>
        <w:shd w:val="clear" w:color="auto" w:fill="auto"/>
        <w:tabs>
          <w:tab w:pos="874" w:val="left"/>
        </w:tabs>
        <w:bidi w:val="0"/>
        <w:spacing w:before="0" w:after="0" w:line="240" w:lineRule="auto"/>
        <w:ind w:left="800" w:right="0" w:hanging="38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69"/>
      <w:bookmarkEnd w:id="70"/>
      <w:bookmarkEnd w:id="72"/>
    </w:p>
    <w:p>
      <w:pPr>
        <w:pStyle w:val="Style18"/>
        <w:keepNext/>
        <w:keepLines/>
        <w:widowControl w:val="0"/>
        <w:numPr>
          <w:ilvl w:val="0"/>
          <w:numId w:val="3"/>
        </w:numPr>
        <w:shd w:val="clear" w:color="auto" w:fill="auto"/>
        <w:tabs>
          <w:tab w:pos="834" w:val="left"/>
        </w:tabs>
        <w:bidi w:val="0"/>
        <w:spacing w:before="0" w:after="0" w:line="240" w:lineRule="auto"/>
        <w:ind w:left="0" w:right="0" w:firstLine="38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zhotovitel zodpovídá za místo realizace zakázky i v době přerušení prací,</w:t>
      </w:r>
      <w:bookmarkEnd w:id="73"/>
      <w:bookmarkEnd w:id="74"/>
      <w:bookmarkEnd w:id="76"/>
    </w:p>
    <w:p>
      <w:pPr>
        <w:pStyle w:val="Style18"/>
        <w:keepNext/>
        <w:keepLines/>
        <w:widowControl w:val="0"/>
        <w:numPr>
          <w:ilvl w:val="0"/>
          <w:numId w:val="3"/>
        </w:numPr>
        <w:shd w:val="clear" w:color="auto" w:fill="auto"/>
        <w:tabs>
          <w:tab w:pos="874" w:val="left"/>
        </w:tabs>
        <w:bidi w:val="0"/>
        <w:spacing w:before="0" w:after="180" w:line="240" w:lineRule="auto"/>
        <w:ind w:left="800" w:right="0" w:hanging="38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77"/>
      <w:bookmarkEnd w:id="78"/>
      <w:bookmarkEnd w:id="80"/>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1"/>
      <w:bookmarkEnd w:id="82"/>
      <w:bookmarkEnd w:id="84"/>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85"/>
      <w:bookmarkEnd w:id="86"/>
      <w:bookmarkEnd w:id="88"/>
    </w:p>
    <w:p>
      <w:pPr>
        <w:pStyle w:val="Style12"/>
        <w:keepNext/>
        <w:keepLines/>
        <w:widowControl w:val="0"/>
        <w:numPr>
          <w:ilvl w:val="0"/>
          <w:numId w:val="1"/>
        </w:numPr>
        <w:shd w:val="clear" w:color="auto" w:fill="auto"/>
        <w:tabs>
          <w:tab w:pos="382" w:val="left"/>
        </w:tabs>
        <w:bidi w:val="0"/>
        <w:spacing w:before="0" w:after="0" w:line="240" w:lineRule="auto"/>
        <w:ind w:right="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Objednatel předá zhotoviteli pracoviště (nebo jeho ucelenou část) prosté práv třetích osob.</w:t>
      </w:r>
      <w:bookmarkEnd w:id="89"/>
      <w:bookmarkEnd w:id="90"/>
      <w:bookmarkEnd w:id="92"/>
    </w:p>
    <w:p>
      <w:pPr>
        <w:pStyle w:val="Style12"/>
        <w:keepNext/>
        <w:keepLines/>
        <w:widowControl w:val="0"/>
        <w:shd w:val="clear" w:color="auto" w:fill="auto"/>
        <w:bidi w:val="0"/>
        <w:spacing w:before="0" w:line="240" w:lineRule="auto"/>
        <w:ind w:right="0" w:firstLine="4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93"/>
      <w:bookmarkEnd w:id="94"/>
      <w:bookmarkEnd w:id="95"/>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60" w:val="left"/>
        </w:tabs>
        <w:bidi w:val="0"/>
        <w:spacing w:before="0" w:line="293" w:lineRule="auto"/>
        <w:ind w:left="0" w:right="0" w:firstLine="0"/>
        <w:jc w:val="both"/>
      </w:pPr>
      <w:bookmarkStart w:id="96" w:name="bookmark96"/>
      <w:bookmarkEnd w:id="9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34" w:val="left"/>
        </w:tabs>
        <w:bidi w:val="0"/>
        <w:spacing w:before="0" w:after="0" w:line="350" w:lineRule="auto"/>
        <w:ind w:left="0" w:right="0" w:firstLine="380"/>
        <w:jc w:val="both"/>
      </w:pPr>
      <w:bookmarkStart w:id="97" w:name="bookmark97"/>
      <w:bookmarkEnd w:id="97"/>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7"/>
        </w:numPr>
        <w:shd w:val="clear" w:color="auto" w:fill="auto"/>
        <w:tabs>
          <w:tab w:pos="743" w:val="left"/>
        </w:tabs>
        <w:bidi w:val="0"/>
        <w:spacing w:before="0" w:after="0" w:line="293" w:lineRule="auto"/>
        <w:ind w:left="0" w:right="0" w:firstLine="380"/>
        <w:jc w:val="both"/>
      </w:pPr>
      <w:bookmarkStart w:id="98" w:name="bookmark98"/>
      <w:bookmarkEnd w:id="98"/>
      <w:r>
        <w:rPr>
          <w:b/>
          <w:bCs/>
          <w:color w:val="00000A"/>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7"/>
        </w:numPr>
        <w:shd w:val="clear" w:color="auto" w:fill="auto"/>
        <w:tabs>
          <w:tab w:pos="743" w:val="left"/>
        </w:tabs>
        <w:bidi w:val="0"/>
        <w:spacing w:before="0" w:after="0" w:line="293" w:lineRule="auto"/>
        <w:ind w:left="0" w:right="0" w:firstLine="380"/>
        <w:jc w:val="both"/>
      </w:pPr>
      <w:bookmarkStart w:id="99" w:name="bookmark99"/>
      <w:bookmarkEnd w:id="99"/>
      <w:r>
        <w:rPr>
          <w:b/>
          <w:bCs/>
          <w:color w:val="00000A"/>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31.3.2026</w:t>
      </w:r>
    </w:p>
    <w:p>
      <w:pPr>
        <w:pStyle w:val="Style2"/>
        <w:keepNext w:val="0"/>
        <w:keepLines w:val="0"/>
        <w:widowControl w:val="0"/>
        <w:numPr>
          <w:ilvl w:val="0"/>
          <w:numId w:val="7"/>
        </w:numPr>
        <w:shd w:val="clear" w:color="auto" w:fill="auto"/>
        <w:tabs>
          <w:tab w:pos="743" w:val="left"/>
        </w:tabs>
        <w:bidi w:val="0"/>
        <w:spacing w:before="0" w:after="0" w:line="293" w:lineRule="auto"/>
        <w:ind w:left="0" w:right="0" w:firstLine="380"/>
        <w:jc w:val="both"/>
      </w:pPr>
      <w:bookmarkStart w:id="100" w:name="bookmark100"/>
      <w:bookmarkEnd w:id="100"/>
      <w:r>
        <w:rPr>
          <w:b/>
          <w:bCs/>
          <w:color w:val="00000A"/>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60" w:val="left"/>
        </w:tabs>
        <w:bidi w:val="0"/>
        <w:spacing w:before="0" w:after="120" w:line="293" w:lineRule="auto"/>
        <w:ind w:left="380" w:right="0" w:hanging="380"/>
        <w:jc w:val="both"/>
      </w:pPr>
      <w:bookmarkStart w:id="101" w:name="bookmark101"/>
      <w:bookmarkEnd w:id="101"/>
      <w:r>
        <w:rPr>
          <w:color w:val="00000A"/>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1" w:val="left"/>
        </w:tabs>
        <w:bidi w:val="0"/>
        <w:spacing w:before="0" w:after="200" w:line="230" w:lineRule="auto"/>
        <w:ind w:left="380" w:right="0" w:hanging="380"/>
        <w:jc w:val="both"/>
      </w:pPr>
      <w:bookmarkStart w:id="104" w:name="bookmark104"/>
      <w:bookmarkEnd w:id="10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380" w:right="0" w:firstLine="0"/>
        <w:jc w:val="both"/>
      </w:pPr>
      <w:r>
        <w:rPr>
          <w:b/>
          <w:bCs/>
          <w:color w:val="000000"/>
          <w:spacing w:val="0"/>
          <w:w w:val="100"/>
          <w:position w:val="0"/>
          <w:shd w:val="clear" w:color="auto" w:fill="auto"/>
          <w:lang w:val="cs-CZ" w:eastAsia="cs-CZ" w:bidi="cs-CZ"/>
        </w:rPr>
        <w:t>Cena za dílo: 129.100,00 Kč bez DPH</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05" w:name="bookmark105"/>
      <w:bookmarkEnd w:id="105"/>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12.550,00 Kč bez DPH </w:t>
      </w:r>
      <w:r>
        <w:rPr>
          <w:color w:val="000000"/>
          <w:spacing w:val="0"/>
          <w:w w:val="100"/>
          <w:position w:val="0"/>
          <w:shd w:val="clear" w:color="auto" w:fill="auto"/>
          <w:lang w:val="cs-CZ" w:eastAsia="cs-CZ" w:bidi="cs-CZ"/>
        </w:rPr>
        <w:t>(výpočet: 500 Kč bez DPH x 25,1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1" w:val="left"/>
        </w:tabs>
        <w:bidi w:val="0"/>
        <w:spacing w:before="0" w:after="20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IV. PLATEBNÍ PODMÍNKY</w:t>
      </w:r>
    </w:p>
    <w:p>
      <w:pPr>
        <w:pStyle w:val="Style2"/>
        <w:keepNext w:val="0"/>
        <w:keepLines w:val="0"/>
        <w:widowControl w:val="0"/>
        <w:shd w:val="clear" w:color="auto" w:fill="auto"/>
        <w:bidi w:val="0"/>
        <w:spacing w:before="0" w:after="200" w:line="240" w:lineRule="auto"/>
        <w:ind w:left="0" w:right="0" w:firstLine="0"/>
        <w:jc w:val="both"/>
      </w:pPr>
      <w:r>
        <w:rPr>
          <w:b/>
          <w:bCs/>
          <w:i/>
          <w:iCs/>
          <w:color w:val="808080"/>
          <w:spacing w:val="0"/>
          <w:w w:val="100"/>
          <w:position w:val="0"/>
          <w:sz w:val="18"/>
          <w:szCs w:val="18"/>
          <w:shd w:val="clear" w:color="auto" w:fill="auto"/>
          <w:lang w:val="cs-CZ" w:eastAsia="cs-CZ" w:bidi="cs-CZ"/>
        </w:rPr>
        <w:t>a.i.1.</w:t>
      </w:r>
      <w:r>
        <w:rPr>
          <w:color w:val="00000A"/>
          <w:spacing w:val="0"/>
          <w:w w:val="100"/>
          <w:position w:val="0"/>
          <w:shd w:val="clear" w:color="auto" w:fill="auto"/>
          <w:lang w:val="cs-CZ" w:eastAsia="cs-CZ" w:bidi="cs-CZ"/>
        </w:rPr>
        <w:t>Objednatel neposkytne zhotoviteli zálohu.</w:t>
      </w:r>
    </w:p>
    <w:p>
      <w:pPr>
        <w:pStyle w:val="Style2"/>
        <w:keepNext w:val="0"/>
        <w:keepLines w:val="0"/>
        <w:widowControl w:val="0"/>
        <w:shd w:val="clear" w:color="auto" w:fill="auto"/>
        <w:bidi w:val="0"/>
        <w:spacing w:before="0" w:after="200" w:line="221"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shd w:val="clear" w:color="auto" w:fill="auto"/>
        <w:bidi w:val="0"/>
        <w:spacing w:before="0" w:after="60" w:line="240" w:lineRule="auto"/>
        <w:ind w:left="380" w:right="0" w:hanging="380"/>
        <w:jc w:val="both"/>
      </w:pPr>
      <w:r>
        <w:rPr>
          <w:b/>
          <w:bCs/>
          <w:i/>
          <w:iCs/>
          <w:color w:val="808080"/>
          <w:spacing w:val="0"/>
          <w:w w:val="100"/>
          <w:position w:val="0"/>
          <w:sz w:val="18"/>
          <w:szCs w:val="18"/>
          <w:shd w:val="clear" w:color="auto" w:fill="auto"/>
          <w:lang w:val="cs-CZ" w:eastAsia="cs-CZ" w:bidi="cs-CZ"/>
        </w:rPr>
        <w:t>a.i.3.</w:t>
      </w:r>
      <w:r>
        <w:rPr>
          <w:color w:val="00000A"/>
          <w:spacing w:val="0"/>
          <w:w w:val="100"/>
          <w:position w:val="0"/>
          <w:shd w:val="clear" w:color="auto" w:fill="auto"/>
          <w:lang w:val="cs-CZ" w:eastAsia="cs-CZ" w:bidi="cs-CZ"/>
        </w:rPr>
        <w:t xml:space="preserve">Cena díla bude hrazena po dokončení, předání a převzetí díla bez vad a nedodělků. </w:t>
      </w:r>
      <w:r>
        <w:rPr>
          <w:b/>
          <w:bCs/>
          <w:color w:val="00000A"/>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after="60" w:line="240" w:lineRule="auto"/>
        <w:ind w:left="380" w:right="0" w:firstLine="0"/>
        <w:jc w:val="both"/>
      </w:pPr>
      <w:r>
        <w:rPr>
          <w:b/>
          <w:bCs/>
          <w:i/>
          <w:iCs/>
          <w:color w:val="808080"/>
          <w:spacing w:val="0"/>
          <w:w w:val="100"/>
          <w:position w:val="0"/>
          <w:sz w:val="18"/>
          <w:szCs w:val="18"/>
          <w:shd w:val="clear" w:color="auto" w:fill="auto"/>
          <w:lang w:val="cs-CZ" w:eastAsia="cs-CZ" w:bidi="cs-CZ"/>
        </w:rPr>
        <w:t>a.i.4.</w:t>
      </w:r>
      <w:r>
        <w:rPr>
          <w:color w:val="80808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A"/>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2"/>
        <w:keepNext w:val="0"/>
        <w:keepLines w:val="0"/>
        <w:widowControl w:val="0"/>
        <w:shd w:val="clear" w:color="auto" w:fill="auto"/>
        <w:bidi w:val="0"/>
        <w:spacing w:before="0" w:after="200" w:line="240" w:lineRule="auto"/>
        <w:ind w:left="380" w:right="0" w:firstLine="0"/>
        <w:jc w:val="both"/>
      </w:pPr>
      <w:r>
        <w:rPr>
          <w:b/>
          <w:bCs/>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V. SANKCE</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1"/>
        </w:numPr>
        <w:shd w:val="clear" w:color="auto" w:fill="auto"/>
        <w:tabs>
          <w:tab w:pos="502"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1"/>
        </w:numPr>
        <w:shd w:val="clear" w:color="auto" w:fill="auto"/>
        <w:tabs>
          <w:tab w:pos="502" w:val="left"/>
        </w:tabs>
        <w:bidi w:val="0"/>
        <w:spacing w:before="0" w:after="7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VI. ZAJIŠTĚNÍ ZÁVAZKU</w:t>
      </w:r>
    </w:p>
    <w:p>
      <w:pPr>
        <w:pStyle w:val="Style2"/>
        <w:keepNext w:val="0"/>
        <w:keepLines w:val="0"/>
        <w:widowControl w:val="0"/>
        <w:numPr>
          <w:ilvl w:val="0"/>
          <w:numId w:val="13"/>
        </w:numPr>
        <w:shd w:val="clear" w:color="auto" w:fill="auto"/>
        <w:tabs>
          <w:tab w:pos="402" w:val="left"/>
        </w:tabs>
        <w:bidi w:val="0"/>
        <w:spacing w:before="0" w:after="0" w:line="221" w:lineRule="auto"/>
        <w:ind w:left="0" w:right="0" w:firstLine="0"/>
        <w:jc w:val="both"/>
      </w:pPr>
      <w:bookmarkStart w:id="118" w:name="bookmark118"/>
      <w:bookmarkEnd w:id="118"/>
      <w:r>
        <w:rPr>
          <w:color w:val="00000A"/>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5"/>
        </w:numPr>
        <w:shd w:val="clear" w:color="auto" w:fill="auto"/>
        <w:tabs>
          <w:tab w:pos="986" w:val="left"/>
        </w:tabs>
        <w:bidi w:val="0"/>
        <w:spacing w:before="0" w:after="0" w:line="240" w:lineRule="auto"/>
        <w:ind w:left="1020" w:right="0" w:hanging="600"/>
        <w:jc w:val="both"/>
      </w:pPr>
      <w:bookmarkStart w:id="119" w:name="bookmark119"/>
      <w:bookmarkEnd w:id="119"/>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5"/>
        </w:numPr>
        <w:shd w:val="clear" w:color="auto" w:fill="auto"/>
        <w:tabs>
          <w:tab w:pos="986" w:val="left"/>
        </w:tabs>
        <w:bidi w:val="0"/>
        <w:spacing w:before="0" w:after="0" w:line="240" w:lineRule="auto"/>
        <w:ind w:left="1020" w:right="0" w:hanging="600"/>
        <w:jc w:val="both"/>
      </w:pPr>
      <w:bookmarkStart w:id="120" w:name="bookmark120"/>
      <w:bookmarkEnd w:id="120"/>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VII. NÁHRADA ŠKODY</w:t>
      </w:r>
    </w:p>
    <w:p>
      <w:pPr>
        <w:pStyle w:val="Style2"/>
        <w:keepNext w:val="0"/>
        <w:keepLines w:val="0"/>
        <w:widowControl w:val="0"/>
        <w:numPr>
          <w:ilvl w:val="0"/>
          <w:numId w:val="17"/>
        </w:numPr>
        <w:shd w:val="clear" w:color="auto" w:fill="auto"/>
        <w:tabs>
          <w:tab w:pos="378"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7"/>
        </w:numPr>
        <w:shd w:val="clear" w:color="auto" w:fill="auto"/>
        <w:tabs>
          <w:tab w:pos="378"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A"/>
          <w:spacing w:val="0"/>
          <w:w w:val="100"/>
          <w:position w:val="0"/>
          <w:shd w:val="clear" w:color="auto" w:fill="auto"/>
          <w:lang w:val="cs-CZ" w:eastAsia="cs-CZ" w:bidi="cs-CZ"/>
        </w:rPr>
        <w:t>Čl. VIII. OSTATNÍ USTANOVENÍ</w:t>
      </w:r>
    </w:p>
    <w:p>
      <w:pPr>
        <w:pStyle w:val="Style2"/>
        <w:keepNext w:val="0"/>
        <w:keepLines w:val="0"/>
        <w:widowControl w:val="0"/>
        <w:numPr>
          <w:ilvl w:val="0"/>
          <w:numId w:val="19"/>
        </w:numPr>
        <w:shd w:val="clear" w:color="auto" w:fill="auto"/>
        <w:tabs>
          <w:tab w:pos="359" w:val="left"/>
        </w:tabs>
        <w:bidi w:val="0"/>
        <w:spacing w:before="0" w:line="230" w:lineRule="auto"/>
        <w:ind w:left="380" w:right="0" w:hanging="380"/>
        <w:jc w:val="both"/>
      </w:pPr>
      <w:bookmarkStart w:id="123" w:name="bookmark123"/>
      <w:bookmarkEnd w:id="12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4" w:name="bookmark124"/>
      <w:bookmarkEnd w:id="124"/>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5" w:name="bookmark125"/>
      <w:bookmarkEnd w:id="125"/>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19"/>
        </w:numPr>
        <w:shd w:val="clear" w:color="auto" w:fill="auto"/>
        <w:tabs>
          <w:tab w:pos="359" w:val="left"/>
        </w:tabs>
        <w:bidi w:val="0"/>
        <w:spacing w:before="0" w:after="300" w:line="230" w:lineRule="auto"/>
        <w:ind w:left="380" w:right="0" w:hanging="380"/>
        <w:jc w:val="both"/>
      </w:pPr>
      <w:bookmarkStart w:id="127" w:name="bookmark127"/>
      <w:bookmarkEnd w:id="127"/>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28" w:name="bookmark128"/>
      <w:bookmarkEnd w:id="128"/>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3"/>
        </w:numPr>
        <w:shd w:val="clear" w:color="auto" w:fill="auto"/>
        <w:tabs>
          <w:tab w:pos="359" w:val="left"/>
        </w:tabs>
        <w:bidi w:val="0"/>
        <w:spacing w:before="0" w:after="0" w:line="233" w:lineRule="auto"/>
        <w:ind w:left="380" w:right="0" w:hanging="380"/>
        <w:jc w:val="both"/>
      </w:pPr>
      <w:bookmarkStart w:id="129" w:name="bookmark129"/>
      <w:bookmarkEnd w:id="129"/>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8"/>
        <w:keepNext/>
        <w:keepLines/>
        <w:widowControl w:val="0"/>
        <w:numPr>
          <w:ilvl w:val="0"/>
          <w:numId w:val="21"/>
        </w:numPr>
        <w:shd w:val="clear" w:color="auto" w:fill="auto"/>
        <w:tabs>
          <w:tab w:pos="1179" w:val="left"/>
        </w:tabs>
        <w:bidi w:val="0"/>
        <w:spacing w:before="0" w:after="0" w:line="240" w:lineRule="auto"/>
        <w:ind w:left="1160" w:right="0" w:hanging="36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30"/>
      <w:bookmarkEnd w:id="131"/>
      <w:bookmarkEnd w:id="133"/>
    </w:p>
    <w:p>
      <w:pPr>
        <w:pStyle w:val="Style18"/>
        <w:keepNext/>
        <w:keepLines/>
        <w:widowControl w:val="0"/>
        <w:numPr>
          <w:ilvl w:val="0"/>
          <w:numId w:val="21"/>
        </w:numPr>
        <w:shd w:val="clear" w:color="auto" w:fill="auto"/>
        <w:tabs>
          <w:tab w:pos="1179" w:val="left"/>
        </w:tabs>
        <w:bidi w:val="0"/>
        <w:spacing w:before="0" w:after="0" w:line="240" w:lineRule="auto"/>
        <w:ind w:left="0" w:right="0" w:firstLine="80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bezdůvodném přerušení prací zhotovitele, které trvá více než 14 dnů,</w:t>
      </w:r>
      <w:bookmarkEnd w:id="134"/>
      <w:bookmarkEnd w:id="135"/>
      <w:bookmarkEnd w:id="137"/>
    </w:p>
    <w:p>
      <w:pPr>
        <w:pStyle w:val="Style18"/>
        <w:keepNext/>
        <w:keepLines/>
        <w:widowControl w:val="0"/>
        <w:numPr>
          <w:ilvl w:val="0"/>
          <w:numId w:val="21"/>
        </w:numPr>
        <w:shd w:val="clear" w:color="auto" w:fill="auto"/>
        <w:tabs>
          <w:tab w:pos="1410" w:val="left"/>
        </w:tabs>
        <w:bidi w:val="0"/>
        <w:spacing w:before="0" w:after="0" w:line="240" w:lineRule="auto"/>
        <w:ind w:left="1160" w:right="0" w:hanging="36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38"/>
      <w:bookmarkEnd w:id="139"/>
      <w:bookmarkEnd w:id="141"/>
    </w:p>
    <w:p>
      <w:pPr>
        <w:pStyle w:val="Style18"/>
        <w:keepNext/>
        <w:keepLines/>
        <w:widowControl w:val="0"/>
        <w:numPr>
          <w:ilvl w:val="0"/>
          <w:numId w:val="21"/>
        </w:numPr>
        <w:shd w:val="clear" w:color="auto" w:fill="auto"/>
        <w:tabs>
          <w:tab w:pos="1179" w:val="left"/>
        </w:tabs>
        <w:bidi w:val="0"/>
        <w:spacing w:before="0" w:after="180" w:line="240" w:lineRule="auto"/>
        <w:ind w:left="0" w:right="0" w:firstLine="80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neplněním povinností zhotovitele vést řádně zápisy do stavebního deníku.</w:t>
      </w:r>
      <w:bookmarkEnd w:id="142"/>
      <w:bookmarkEnd w:id="143"/>
      <w:bookmarkEnd w:id="145"/>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46" w:name="bookmark146"/>
      <w:bookmarkEnd w:id="146"/>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47" w:name="bookmark147"/>
      <w:bookmarkEnd w:id="147"/>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2" w:name="bookmark152"/>
      <w:bookmarkEnd w:id="152"/>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2"/>
        <w:keepNext w:val="0"/>
        <w:keepLines w:val="0"/>
        <w:widowControl w:val="0"/>
        <w:numPr>
          <w:ilvl w:val="0"/>
          <w:numId w:val="13"/>
        </w:numPr>
        <w:shd w:val="clear" w:color="auto" w:fill="auto"/>
        <w:tabs>
          <w:tab w:pos="471" w:val="left"/>
        </w:tabs>
        <w:bidi w:val="0"/>
        <w:spacing w:before="0" w:line="221" w:lineRule="auto"/>
        <w:ind w:left="0" w:right="0" w:firstLine="0"/>
        <w:jc w:val="both"/>
      </w:pPr>
      <w:bookmarkStart w:id="154" w:name="bookmark154"/>
      <w:bookmarkEnd w:id="15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55" w:name="bookmark155"/>
      <w:bookmarkEnd w:id="155"/>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13"/>
        </w:numPr>
        <w:shd w:val="clear" w:color="auto" w:fill="auto"/>
        <w:tabs>
          <w:tab w:pos="471" w:val="left"/>
        </w:tabs>
        <w:bidi w:val="0"/>
        <w:spacing w:before="0" w:line="230" w:lineRule="auto"/>
        <w:ind w:left="380" w:right="0" w:hanging="380"/>
        <w:jc w:val="both"/>
      </w:pPr>
      <w:bookmarkStart w:id="156" w:name="bookmark156"/>
      <w:bookmarkEnd w:id="156"/>
      <w:r>
        <w:rPr>
          <w:color w:val="00000A"/>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A"/>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3"/>
        </w:numPr>
        <w:shd w:val="clear" w:color="auto" w:fill="auto"/>
        <w:tabs>
          <w:tab w:pos="531" w:val="left"/>
        </w:tabs>
        <w:bidi w:val="0"/>
        <w:spacing w:before="0" w:after="0" w:line="240" w:lineRule="auto"/>
        <w:ind w:left="380" w:right="0" w:hanging="380"/>
        <w:jc w:val="left"/>
      </w:pPr>
      <w:bookmarkStart w:id="157" w:name="bookmark157"/>
      <w:bookmarkEnd w:id="15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16" w:left="1395" w:right="1384" w:bottom="1326"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4087495</wp:posOffset>
                </wp:positionH>
                <wp:positionV relativeFrom="paragraph">
                  <wp:posOffset>12700</wp:posOffset>
                </wp:positionV>
                <wp:extent cx="1222375" cy="225425"/>
                <wp:wrapSquare wrapText="left"/>
                <wp:docPr id="9" name="Shape 9"/>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85000000000002pt;margin-top:1.pt;width:96.25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pPr>
      <w:r>
        <w:rPr>
          <w:color w:val="000000"/>
          <w:spacing w:val="0"/>
          <w:w w:val="100"/>
          <w:position w:val="0"/>
          <w:shd w:val="clear" w:color="auto" w:fill="auto"/>
          <w:lang w:val="cs-CZ" w:eastAsia="cs-CZ" w:bidi="cs-CZ"/>
        </w:rPr>
        <w:t>Radek Kubač</w:t>
      </w:r>
    </w:p>
    <w:sectPr>
      <w:footnotePr>
        <w:pos w:val="pageBottom"/>
        <w:numFmt w:val="decimal"/>
        <w:numRestart w:val="continuous"/>
      </w:footnotePr>
      <w:type w:val="continuous"/>
      <w:pgSz w:w="11909" w:h="16838"/>
      <w:pgMar w:top="1080" w:left="1396" w:right="2332" w:bottom="128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5966460</wp:posOffset>
              </wp:positionH>
              <wp:positionV relativeFrom="page">
                <wp:posOffset>9878695</wp:posOffset>
              </wp:positionV>
              <wp:extent cx="701040" cy="204470"/>
              <wp:wrapNone/>
              <wp:docPr id="7" name="Shape 7"/>
              <a:graphic xmlns:a="http://schemas.openxmlformats.org/drawingml/2006/main">
                <a:graphicData uri="http://schemas.microsoft.com/office/word/2010/wordprocessingShape">
                  <wps:wsp>
                    <wps:cNvSpPr txBox="1"/>
                    <wps:spPr>
                      <a:xfrm>
                        <a:ext cx="701040"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9.80000000000001pt;margin-top:777.85000000000002pt;width:55.200000000000003pt;height:16.1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3366770</wp:posOffset>
              </wp:positionH>
              <wp:positionV relativeFrom="page">
                <wp:posOffset>410210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10000000000002pt;margin-top:32.299999999999997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ind w:left="740" w:hanging="34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