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1270" w:left="1390" w:right="1369" w:bottom="1553" w:header="0" w:footer="3" w:gutter="0"/>
          <w:pgNumType w:start="1"/>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Dodatek č. 4 ke</w:t>
      </w:r>
    </w:p>
    <w:p>
      <w:pPr>
        <w:pStyle w:val="Style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SMLOUVĚ O DÍLO</w:t>
      </w:r>
    </w:p>
    <w:p>
      <w:pPr>
        <w:pStyle w:val="Style9"/>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9"/>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687/2024</w:t>
      </w:r>
      <w:bookmarkEnd w:id="3"/>
      <w:bookmarkEnd w:id="4"/>
      <w:bookmarkEnd w:id="5"/>
    </w:p>
    <w:p>
      <w:pPr>
        <w:pStyle w:val="Style9"/>
        <w:keepNext/>
        <w:keepLines/>
        <w:widowControl w:val="0"/>
        <w:shd w:val="clear" w:color="auto" w:fill="auto"/>
        <w:bidi w:val="0"/>
        <w:spacing w:before="0" w:after="220" w:line="240" w:lineRule="auto"/>
        <w:ind w:left="268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Bystřice, úsek 2, ř. km 4,322-4,976 - panely střední chodby bez křížení komunikací”</w:t>
      </w:r>
    </w:p>
    <w:p>
      <w:pPr>
        <w:pStyle w:val="Style9"/>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pStyle w:val="Style9"/>
        <w:keepNext/>
        <w:keepLines/>
        <w:widowControl w:val="0"/>
        <w:shd w:val="clear" w:color="auto" w:fill="auto"/>
        <w:tabs>
          <w:tab w:pos="2803"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9"/>
    </w:p>
    <w:p>
      <w:pPr>
        <w:pStyle w:val="Style11"/>
        <w:keepNext w:val="0"/>
        <w:keepLines w:val="0"/>
        <w:widowControl w:val="0"/>
        <w:shd w:val="clear" w:color="auto" w:fill="auto"/>
        <w:tabs>
          <w:tab w:pos="2803"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9"/>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oprávněn k podpisu smlouvy</w:t>
      </w:r>
      <w:bookmarkEnd w:id="12"/>
      <w:bookmarkEnd w:id="13"/>
      <w:bookmarkEnd w:id="14"/>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11"/>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11"/>
        <w:keepNext w:val="0"/>
        <w:keepLines w:val="0"/>
        <w:widowControl w:val="0"/>
        <w:shd w:val="clear" w:color="auto" w:fill="auto"/>
        <w:bidi w:val="0"/>
        <w:spacing w:before="0" w:after="0" w:line="240" w:lineRule="auto"/>
        <w:ind w:left="0" w:right="0" w:firstLine="0"/>
        <w:jc w:val="left"/>
      </w:pPr>
      <w:r>
        <mc:AlternateContent>
          <mc:Choice Requires="wps">
            <w:drawing>
              <wp:anchor distT="342900" distB="0" distL="0" distR="0" simplePos="0" relativeHeight="125829378" behindDoc="0" locked="0" layoutInCell="1" allowOverlap="1">
                <wp:simplePos x="0" y="0"/>
                <wp:positionH relativeFrom="page">
                  <wp:posOffset>882650</wp:posOffset>
                </wp:positionH>
                <wp:positionV relativeFrom="paragraph">
                  <wp:posOffset>635000</wp:posOffset>
                </wp:positionV>
                <wp:extent cx="5806440" cy="707390"/>
                <wp:wrapTopAndBottom/>
                <wp:docPr id="3" name="Shape 3"/>
                <a:graphic xmlns:a="http://schemas.openxmlformats.org/drawingml/2006/main">
                  <a:graphicData uri="http://schemas.microsoft.com/office/word/2010/wordprocessingShape">
                    <wps:wsp>
                      <wps:cNvSpPr txBox="1"/>
                      <wps:spPr>
                        <a:xfrm>
                          <a:ext cx="5806440" cy="707390"/>
                        </a:xfrm>
                        <a:prstGeom prst="rect"/>
                        <a:noFill/>
                      </wps:spPr>
                      <wps:txbx>
                        <w:txbxContent>
                          <w:tbl>
                            <w:tblPr>
                              <w:tblOverlap w:val="never"/>
                              <w:jc w:val="left"/>
                              <w:tblLayout w:type="fixed"/>
                            </w:tblPr>
                            <w:tblGrid>
                              <w:gridCol w:w="2467"/>
                              <w:gridCol w:w="6677"/>
                            </w:tblGrid>
                            <w:tr>
                              <w:trPr>
                                <w:tblHeader/>
                                <w:trHeight w:val="1114"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9.5pt;margin-top:50.pt;width:457.19999999999999pt;height:55.700000000000003pt;z-index:-125829375;mso-wrap-distance-left:0;mso-wrap-distance-top:27.pt;mso-wrap-distance-right:0;mso-position-horizontal-relative:page" filled="f" stroked="f">
                <v:textbox inset="0,0,0,0">
                  <w:txbxContent>
                    <w:tbl>
                      <w:tblPr>
                        <w:tblOverlap w:val="never"/>
                        <w:jc w:val="left"/>
                        <w:tblLayout w:type="fixed"/>
                      </w:tblPr>
                      <w:tblGrid>
                        <w:gridCol w:w="2467"/>
                        <w:gridCol w:w="6677"/>
                      </w:tblGrid>
                      <w:tr>
                        <w:trPr>
                          <w:tblHeader/>
                          <w:trHeight w:val="1114"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w:rPr>
          <w:color w:val="000000"/>
          <w:spacing w:val="0"/>
          <w:w w:val="100"/>
          <w:position w:val="0"/>
          <w:shd w:val="clear" w:color="auto" w:fill="auto"/>
          <w:lang w:val="cs-CZ" w:eastAsia="cs-CZ" w:bidi="cs-CZ"/>
        </w:rPr>
        <w:t xml:space="preserve">technický dozor objednatele: </w:t>
      </w: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9"/>
        <w:keepNext/>
        <w:keepLines/>
        <w:widowControl w:val="0"/>
        <w:shd w:val="clear" w:color="auto" w:fill="auto"/>
        <w:bidi w:val="0"/>
        <w:spacing w:before="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(dále jen „objednatel“ nebo „POh“)</w:t>
      </w:r>
      <w:bookmarkEnd w:id="15"/>
      <w:bookmarkEnd w:id="16"/>
      <w:bookmarkEnd w:id="17"/>
    </w:p>
    <w:p>
      <w:pPr>
        <w:pStyle w:val="Style9"/>
        <w:keepNext/>
        <w:keepLines/>
        <w:widowControl w:val="0"/>
        <w:shd w:val="clear" w:color="auto" w:fill="auto"/>
        <w:bidi w:val="0"/>
        <w:spacing w:before="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tbl>
      <w:tblPr>
        <w:tblOverlap w:val="never"/>
        <w:jc w:val="center"/>
        <w:tblLayout w:type="fixed"/>
      </w:tblPr>
      <w:tblGrid>
        <w:gridCol w:w="2467"/>
        <w:gridCol w:w="6682"/>
      </w:tblGrid>
      <w:tr>
        <w:trPr>
          <w:trHeight w:val="619"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380" w:right="0" w:firstLine="0"/>
              <w:jc w:val="left"/>
            </w:pPr>
            <w:r>
              <w:rPr>
                <w:b/>
                <w:bCs/>
                <w:color w:val="000000"/>
                <w:spacing w:val="0"/>
                <w:w w:val="100"/>
                <w:position w:val="0"/>
                <w:shd w:val="clear" w:color="auto" w:fill="auto"/>
                <w:lang w:val="cs-CZ" w:eastAsia="cs-CZ" w:bidi="cs-CZ"/>
              </w:rPr>
              <w:t xml:space="preserve">Vodohospodářské stavby, společnost s ručením omezeným </w:t>
            </w:r>
            <w:r>
              <w:rPr>
                <w:color w:val="000000"/>
                <w:spacing w:val="0"/>
                <w:w w:val="100"/>
                <w:position w:val="0"/>
                <w:shd w:val="clear" w:color="auto" w:fill="auto"/>
                <w:lang w:val="cs-CZ" w:eastAsia="cs-CZ" w:bidi="cs-CZ"/>
              </w:rPr>
              <w:t>Křižíkova 2393, 415 01 Teplice</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w:t>
      </w:r>
    </w:p>
    <w:p>
      <w:pPr>
        <w:widowControl w:val="0"/>
        <w:spacing w:line="1" w:lineRule="exact"/>
      </w:pPr>
    </w:p>
    <w:tbl>
      <w:tblPr>
        <w:tblOverlap w:val="never"/>
        <w:jc w:val="center"/>
        <w:tblLayout w:type="fixed"/>
      </w:tblPr>
      <w:tblGrid>
        <w:gridCol w:w="2467"/>
        <w:gridCol w:w="6677"/>
      </w:tblGrid>
      <w:tr>
        <w:trPr>
          <w:trHeight w:val="1622"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 manažer stavby: IČO: DIČ: bankovní spojení: číslo účtu:</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40233308</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CZ40233308</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Krajského soudu v Ústí nad Labem, oddíl C, vložka 1578</w:t>
      </w:r>
    </w:p>
    <w:p>
      <w:pPr>
        <w:widowControl w:val="0"/>
        <w:spacing w:line="1" w:lineRule="exact"/>
      </w:pPr>
    </w:p>
    <w:tbl>
      <w:tblPr>
        <w:tblOverlap w:val="never"/>
        <w:jc w:val="center"/>
        <w:tblLayout w:type="fixed"/>
      </w:tblPr>
      <w:tblGrid>
        <w:gridCol w:w="2467"/>
        <w:gridCol w:w="6677"/>
      </w:tblGrid>
      <w:tr>
        <w:trPr>
          <w:trHeight w:val="610"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bookmarkStart w:id="21" w:name="bookmark21"/>
            <w:r>
              <w:rPr>
                <w:color w:val="000000"/>
                <w:spacing w:val="0"/>
                <w:w w:val="100"/>
                <w:position w:val="0"/>
                <w:shd w:val="clear" w:color="auto" w:fill="auto"/>
                <w:lang w:val="cs-CZ" w:eastAsia="cs-CZ" w:bidi="cs-CZ"/>
              </w:rPr>
              <w:t>tel.:</w:t>
            </w:r>
            <w:bookmarkEnd w:id="21"/>
          </w:p>
          <w:p>
            <w:pPr>
              <w:pStyle w:val="Style5"/>
              <w:keepNext w:val="0"/>
              <w:keepLines w:val="0"/>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(dále jen „zhotovitel“)</w:t>
            </w:r>
            <w:bookmarkEnd w:id="22"/>
            <w:bookmarkEnd w:id="23"/>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e-mail:</w:t>
            </w:r>
          </w:p>
        </w:tc>
      </w:tr>
    </w:tbl>
    <w:p>
      <w:pPr>
        <w:pStyle w:val="Style11"/>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11"/>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24" w:name="bookmark24"/>
      <w:bookmarkEnd w:id="24"/>
      <w:r>
        <w:rPr>
          <w:b/>
          <w:bCs/>
          <w:color w:val="000000"/>
          <w:spacing w:val="0"/>
          <w:w w:val="100"/>
          <w:position w:val="0"/>
          <w:shd w:val="clear" w:color="auto" w:fill="auto"/>
          <w:lang w:val="cs-CZ" w:eastAsia="cs-CZ" w:bidi="cs-CZ"/>
        </w:rPr>
        <w:t>změnu předmětu díla</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w:t>
      </w:r>
    </w:p>
    <w:p>
      <w:pPr>
        <w:pStyle w:val="Style11"/>
        <w:keepNext w:val="0"/>
        <w:keepLines w:val="0"/>
        <w:widowControl w:val="0"/>
        <w:shd w:val="clear" w:color="auto" w:fill="auto"/>
        <w:bidi w:val="0"/>
        <w:spacing w:before="0" w:after="200" w:line="240" w:lineRule="auto"/>
        <w:ind w:left="0" w:right="0" w:firstLine="0"/>
        <w:jc w:val="both"/>
      </w:pPr>
      <w:bookmarkStart w:id="25" w:name="bookmark25"/>
      <w:r>
        <w:rPr>
          <w:color w:val="000000"/>
          <w:spacing w:val="0"/>
          <w:w w:val="100"/>
          <w:position w:val="0"/>
          <w:shd w:val="clear" w:color="auto" w:fill="auto"/>
          <w:lang w:val="cs-CZ" w:eastAsia="cs-CZ" w:bidi="cs-CZ"/>
        </w:rPr>
        <w:t>2</w:t>
      </w:r>
      <w:bookmarkEnd w:id="25"/>
      <w:r>
        <w:rPr>
          <w:color w:val="000000"/>
          <w:spacing w:val="0"/>
          <w:w w:val="100"/>
          <w:position w:val="0"/>
          <w:shd w:val="clear" w:color="auto" w:fill="auto"/>
          <w:lang w:val="cs-CZ" w:eastAsia="cs-CZ" w:bidi="cs-CZ"/>
        </w:rPr>
        <w:t>3.10.2025,</w:t>
      </w:r>
    </w:p>
    <w:p>
      <w:pPr>
        <w:pStyle w:val="Style11"/>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26" w:name="bookmark26"/>
      <w:bookmarkEnd w:id="26"/>
      <w:r>
        <w:rPr>
          <w:b/>
          <w:bCs/>
          <w:color w:val="000000"/>
          <w:spacing w:val="0"/>
          <w:w w:val="100"/>
          <w:position w:val="0"/>
          <w:shd w:val="clear" w:color="auto" w:fill="auto"/>
          <w:lang w:val="cs-CZ" w:eastAsia="cs-CZ" w:bidi="cs-CZ"/>
        </w:rPr>
        <w:t>změnu termínu dokončení stavebních prací na díle</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důvodu projednávání a realizace změn předmětu díla,</w:t>
      </w:r>
    </w:p>
    <w:p>
      <w:pPr>
        <w:pStyle w:val="Style11"/>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27" w:name="bookmark27"/>
      <w:bookmarkEnd w:id="27"/>
      <w:r>
        <w:rPr>
          <w:b/>
          <w:bCs/>
          <w:color w:val="000000"/>
          <w:spacing w:val="0"/>
          <w:w w:val="100"/>
          <w:position w:val="0"/>
          <w:shd w:val="clear" w:color="auto" w:fill="auto"/>
          <w:lang w:val="cs-CZ" w:eastAsia="cs-CZ" w:bidi="cs-CZ"/>
        </w:rPr>
        <w:t>změnu ceny díla</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Oceněného soupisu prací změn závazku ze dne</w:t>
      </w:r>
    </w:p>
    <w:p>
      <w:pPr>
        <w:pStyle w:val="Style11"/>
        <w:keepNext w:val="0"/>
        <w:keepLines w:val="0"/>
        <w:widowControl w:val="0"/>
        <w:numPr>
          <w:ilvl w:val="0"/>
          <w:numId w:val="3"/>
        </w:numPr>
        <w:shd w:val="clear" w:color="auto" w:fill="auto"/>
        <w:tabs>
          <w:tab w:pos="1362" w:val="left"/>
        </w:tabs>
        <w:bidi w:val="0"/>
        <w:spacing w:before="0" w:after="200" w:line="240" w:lineRule="auto"/>
        <w:ind w:left="0" w:right="0" w:firstLine="0"/>
        <w:jc w:val="both"/>
      </w:pPr>
      <w:bookmarkStart w:id="28" w:name="bookmark28"/>
      <w:bookmarkEnd w:id="28"/>
      <w:r>
        <w:rPr>
          <w:color w:val="000000"/>
          <w:spacing w:val="0"/>
          <w:w w:val="100"/>
          <w:position w:val="0"/>
          <w:shd w:val="clear" w:color="auto" w:fill="auto"/>
          <w:lang w:val="cs-CZ" w:eastAsia="cs-CZ" w:bidi="cs-CZ"/>
        </w:rPr>
        <w:t>Tato změna závazku ze smlouvy v souvislosti se zadáním dalších prací nemění celkovou povahu veřejné zakázky.</w:t>
      </w:r>
    </w:p>
    <w:p>
      <w:pPr>
        <w:pStyle w:val="Style11"/>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mimořádných kontrolních dnech stavby. Obě smluvní strany odsouhlasily a potvrdily oceněný soupis prací.</w:t>
      </w:r>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11"/>
        <w:keepNext w:val="0"/>
        <w:keepLines w:val="0"/>
        <w:widowControl w:val="0"/>
        <w:numPr>
          <w:ilvl w:val="0"/>
          <w:numId w:val="5"/>
        </w:numPr>
        <w:shd w:val="clear" w:color="auto" w:fill="auto"/>
        <w:tabs>
          <w:tab w:pos="397" w:val="left"/>
        </w:tabs>
        <w:bidi w:val="0"/>
        <w:spacing w:before="0" w:after="0" w:line="240" w:lineRule="auto"/>
        <w:ind w:left="0" w:right="0" w:firstLine="0"/>
        <w:jc w:val="both"/>
      </w:pPr>
      <w:bookmarkStart w:id="29" w:name="bookmark29"/>
      <w:bookmarkEnd w:id="29"/>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 předmět díla v rozsahu přílohy tohoto dodatku – Oceněného soupisu prací změn závazku ze dne 23.10.2025, který se tímto stává nedílnou součástí smlouvy,</w:t>
      </w:r>
    </w:p>
    <w:p>
      <w:pPr>
        <w:pStyle w:val="Style11"/>
        <w:keepNext w:val="0"/>
        <w:keepLines w:val="0"/>
        <w:widowControl w:val="0"/>
        <w:numPr>
          <w:ilvl w:val="0"/>
          <w:numId w:val="5"/>
        </w:numPr>
        <w:shd w:val="clear" w:color="auto" w:fill="auto"/>
        <w:tabs>
          <w:tab w:pos="406" w:val="left"/>
        </w:tabs>
        <w:bidi w:val="0"/>
        <w:spacing w:before="0" w:after="0" w:line="240" w:lineRule="auto"/>
        <w:ind w:left="0" w:right="0" w:firstLine="0"/>
        <w:jc w:val="both"/>
      </w:pPr>
      <w:bookmarkStart w:id="30" w:name="bookmark30"/>
      <w:bookmarkEnd w:id="30"/>
      <w:r>
        <w:rPr>
          <w:b/>
          <w:bCs/>
          <w:color w:val="000000"/>
          <w:spacing w:val="0"/>
          <w:w w:val="100"/>
          <w:position w:val="0"/>
          <w:shd w:val="clear" w:color="auto" w:fill="auto"/>
          <w:lang w:val="cs-CZ" w:eastAsia="cs-CZ" w:bidi="cs-CZ"/>
        </w:rPr>
        <w:t>Čl. II. Lhůty a podmínky realizace díla, bod 1. písmeno d) dokončení stavebních prací na díle</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původní znění: Nejpozději do 31.10.2025 </w:t>
      </w:r>
      <w:r>
        <w:rPr>
          <w:b/>
          <w:bCs/>
          <w:color w:val="000000"/>
          <w:spacing w:val="0"/>
          <w:w w:val="100"/>
          <w:position w:val="0"/>
          <w:shd w:val="clear" w:color="auto" w:fill="auto"/>
          <w:lang w:val="cs-CZ" w:eastAsia="cs-CZ" w:bidi="cs-CZ"/>
        </w:rPr>
        <w:t>nové znění: Nejpozději do 19.12.2025</w:t>
      </w:r>
    </w:p>
    <w:p>
      <w:pPr>
        <w:pStyle w:val="Style11"/>
        <w:keepNext w:val="0"/>
        <w:keepLines w:val="0"/>
        <w:widowControl w:val="0"/>
        <w:numPr>
          <w:ilvl w:val="0"/>
          <w:numId w:val="5"/>
        </w:numPr>
        <w:shd w:val="clear" w:color="auto" w:fill="auto"/>
        <w:tabs>
          <w:tab w:pos="406" w:val="left"/>
        </w:tabs>
        <w:bidi w:val="0"/>
        <w:spacing w:before="0" w:after="0" w:line="240" w:lineRule="auto"/>
        <w:ind w:left="0" w:right="0" w:firstLine="0"/>
        <w:jc w:val="both"/>
      </w:pPr>
      <w:bookmarkStart w:id="31" w:name="bookmark31"/>
      <w:bookmarkEnd w:id="31"/>
      <w:r>
        <w:rPr>
          <w:b/>
          <w:bCs/>
          <w:color w:val="000000"/>
          <w:spacing w:val="0"/>
          <w:w w:val="100"/>
          <w:position w:val="0"/>
          <w:shd w:val="clear" w:color="auto" w:fill="auto"/>
          <w:lang w:val="cs-CZ" w:eastAsia="cs-CZ" w:bidi="cs-CZ"/>
        </w:rPr>
        <w:t>Čl. III. Cenové platební podmínky, bod 1.</w:t>
      </w:r>
    </w:p>
    <w:p>
      <w:pPr>
        <w:pStyle w:val="Style11"/>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 za celý předmět díla:</w:t>
      </w:r>
    </w:p>
    <w:p>
      <w:pPr>
        <w:pStyle w:val="Style11"/>
        <w:keepNext w:val="0"/>
        <w:keepLines w:val="0"/>
        <w:widowControl w:val="0"/>
        <w:shd w:val="clear" w:color="auto" w:fill="auto"/>
        <w:tabs>
          <w:tab w:pos="2827"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21 645 549,91 Kč</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(slovy: dvacet jedna milionů šest set čtyřicet pět tisíc pět set čtyřicet devět korun českých devadesát jeden haléřů)</w:t>
      </w:r>
    </w:p>
    <w:p>
      <w:pPr>
        <w:pStyle w:val="Style11"/>
        <w:keepNext w:val="0"/>
        <w:keepLines w:val="0"/>
        <w:widowControl w:val="0"/>
        <w:shd w:val="clear" w:color="auto" w:fill="auto"/>
        <w:tabs>
          <w:tab w:pos="28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Nové znění:</w:t>
        <w:tab/>
        <w:t>21 428 680,16 Kč</w:t>
      </w:r>
    </w:p>
    <w:p>
      <w:pPr>
        <w:pStyle w:val="Style11"/>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(slovy: dvacet jedna milionů čtyři sta dvacet osm tisíc šest set osmdesát korun českých a šestnáct haléřů)</w:t>
      </w:r>
    </w:p>
    <w:p>
      <w:pPr>
        <w:pStyle w:val="Style11"/>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1"/>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r>
        <w:br w:type="page"/>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Nedílnou součástí tohoto dodatku je:</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270" w:left="1390" w:right="1369" w:bottom="1553" w:header="842" w:footer="3" w:gutter="0"/>
          <w:cols w:space="720"/>
          <w:noEndnote/>
          <w:rtlGutter w:val="0"/>
          <w:docGrid w:linePitch="360"/>
        </w:sectPr>
      </w:pPr>
      <w:r>
        <w:rPr>
          <w:color w:val="000000"/>
          <w:spacing w:val="0"/>
          <w:w w:val="100"/>
          <w:position w:val="0"/>
          <w:shd w:val="clear" w:color="auto" w:fill="auto"/>
          <w:lang w:val="cs-CZ" w:eastAsia="cs-CZ" w:bidi="cs-CZ"/>
        </w:rPr>
        <w:t>Příloha č. 1: Oceněný soupis prací změn závazku ze dne 23.10.2025</w:t>
      </w: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0542"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Teplicích</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5" w:left="1396" w:right="2418" w:bottom="10542" w:header="0" w:footer="3" w:gutter="0"/>
          <w:cols w:num="2" w:space="1715"/>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81"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889000</wp:posOffset>
                </wp:positionH>
                <wp:positionV relativeFrom="paragraph">
                  <wp:posOffset>12700</wp:posOffset>
                </wp:positionV>
                <wp:extent cx="1688465" cy="387350"/>
                <wp:wrapSquare wrapText="bothSides"/>
                <wp:docPr id="5" name="Shape 5"/>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31" type="#_x0000_t202" style="position:absolute;margin-left:70.pt;margin-top:1.pt;width:132.94999999999999pt;height:30.5pt;z-index:-125829373;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br/>
        <w:t>Vodohospodářské stavby,</w:t>
        <w:br/>
        <w:t>společnost s ručením omezeným</w:t>
      </w:r>
    </w:p>
    <w:sectPr>
      <w:footnotePr>
        <w:pos w:val="pageBottom"/>
        <w:numFmt w:val="decimal"/>
        <w:numRestart w:val="continuous"/>
      </w:footnotePr>
      <w:type w:val="continuous"/>
      <w:pgSz w:w="11909" w:h="16838"/>
      <w:pgMar w:top="1185" w:left="4056" w:right="2285" w:bottom="128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5762625</wp:posOffset>
              </wp:positionH>
              <wp:positionV relativeFrom="page">
                <wp:posOffset>9932035</wp:posOffset>
              </wp:positionV>
              <wp:extent cx="899160" cy="207010"/>
              <wp:wrapNone/>
              <wp:docPr id="1" name="Shape 1"/>
              <a:graphic xmlns:a="http://schemas.openxmlformats.org/drawingml/2006/main">
                <a:graphicData uri="http://schemas.microsoft.com/office/word/2010/wordprocessingShape">
                  <wps:wsp>
                    <wps:cNvSpPr txBox="1"/>
                    <wps:spPr>
                      <a:xfrm>
                        <a:ext cx="899160"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75pt;margin-top:782.05000000000007pt;width:70.799999999999997pt;height:16.3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025"/>
      <w:numFmt w:val="decimal"/>
      <w:lvlText w:val="23.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36"/>
      <w:szCs w:val="36"/>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spacing w:after="90"/>
      <w:jc w:val="center"/>
    </w:pPr>
    <w:rPr>
      <w:rFonts w:ascii="Arial" w:eastAsia="Arial" w:hAnsi="Arial" w:cs="Arial"/>
      <w:b/>
      <w:bCs/>
      <w:i w:val="0"/>
      <w:iCs w:val="0"/>
      <w:smallCaps w:val="0"/>
      <w:strike w:val="0"/>
      <w:sz w:val="36"/>
      <w:szCs w:val="36"/>
      <w:u w:val="none"/>
    </w:rPr>
  </w:style>
  <w:style w:type="paragraph" w:customStyle="1" w:styleId="Style9">
    <w:name w:val="Style 9"/>
    <w:basedOn w:val="Normal"/>
    <w:link w:val="CharStyle10"/>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