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129ABF5A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6E2A20">
        <w:rPr>
          <w:b/>
        </w:rPr>
        <w:t>1345/25/04/OTO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6433DEFE" w14:textId="77777777" w:rsidR="00C7247D" w:rsidRPr="0090207F" w:rsidRDefault="00C7247D" w:rsidP="00C7247D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bookmarkStart w:id="1" w:name="_Hlk208235554"/>
      <w:r w:rsidRPr="0090207F">
        <w:rPr>
          <w:b/>
          <w:color w:val="000000"/>
        </w:rPr>
        <w:t xml:space="preserve">Jméno: </w:t>
      </w:r>
      <w:r>
        <w:rPr>
          <w:b/>
          <w:color w:val="000000"/>
        </w:rPr>
        <w:t>Electric Medical Service, s.r.o.</w:t>
      </w:r>
    </w:p>
    <w:p w14:paraId="34FE9176" w14:textId="77777777" w:rsidR="00C7247D" w:rsidRPr="0090207F" w:rsidRDefault="00C7247D" w:rsidP="00C7247D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>
        <w:rPr>
          <w:b/>
          <w:color w:val="000000"/>
        </w:rPr>
        <w:t>Ledce 74, 664 62 Ledce</w:t>
      </w:r>
    </w:p>
    <w:p w14:paraId="251F37E2" w14:textId="77777777" w:rsidR="00C7247D" w:rsidRPr="0090207F" w:rsidRDefault="00C7247D" w:rsidP="00C7247D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>
        <w:rPr>
          <w:b/>
          <w:color w:val="000000"/>
        </w:rPr>
        <w:t>49970267</w:t>
      </w:r>
      <w:r w:rsidRPr="0090207F">
        <w:rPr>
          <w:b/>
          <w:color w:val="000000"/>
        </w:rPr>
        <w:t xml:space="preserve"> DIČ: </w:t>
      </w:r>
      <w:r>
        <w:rPr>
          <w:b/>
          <w:color w:val="000000"/>
        </w:rPr>
        <w:t>CZ49970267</w:t>
      </w:r>
    </w:p>
    <w:p w14:paraId="39AF8EAD" w14:textId="77777777" w:rsidR="00C7247D" w:rsidRPr="0090207F" w:rsidRDefault="00C7247D" w:rsidP="00C7247D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>
        <w:rPr>
          <w:b/>
          <w:color w:val="000000"/>
        </w:rPr>
        <w:t>zapsán v OR vedeném KS v Brně, oddíl C, vložka 13525</w:t>
      </w:r>
    </w:p>
    <w:p w14:paraId="1F0157D2" w14:textId="4B4C73EB" w:rsidR="00C7247D" w:rsidRPr="0090207F" w:rsidRDefault="00C7247D" w:rsidP="00C7247D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>
        <w:rPr>
          <w:b/>
          <w:color w:val="000000"/>
        </w:rPr>
        <w:t xml:space="preserve">Ing. Ondřejem </w:t>
      </w:r>
      <w:proofErr w:type="spellStart"/>
      <w:r>
        <w:rPr>
          <w:b/>
          <w:color w:val="000000"/>
        </w:rPr>
        <w:t>Podlouckým</w:t>
      </w:r>
      <w:proofErr w:type="spellEnd"/>
      <w:r>
        <w:rPr>
          <w:b/>
          <w:color w:val="000000"/>
        </w:rPr>
        <w:t>, prokuristou</w:t>
      </w:r>
    </w:p>
    <w:p w14:paraId="1192C605" w14:textId="77777777" w:rsidR="00C7247D" w:rsidRPr="0090207F" w:rsidRDefault="00C7247D" w:rsidP="00C7247D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proofErr w:type="spellStart"/>
      <w:r>
        <w:rPr>
          <w:b/>
          <w:color w:val="000000"/>
        </w:rPr>
        <w:t>Citibank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č.ú</w:t>
      </w:r>
      <w:proofErr w:type="spellEnd"/>
      <w:r>
        <w:rPr>
          <w:b/>
          <w:color w:val="000000"/>
        </w:rPr>
        <w:t xml:space="preserve">.: </w:t>
      </w:r>
      <w:r w:rsidRPr="00F93C15">
        <w:rPr>
          <w:b/>
          <w:color w:val="000000"/>
        </w:rPr>
        <w:t>2520450100/2600</w:t>
      </w:r>
    </w:p>
    <w:bookmarkEnd w:id="1"/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4BB981AA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 xml:space="preserve">blíže </w:t>
      </w:r>
      <w:r w:rsidRPr="00BC6C50">
        <w:t>specifikovaného v </w:t>
      </w:r>
      <w:r w:rsidRPr="00BC6C50">
        <w:rPr>
          <w:b/>
        </w:rPr>
        <w:t>Příloze č. 1</w:t>
      </w:r>
      <w:r w:rsidRPr="00BC6C50">
        <w:t xml:space="preserve"> této smlouvy</w:t>
      </w:r>
      <w:r w:rsidRPr="00BC6C50">
        <w:rPr>
          <w:b/>
        </w:rPr>
        <w:t xml:space="preserve"> </w:t>
      </w:r>
      <w:r w:rsidRPr="00BC6C50">
        <w:t xml:space="preserve">a dodávaného dle výsledků veřejné zakázky s názvem </w:t>
      </w:r>
      <w:r w:rsidR="004606F8" w:rsidRPr="00BC6C50">
        <w:t>„Obnova a modernizace pracovišť léčebně rehabilitační péče pro pacienty po kritických stavech ve FN Plzeň I</w:t>
      </w:r>
      <w:r w:rsidR="00B960B5" w:rsidRPr="00BC6C50">
        <w:t>I</w:t>
      </w:r>
      <w:r w:rsidR="004606F8" w:rsidRPr="00BC6C50">
        <w:t>.“</w:t>
      </w:r>
      <w:r w:rsidR="004606F8" w:rsidRPr="00BC6C50">
        <w:rPr>
          <w:b/>
        </w:rPr>
        <w:t xml:space="preserve"> </w:t>
      </w:r>
      <w:r w:rsidR="004606F8" w:rsidRPr="00BC6C50">
        <w:t xml:space="preserve">v </w:t>
      </w:r>
      <w:r w:rsidR="004606F8" w:rsidRPr="00C7247D">
        <w:rPr>
          <w:b/>
          <w:bCs/>
          <w:i/>
          <w:iCs/>
        </w:rPr>
        <w:t xml:space="preserve">části č. </w:t>
      </w:r>
      <w:r w:rsidR="00C7247D" w:rsidRPr="00C7247D">
        <w:rPr>
          <w:b/>
          <w:bCs/>
          <w:i/>
          <w:iCs/>
          <w:color w:val="000000"/>
        </w:rPr>
        <w:t>4: Sonograf víceúčelový</w:t>
      </w:r>
      <w:r w:rsidR="00C7247D">
        <w:rPr>
          <w:b/>
          <w:bCs/>
          <w:i/>
          <w:iCs/>
          <w:color w:val="000000"/>
        </w:rPr>
        <w:t xml:space="preserve"> </w:t>
      </w:r>
      <w:r w:rsidR="00C7247D" w:rsidRPr="00C7247D">
        <w:rPr>
          <w:b/>
          <w:bCs/>
          <w:i/>
          <w:iCs/>
          <w:color w:val="000000"/>
        </w:rPr>
        <w:t>– INTO/RHC</w:t>
      </w:r>
      <w:r w:rsidR="004606F8" w:rsidRPr="00BC6C50">
        <w:t>,</w:t>
      </w:r>
      <w:r w:rsidR="004606F8" w:rsidRPr="00BC6C50">
        <w:rPr>
          <w:b/>
        </w:rPr>
        <w:t xml:space="preserve"> </w:t>
      </w:r>
      <w:r w:rsidR="004606F8" w:rsidRPr="00BC6C50">
        <w:t>kterou Kupující jako zadavatel vyhlásil v otevřeném řízení pod evidenčním</w:t>
      </w:r>
      <w:r w:rsidR="004606F8" w:rsidRPr="00B429B0">
        <w:t xml:space="preserve"> </w:t>
      </w:r>
      <w:r w:rsidR="004606F8" w:rsidRPr="006B0AB4">
        <w:t>číslem Z2025-</w:t>
      </w:r>
      <w:r w:rsidR="006B0AB4" w:rsidRPr="006B0AB4">
        <w:t>030752</w:t>
      </w:r>
      <w:r w:rsidRPr="006B0AB4">
        <w:t>.</w:t>
      </w:r>
    </w:p>
    <w:p w14:paraId="0261C819" w14:textId="57CFC037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3486">
            <w:rPr>
              <w:b/>
              <w:szCs w:val="20"/>
            </w:rPr>
            <w:t>Obnova a modernizace pracovišť léčebné rehabilitační péče pro pacienty po kritických stavech ve FN Plzeň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B3486">
            <w:rPr>
              <w:szCs w:val="20"/>
            </w:rPr>
            <w:t>CZ.31.7.0/0.0/0.0/23_064/0008282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70676305" w:rsidR="000F48A1" w:rsidRPr="00865FC0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</w:t>
      </w:r>
      <w:r w:rsidR="000F48A1" w:rsidRPr="00F43215">
        <w:rPr>
          <w:spacing w:val="-2"/>
        </w:rPr>
        <w:t>kalibrací</w:t>
      </w:r>
      <w:r w:rsidR="000F48A1" w:rsidRPr="00AE3533">
        <w:rPr>
          <w:spacing w:val="-2"/>
        </w:rPr>
        <w:t xml:space="preserve"> </w:t>
      </w:r>
      <w:r w:rsidR="00DF11B2">
        <w:rPr>
          <w:spacing w:val="-2"/>
        </w:rPr>
        <w:t>a </w:t>
      </w:r>
      <w:r w:rsidR="00C87A1B" w:rsidRPr="00865FC0">
        <w:rPr>
          <w:spacing w:val="-2"/>
        </w:rPr>
        <w:t>dalších povinných zkouš</w:t>
      </w:r>
      <w:r w:rsidR="00BD323B" w:rsidRPr="00865FC0">
        <w:rPr>
          <w:spacing w:val="-2"/>
        </w:rPr>
        <w:t>e</w:t>
      </w:r>
      <w:r w:rsidR="00C87A1B" w:rsidRPr="00865FC0">
        <w:rPr>
          <w:spacing w:val="-2"/>
        </w:rPr>
        <w:t>k</w:t>
      </w:r>
      <w:r w:rsidR="000F48A1" w:rsidRPr="00865FC0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08FE4A22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</w:t>
      </w:r>
      <w:r w:rsidR="00C947F8">
        <w:t>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směrnice 93/42/EHS o </w:t>
      </w:r>
      <w:r w:rsidR="00EB4E38" w:rsidRPr="00B10552">
        <w:rPr>
          <w:rFonts w:cs="Arial"/>
        </w:rPr>
        <w:t xml:space="preserve">zdravotnických prostředcích bude součástí dokumentace také doklad prokazující splnění podmínek pro udělení výjimky z posouzení shody dle nařízení Evropského parlamentu a Rady (EU) 2017/745 </w:t>
      </w:r>
      <w:r w:rsidR="00EB4E38" w:rsidRPr="00B10552">
        <w:rPr>
          <w:rFonts w:cs="Arial"/>
        </w:rPr>
        <w:lastRenderedPageBreak/>
        <w:t>o zdravotnických prostředcích v platném znění</w:t>
      </w:r>
      <w:r w:rsidR="001826A5">
        <w:rPr>
          <w:rFonts w:cs="Arial"/>
        </w:rPr>
        <w:t>, dále jen „MDR“</w:t>
      </w:r>
      <w:r w:rsidR="00EB4E38" w:rsidRPr="00B10552">
        <w:rPr>
          <w:rFonts w:cs="Arial"/>
        </w:rPr>
        <w:t>, zejména</w:t>
      </w:r>
      <w:r w:rsidR="001826A5">
        <w:rPr>
          <w:rFonts w:cs="Arial"/>
        </w:rPr>
        <w:t xml:space="preserve"> doklad o</w:t>
      </w:r>
      <w:r w:rsidR="000143DC">
        <w:rPr>
          <w:rFonts w:cs="Arial"/>
        </w:rPr>
        <w:t> </w:t>
      </w:r>
      <w:r w:rsidR="001826A5">
        <w:rPr>
          <w:rFonts w:cs="Arial"/>
        </w:rPr>
        <w:t>uzavření dohody mezi výrobcem a oznámeným subjektem o posouzení shody dodávaného zboží s MDR</w:t>
      </w:r>
      <w:r w:rsidR="001A258D" w:rsidRPr="00B10552">
        <w:rPr>
          <w:rFonts w:cs="Arial"/>
        </w:rPr>
        <w:t>)</w:t>
      </w:r>
      <w:r w:rsidR="00EB4E38" w:rsidRPr="00B10552">
        <w:rPr>
          <w:rFonts w:cs="Arial"/>
        </w:rPr>
        <w:t>. Do splnění uvedené povinnosti není prodávající oprávněn fakturovat dodané zboží</w:t>
      </w:r>
    </w:p>
    <w:p w14:paraId="2ECCBBC3" w14:textId="77777777" w:rsidR="00970249" w:rsidRPr="00B10552" w:rsidRDefault="00970249" w:rsidP="000E2F46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za stranu Prodávajícího </w:t>
      </w:r>
    </w:p>
    <w:p w14:paraId="510701DA" w14:textId="26E15D80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0B7741C1" w:rsidR="000F48A1" w:rsidRPr="00102870" w:rsidRDefault="00BF58C8" w:rsidP="00C955F1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</w:t>
      </w:r>
      <w:r w:rsidR="00FF32BA" w:rsidRPr="00102870">
        <w:t xml:space="preserve">výrobcem, členěný na </w:t>
      </w:r>
      <w:r w:rsidR="000F48A1" w:rsidRPr="00102870">
        <w:t>BTK provádě</w:t>
      </w:r>
      <w:r w:rsidR="00FF32BA" w:rsidRPr="00102870">
        <w:t xml:space="preserve">né v kompetenci uživatele a </w:t>
      </w:r>
      <w:r w:rsidR="000F48A1" w:rsidRPr="00102870">
        <w:t>BTK prováděné jinou autorizovanou osobou</w:t>
      </w:r>
      <w:r w:rsidR="00C955F1" w:rsidRPr="00102870">
        <w:t xml:space="preserve"> (např. revize elektrické bezpečnosti, tlakové zkoušky</w:t>
      </w:r>
      <w:r w:rsidR="00102870" w:rsidRPr="00102870">
        <w:t xml:space="preserve"> </w:t>
      </w:r>
      <w:r w:rsidR="00C955F1" w:rsidRPr="00102870">
        <w:t>apod.)</w:t>
      </w:r>
      <w:r w:rsidR="00F9169D" w:rsidRPr="00102870">
        <w:t>,</w:t>
      </w:r>
    </w:p>
    <w:p w14:paraId="11752100" w14:textId="23D38E21" w:rsidR="002B7DEF" w:rsidRPr="00102870" w:rsidRDefault="002B7DEF" w:rsidP="002B7DEF">
      <w:pPr>
        <w:numPr>
          <w:ilvl w:val="1"/>
          <w:numId w:val="18"/>
        </w:numPr>
        <w:ind w:left="1560" w:hanging="284"/>
        <w:jc w:val="both"/>
      </w:pPr>
      <w:r w:rsidRPr="00102870">
        <w:t>SBOM a MDS2 soubor pro všechny relevantní komponenty dodávky pro příslušnou SW verzi nabízených komponent,</w:t>
      </w:r>
      <w:r w:rsidR="000F6340" w:rsidRPr="00102870">
        <w:t xml:space="preserve"> pokud zařízení umožňuje připojení k počítačové síti a</w:t>
      </w:r>
      <w:r w:rsidRPr="00102870">
        <w:t xml:space="preserve"> pokud výrobce </w:t>
      </w:r>
      <w:r w:rsidR="000F6340" w:rsidRPr="00102870">
        <w:t>zařízení</w:t>
      </w:r>
      <w:r w:rsidRPr="00102870">
        <w:t xml:space="preserve"> takový dokument vydal.</w:t>
      </w:r>
    </w:p>
    <w:p w14:paraId="143AF43F" w14:textId="5E52EBE9" w:rsidR="00C947F8" w:rsidRPr="00102870" w:rsidRDefault="00C947F8" w:rsidP="00F77732">
      <w:pPr>
        <w:numPr>
          <w:ilvl w:val="0"/>
          <w:numId w:val="12"/>
        </w:numPr>
        <w:jc w:val="both"/>
      </w:pPr>
      <w:r w:rsidRPr="00102870">
        <w:t>provedení montáží a instalaci v rozsahu potřebném pro daný charakter předmětu plnění,</w:t>
      </w:r>
    </w:p>
    <w:p w14:paraId="54FC8894" w14:textId="7CE910EB" w:rsidR="000F48A1" w:rsidRPr="00102870" w:rsidRDefault="000F48A1" w:rsidP="00F77732">
      <w:pPr>
        <w:numPr>
          <w:ilvl w:val="0"/>
          <w:numId w:val="12"/>
        </w:numPr>
        <w:jc w:val="both"/>
      </w:pPr>
      <w:r w:rsidRPr="00102870">
        <w:t xml:space="preserve">zajištění dopravy </w:t>
      </w:r>
      <w:r w:rsidR="001C608F" w:rsidRPr="00102870">
        <w:t>předmětu</w:t>
      </w:r>
      <w:r w:rsidR="00A06CB0" w:rsidRPr="00102870">
        <w:t xml:space="preserve"> plnění </w:t>
      </w:r>
      <w:r w:rsidRPr="00102870">
        <w:t>do místa určení a je</w:t>
      </w:r>
      <w:r w:rsidR="00A06CB0" w:rsidRPr="00102870">
        <w:t>ho</w:t>
      </w:r>
      <w:r w:rsidRPr="00102870">
        <w:t xml:space="preserve"> pojištění,</w:t>
      </w:r>
    </w:p>
    <w:p w14:paraId="25B48713" w14:textId="77777777" w:rsidR="00BD323B" w:rsidRPr="00B10552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102870">
        <w:rPr>
          <w:rFonts w:cs="Arial"/>
          <w:szCs w:val="18"/>
        </w:rPr>
        <w:t>pokud to charakter obalu umožňuje</w:t>
      </w:r>
      <w:r w:rsidRPr="00B10552">
        <w:rPr>
          <w:rFonts w:cs="Arial"/>
          <w:szCs w:val="18"/>
        </w:rPr>
        <w:t xml:space="preserve"> </w:t>
      </w:r>
      <w:r w:rsidRPr="00B10552"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 w:rsidRPr="00B10552"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8B6BA4">
      <w:pPr>
        <w:numPr>
          <w:ilvl w:val="0"/>
          <w:numId w:val="12"/>
        </w:numPr>
        <w:jc w:val="both"/>
      </w:pPr>
      <w:r w:rsidRPr="00B10552">
        <w:rPr>
          <w:rFonts w:cs="Arial"/>
          <w:szCs w:val="18"/>
        </w:rPr>
        <w:t>zpětný odběr přepravních obalů a jiného odpadu pro jejich opětovné použití či následnou recyklaci, v případě nemožnosti recyklace obalů jejich ekologická likvidace v souladu s </w:t>
      </w:r>
      <w:r w:rsidRPr="00CD49DA">
        <w:rPr>
          <w:rFonts w:cs="Arial"/>
          <w:szCs w:val="18"/>
        </w:rPr>
        <w:t xml:space="preserve">příslušnou legislativou (s důrazem na </w:t>
      </w:r>
      <w:r w:rsidRPr="00CD49DA">
        <w:rPr>
          <w:rFonts w:cs="Arial"/>
          <w:szCs w:val="20"/>
          <w:shd w:val="clear" w:color="auto" w:fill="FFFFFF"/>
        </w:rPr>
        <w:t>zařazení o</w:t>
      </w:r>
      <w:r w:rsidR="00F43215" w:rsidRPr="00CD49DA">
        <w:rPr>
          <w:rFonts w:cs="Arial"/>
          <w:szCs w:val="20"/>
          <w:shd w:val="clear" w:color="auto" w:fill="FFFFFF"/>
        </w:rPr>
        <w:t>dpadu podle druhu a kategorie a </w:t>
      </w:r>
      <w:r w:rsidRPr="00CD49DA">
        <w:rPr>
          <w:rFonts w:cs="Arial"/>
          <w:szCs w:val="20"/>
          <w:shd w:val="clear" w:color="auto" w:fill="FFFFFF"/>
        </w:rPr>
        <w:t>na nakládání s ním podle jeho skutečných vlastností),</w:t>
      </w:r>
    </w:p>
    <w:p w14:paraId="53989CE8" w14:textId="0A62FAA1" w:rsidR="00A003DA" w:rsidRPr="00102870" w:rsidRDefault="00A003DA" w:rsidP="000F48A1">
      <w:pPr>
        <w:numPr>
          <w:ilvl w:val="0"/>
          <w:numId w:val="12"/>
        </w:numPr>
        <w:jc w:val="both"/>
      </w:pPr>
      <w:r w:rsidRPr="00CD49DA">
        <w:rPr>
          <w:rFonts w:cs="Arial"/>
          <w:szCs w:val="18"/>
        </w:rPr>
        <w:t xml:space="preserve">připojení </w:t>
      </w:r>
      <w:r w:rsidRPr="00102870">
        <w:rPr>
          <w:rFonts w:cs="Arial"/>
          <w:szCs w:val="18"/>
        </w:rPr>
        <w:t>zařízení na potřebná media a zdroje energií,</w:t>
      </w:r>
    </w:p>
    <w:p w14:paraId="1235B3C1" w14:textId="25AB34A7" w:rsidR="008D2116" w:rsidRPr="00102870" w:rsidRDefault="008D2116" w:rsidP="000F48A1">
      <w:pPr>
        <w:numPr>
          <w:ilvl w:val="0"/>
          <w:numId w:val="12"/>
        </w:numPr>
        <w:jc w:val="both"/>
      </w:pPr>
      <w:r w:rsidRPr="00102870">
        <w:rPr>
          <w:rFonts w:cs="Arial"/>
          <w:szCs w:val="18"/>
        </w:rPr>
        <w:t>připojení zařízení k datovým sítím a komunikace s informačními systémy zadavatele,</w:t>
      </w:r>
      <w:r w:rsidR="00102870" w:rsidRPr="00102870">
        <w:rPr>
          <w:rFonts w:cs="Arial"/>
          <w:szCs w:val="18"/>
        </w:rPr>
        <w:t xml:space="preserve"> je-li požadováno,</w:t>
      </w:r>
    </w:p>
    <w:p w14:paraId="4CA7B535" w14:textId="3080A43B" w:rsidR="000F48A1" w:rsidRPr="00B10552" w:rsidRDefault="00A06CB0" w:rsidP="000F48A1">
      <w:pPr>
        <w:numPr>
          <w:ilvl w:val="0"/>
          <w:numId w:val="12"/>
        </w:numPr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2EFECA4D" w:rsidR="00443222" w:rsidRPr="00725758" w:rsidRDefault="006D616A" w:rsidP="00443222">
      <w:pPr>
        <w:numPr>
          <w:ilvl w:val="0"/>
          <w:numId w:val="12"/>
        </w:numPr>
        <w:jc w:val="both"/>
      </w:pPr>
      <w:r w:rsidRPr="00B10552">
        <w:t>ově</w:t>
      </w:r>
      <w:r w:rsidRPr="00725758">
        <w:t>řovací zkušební provoz,</w:t>
      </w:r>
    </w:p>
    <w:p w14:paraId="7FA3CB47" w14:textId="6746B8BA" w:rsidR="004A1A23" w:rsidRPr="00725758" w:rsidRDefault="004A1A23" w:rsidP="00443222">
      <w:pPr>
        <w:numPr>
          <w:ilvl w:val="0"/>
          <w:numId w:val="12"/>
        </w:numPr>
        <w:jc w:val="both"/>
      </w:pPr>
      <w:r w:rsidRPr="00725758">
        <w:rPr>
          <w:rFonts w:cs="Arial"/>
          <w:szCs w:val="18"/>
        </w:rPr>
        <w:t>revize el. bezpečnosti (u zařízení pevně připojených k el. rozvodu),</w:t>
      </w:r>
    </w:p>
    <w:p w14:paraId="48D261C0" w14:textId="404167E2" w:rsidR="008D2116" w:rsidRPr="00725758" w:rsidRDefault="000F48A1" w:rsidP="00725758">
      <w:pPr>
        <w:numPr>
          <w:ilvl w:val="0"/>
          <w:numId w:val="12"/>
        </w:numPr>
        <w:jc w:val="both"/>
      </w:pPr>
      <w:r w:rsidRPr="00725758">
        <w:t>pro</w:t>
      </w:r>
      <w:r w:rsidRPr="00B10552">
        <w:t>vádění preventivních bez</w:t>
      </w:r>
      <w:r w:rsidR="00FF32BA" w:rsidRPr="00B10552">
        <w:t>pečnostně technických kontrol (</w:t>
      </w:r>
      <w:r w:rsidRPr="00B10552">
        <w:t xml:space="preserve">BTK) dle zákona </w:t>
      </w:r>
      <w:r w:rsidRPr="00B10552">
        <w:br/>
      </w:r>
      <w:r w:rsidR="0001524D" w:rsidRPr="00B10552">
        <w:t xml:space="preserve">č. 375/2022 </w:t>
      </w:r>
      <w:r w:rsidR="00AC753E" w:rsidRPr="00B10552">
        <w:t>Sb.</w:t>
      </w:r>
      <w:r w:rsidRPr="00B10552">
        <w:t>,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B10552">
        <w:rPr>
          <w:rFonts w:cs="Arial"/>
          <w:szCs w:val="18"/>
        </w:rPr>
        <w:t xml:space="preserve">kontroly elektrické bezpečnosti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073D6BC8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725758">
        <w:rPr>
          <w:rFonts w:cs="Arial"/>
          <w:szCs w:val="20"/>
        </w:rPr>
        <w:t>S</w:t>
      </w:r>
      <w:r w:rsidR="007F58D0" w:rsidRPr="00725758">
        <w:rPr>
          <w:rFonts w:cs="Arial"/>
          <w:szCs w:val="20"/>
        </w:rPr>
        <w:t xml:space="preserve">oučástí </w:t>
      </w:r>
      <w:r w:rsidR="001C608F" w:rsidRPr="00725758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9B4A5EE" w:rsidR="00F967C0" w:rsidRPr="009538A9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lastRenderedPageBreak/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</w:t>
      </w:r>
      <w:r w:rsidRPr="009538A9">
        <w:rPr>
          <w:noProof/>
        </w:rPr>
        <w:t>seznámen. Zejména jsou z</w:t>
      </w:r>
      <w:r w:rsidR="00A50BCB" w:rsidRPr="009538A9">
        <w:rPr>
          <w:noProof/>
        </w:rPr>
        <w:t>a takovou dokumentaci považovány</w:t>
      </w:r>
      <w:r w:rsidRPr="009538A9">
        <w:rPr>
          <w:noProof/>
        </w:rPr>
        <w:t xml:space="preserve"> „</w:t>
      </w:r>
      <w:r w:rsidR="00A50BCB" w:rsidRPr="009538A9">
        <w:rPr>
          <w:rFonts w:cs="Arial"/>
          <w:iCs/>
          <w:szCs w:val="20"/>
          <w:lang w:eastAsia="en-US"/>
        </w:rPr>
        <w:t>Bezpečnostní požadavky pro zdravotnické prostředky</w:t>
      </w:r>
      <w:r w:rsidR="00A50BCB" w:rsidRPr="009538A9">
        <w:rPr>
          <w:noProof/>
        </w:rPr>
        <w:t>“, veřejně dostupné</w:t>
      </w:r>
      <w:r w:rsidRPr="009538A9">
        <w:rPr>
          <w:noProof/>
        </w:rPr>
        <w:t xml:space="preserve"> na oficiálních webových stránkách Kupujícího pod odkazem </w:t>
      </w:r>
      <w:hyperlink r:id="rId8" w:history="1">
        <w:r w:rsidR="00BC7BCF" w:rsidRPr="009538A9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9538A9">
        <w:rPr>
          <w:noProof/>
        </w:rPr>
        <w:t>.</w:t>
      </w:r>
    </w:p>
    <w:p w14:paraId="612EA9E8" w14:textId="4E57B979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9538A9">
        <w:rPr>
          <w:noProof/>
        </w:rPr>
        <w:t>Prodávající prohlašuje, že si t</w:t>
      </w:r>
      <w:r w:rsidR="00A50BCB" w:rsidRPr="009538A9">
        <w:rPr>
          <w:noProof/>
        </w:rPr>
        <w:t>y</w:t>
      </w:r>
      <w:r w:rsidRPr="009538A9">
        <w:rPr>
          <w:noProof/>
        </w:rPr>
        <w:t>to p</w:t>
      </w:r>
      <w:r w:rsidR="00A50BCB" w:rsidRPr="009538A9">
        <w:rPr>
          <w:noProof/>
        </w:rPr>
        <w:t>ožadavky</w:t>
      </w:r>
      <w:r w:rsidRPr="009538A9">
        <w:rPr>
          <w:noProof/>
        </w:rPr>
        <w:t xml:space="preserve"> před pod</w:t>
      </w:r>
      <w:r w:rsidRPr="00B10552">
        <w:rPr>
          <w:noProof/>
        </w:rPr>
        <w:t>pisem smlouvy přečetl.</w:t>
      </w:r>
    </w:p>
    <w:p w14:paraId="0CEC3BB7" w14:textId="172E2283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</w:t>
      </w:r>
      <w:r w:rsidR="00DB3486">
        <w:rPr>
          <w:bCs/>
          <w:iCs/>
        </w:rPr>
        <w:t>anými v této smlouvě, zejména v </w:t>
      </w:r>
      <w:r w:rsidRPr="00B10552">
        <w:rPr>
          <w:bCs/>
          <w:iCs/>
        </w:rPr>
        <w:t>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17AC3F74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bez DPH</w:t>
      </w:r>
      <w:r w:rsidR="00C7247D">
        <w:rPr>
          <w:b/>
        </w:rPr>
        <w:t>:</w:t>
      </w:r>
      <w:r w:rsidRPr="00B10552">
        <w:rPr>
          <w:b/>
        </w:rPr>
        <w:t xml:space="preserve"> </w:t>
      </w:r>
      <w:r w:rsidRPr="00B10552">
        <w:rPr>
          <w:b/>
        </w:rPr>
        <w:tab/>
      </w:r>
      <w:r w:rsidR="00C7247D">
        <w:rPr>
          <w:b/>
        </w:rPr>
        <w:t>2.529.800,-</w:t>
      </w:r>
      <w:r w:rsidRPr="00B10552">
        <w:rPr>
          <w:b/>
        </w:rPr>
        <w:t xml:space="preserve"> </w:t>
      </w:r>
      <w:r w:rsidR="00E03887" w:rsidRPr="00B10552">
        <w:rPr>
          <w:b/>
        </w:rPr>
        <w:t>Kč</w:t>
      </w:r>
    </w:p>
    <w:p w14:paraId="214A16CA" w14:textId="460B1577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</w:r>
      <w:proofErr w:type="gramStart"/>
      <w:r w:rsidRPr="00B10552">
        <w:rPr>
          <w:b/>
        </w:rPr>
        <w:t>DPH</w:t>
      </w:r>
      <w:r w:rsidR="00C7247D">
        <w:rPr>
          <w:b/>
        </w:rPr>
        <w:t>:</w:t>
      </w:r>
      <w:r w:rsidRPr="00B10552">
        <w:rPr>
          <w:b/>
        </w:rPr>
        <w:t xml:space="preserve">  </w:t>
      </w:r>
      <w:r w:rsidRPr="00B10552">
        <w:rPr>
          <w:b/>
        </w:rPr>
        <w:tab/>
      </w:r>
      <w:proofErr w:type="gramEnd"/>
      <w:r w:rsidR="00C7247D">
        <w:rPr>
          <w:b/>
        </w:rPr>
        <w:t xml:space="preserve">   531.258,- </w:t>
      </w:r>
      <w:r w:rsidRPr="00B10552">
        <w:rPr>
          <w:b/>
        </w:rPr>
        <w:t>Kč</w:t>
      </w:r>
    </w:p>
    <w:p w14:paraId="3258F5E3" w14:textId="32434548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="00C7247D">
        <w:rPr>
          <w:b/>
        </w:rPr>
        <w:t>:</w:t>
      </w:r>
      <w:r w:rsidRPr="00B10552">
        <w:rPr>
          <w:b/>
        </w:rPr>
        <w:tab/>
      </w:r>
      <w:r w:rsidR="00C7247D">
        <w:rPr>
          <w:b/>
        </w:rPr>
        <w:t>3.061.058,-</w:t>
      </w:r>
      <w:r w:rsidRPr="00B10552">
        <w:rPr>
          <w:b/>
        </w:rPr>
        <w:t xml:space="preserve">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B10552">
        <w:rPr>
          <w:b/>
        </w:rPr>
        <w:t>Kupní cena vč. DPH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ze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280EAE97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3486">
            <w:t>Obnova a modernizace pracovišť léčebné rehabilitační péče pro pacienty po kritických stavech ve FN Plzeň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B3486">
            <w:t>CZ.31.7.0/0.0/0.0/23_064/0008282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7F7D1253" w14:textId="2592F3E7" w:rsidR="00DB3486" w:rsidRPr="005C10B3" w:rsidRDefault="00DB3486" w:rsidP="00DB3486">
      <w:pPr>
        <w:numPr>
          <w:ilvl w:val="0"/>
          <w:numId w:val="36"/>
        </w:numPr>
        <w:tabs>
          <w:tab w:val="clear" w:pos="720"/>
        </w:tabs>
        <w:ind w:left="426" w:hanging="426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9538A9">
        <w:rPr>
          <w:b/>
        </w:rPr>
        <w:t xml:space="preserve">Kupujícímu </w:t>
      </w:r>
      <w:r w:rsidR="005068FB" w:rsidRPr="009538A9">
        <w:rPr>
          <w:b/>
        </w:rPr>
        <w:t>do 8</w:t>
      </w:r>
      <w:r w:rsidRPr="009538A9">
        <w:rPr>
          <w:b/>
        </w:rPr>
        <w:t xml:space="preserve"> týdnů</w:t>
      </w:r>
      <w:r w:rsidRPr="005C10B3">
        <w:rPr>
          <w:b/>
        </w:rPr>
        <w:t xml:space="preserve"> po uzavření této smlouvy</w:t>
      </w:r>
      <w:r w:rsidRPr="005C10B3">
        <w:t xml:space="preserve">. </w:t>
      </w:r>
    </w:p>
    <w:p w14:paraId="7C34EB71" w14:textId="77777777" w:rsidR="00DB3486" w:rsidRPr="003B5AA7" w:rsidRDefault="00DB3486" w:rsidP="00DB3486">
      <w:pPr>
        <w:ind w:left="426"/>
        <w:jc w:val="both"/>
      </w:pPr>
    </w:p>
    <w:p w14:paraId="15394078" w14:textId="77777777" w:rsidR="00DB3486" w:rsidRPr="003B5AA7" w:rsidRDefault="00DB3486" w:rsidP="00DB3486">
      <w:pPr>
        <w:numPr>
          <w:ilvl w:val="0"/>
          <w:numId w:val="36"/>
        </w:numPr>
        <w:ind w:left="426" w:hanging="426"/>
        <w:jc w:val="both"/>
      </w:pPr>
      <w:r w:rsidRPr="003B5AA7">
        <w:t>Prodávající v této době zajistí dodávku zboží včetně uvedení zařízení do provozu a provedení zkušebního provozu.</w:t>
      </w:r>
    </w:p>
    <w:p w14:paraId="506AFD28" w14:textId="77777777" w:rsidR="00DB3486" w:rsidRPr="003B5AA7" w:rsidRDefault="00DB3486" w:rsidP="00DB3486">
      <w:pPr>
        <w:pStyle w:val="Odstavecseseznamem"/>
      </w:pPr>
    </w:p>
    <w:p w14:paraId="337EBEE6" w14:textId="2C96C20C" w:rsidR="00DB3486" w:rsidRPr="00B429B0" w:rsidRDefault="00DB3486" w:rsidP="00DB3486">
      <w:pPr>
        <w:numPr>
          <w:ilvl w:val="0"/>
          <w:numId w:val="36"/>
        </w:numPr>
        <w:ind w:left="426" w:hanging="426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Pr="009538A9">
        <w:rPr>
          <w:b/>
          <w:highlight w:val="lightGray"/>
        </w:rPr>
        <w:t>alej Svobody 80, Plzeň – Lochotín</w:t>
      </w:r>
      <w:r w:rsidR="00F72736">
        <w:rPr>
          <w:b/>
          <w:highlight w:val="lightGray"/>
        </w:rPr>
        <w:t xml:space="preserve"> (1ks)</w:t>
      </w:r>
      <w:r w:rsidRPr="009538A9">
        <w:rPr>
          <w:highlight w:val="lightGray"/>
        </w:rPr>
        <w:t xml:space="preserve"> </w:t>
      </w:r>
      <w:r w:rsidR="00F72736" w:rsidRPr="00F72736">
        <w:rPr>
          <w:b/>
          <w:highlight w:val="lightGray"/>
        </w:rPr>
        <w:t>a</w:t>
      </w:r>
      <w:r w:rsidR="00F72736">
        <w:rPr>
          <w:highlight w:val="lightGray"/>
        </w:rPr>
        <w:t xml:space="preserve"> </w:t>
      </w:r>
      <w:r w:rsidRPr="009538A9">
        <w:rPr>
          <w:b/>
          <w:highlight w:val="lightGray"/>
        </w:rPr>
        <w:t>Edvarda Beneše 13, Plzeň – Bory</w:t>
      </w:r>
      <w:r w:rsidR="00F72736">
        <w:rPr>
          <w:b/>
          <w:highlight w:val="lightGray"/>
        </w:rPr>
        <w:t xml:space="preserve"> (1ks)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06E4F74" w14:textId="77777777" w:rsidR="00DB3486" w:rsidRPr="00B429B0" w:rsidRDefault="00DB3486" w:rsidP="00DB3486">
      <w:pPr>
        <w:pStyle w:val="Odstavecseseznamem"/>
        <w:ind w:left="426" w:hanging="426"/>
      </w:pPr>
    </w:p>
    <w:p w14:paraId="38DBACD4" w14:textId="32F71081" w:rsidR="008D2116" w:rsidRPr="00B10552" w:rsidRDefault="00DB3486" w:rsidP="00DB3486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="008D2116" w:rsidRPr="00B10552">
        <w:t>.</w:t>
      </w: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9538A9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</w:t>
      </w:r>
      <w:r w:rsidR="001B6953" w:rsidRPr="009538A9">
        <w:t>plnění</w:t>
      </w:r>
      <w:r w:rsidRPr="009538A9">
        <w:t xml:space="preserve">. Kontaktní osobou za </w:t>
      </w:r>
      <w:r w:rsidR="001B6953" w:rsidRPr="009538A9">
        <w:t>K</w:t>
      </w:r>
      <w:r w:rsidRPr="009538A9">
        <w:t>upujícího je:</w:t>
      </w:r>
    </w:p>
    <w:p w14:paraId="4306F6A3" w14:textId="09F2A900" w:rsidR="003145AB" w:rsidRPr="00B10552" w:rsidRDefault="009C2797" w:rsidP="0025792E">
      <w:pPr>
        <w:spacing w:before="120"/>
        <w:ind w:left="426"/>
        <w:jc w:val="both"/>
      </w:pPr>
      <w:bookmarkStart w:id="2" w:name="_Hlk86222885"/>
      <w:r>
        <w:rPr>
          <w:b/>
        </w:rPr>
        <w:t>XXX</w:t>
      </w:r>
      <w:r w:rsidR="00DB1BA0" w:rsidRPr="009538A9">
        <w:rPr>
          <w:b/>
        </w:rPr>
        <w:t xml:space="preserve">, Oddělení </w:t>
      </w:r>
      <w:r w:rsidR="00725758" w:rsidRPr="009538A9">
        <w:rPr>
          <w:b/>
        </w:rPr>
        <w:t>biomedicínského inženýrství</w:t>
      </w:r>
      <w:r w:rsidR="00DB4D54" w:rsidRPr="009538A9">
        <w:rPr>
          <w:b/>
        </w:rPr>
        <w:t xml:space="preserve"> </w:t>
      </w:r>
      <w:r w:rsidR="008B6BA4" w:rsidRPr="009538A9">
        <w:rPr>
          <w:b/>
        </w:rPr>
        <w:t>–</w:t>
      </w:r>
      <w:r w:rsidR="00DB4D54" w:rsidRPr="009538A9">
        <w:rPr>
          <w:b/>
        </w:rPr>
        <w:t xml:space="preserve"> OTO</w:t>
      </w:r>
      <w:r w:rsidR="00DB1BA0" w:rsidRPr="009538A9">
        <w:rPr>
          <w:b/>
        </w:rPr>
        <w:t xml:space="preserve">, tel. </w:t>
      </w:r>
      <w:r>
        <w:rPr>
          <w:b/>
        </w:rPr>
        <w:t>XXX</w:t>
      </w:r>
      <w:r w:rsidR="00DB1BA0" w:rsidRPr="009538A9">
        <w:rPr>
          <w:b/>
        </w:rPr>
        <w:t xml:space="preserve">, </w:t>
      </w:r>
      <w:bookmarkEnd w:id="2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59AE3D54" w:rsidR="007212F9" w:rsidRDefault="00FF32BA" w:rsidP="00B02E61">
      <w:pPr>
        <w:spacing w:before="80"/>
        <w:ind w:left="425"/>
        <w:jc w:val="both"/>
      </w:pPr>
      <w:r w:rsidRPr="00B10552">
        <w:lastRenderedPageBreak/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</w:t>
      </w:r>
      <w:r w:rsidR="005E311B" w:rsidRPr="00B10552">
        <w:t xml:space="preserve">zkoušky dlouhodobé stability zdrojů ionizujícího záření, </w:t>
      </w:r>
      <w:r w:rsidR="003D0D7B" w:rsidRPr="00B10552">
        <w:t>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0C73971C" w14:textId="246DACF6" w:rsidR="00262DEB" w:rsidRPr="00B10552" w:rsidRDefault="00262DEB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 w:rsidR="000F6340"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9854AE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</w:t>
      </w:r>
      <w:r w:rsidR="004F30A5" w:rsidRPr="009854AE">
        <w:t>době je P</w:t>
      </w:r>
      <w:r w:rsidRPr="009854AE">
        <w:t>rodávající povinen vady</w:t>
      </w:r>
      <w:r w:rsidR="004F30A5" w:rsidRPr="009854AE">
        <w:t xml:space="preserve"> vzniklé</w:t>
      </w:r>
      <w:r w:rsidRPr="009854AE">
        <w:t xml:space="preserve"> na </w:t>
      </w:r>
      <w:r w:rsidR="00AA75F0" w:rsidRPr="009854AE">
        <w:t>předmětu</w:t>
      </w:r>
      <w:r w:rsidR="004F30A5" w:rsidRPr="009854AE">
        <w:t xml:space="preserve"> plnění</w:t>
      </w:r>
      <w:r w:rsidRPr="009854AE">
        <w:t xml:space="preserve"> odstranit bez zbytečného prodlení, tzn.:</w:t>
      </w:r>
    </w:p>
    <w:p w14:paraId="385A1E4E" w14:textId="005C6792" w:rsidR="00D8712B" w:rsidRPr="009854AE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reakční</w:t>
      </w:r>
      <w:r w:rsidRPr="009854AE">
        <w:rPr>
          <w:b/>
          <w:bCs/>
          <w:iCs/>
        </w:rPr>
        <w:t xml:space="preserve"> dobou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8519BE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602B98" w:rsidRPr="009854AE">
        <w:rPr>
          <w:b/>
          <w:bCs/>
          <w:iCs/>
        </w:rPr>
        <w:t xml:space="preserve"> </w:t>
      </w:r>
      <w:r w:rsidR="0009317F" w:rsidRPr="009854AE">
        <w:rPr>
          <w:b/>
          <w:bCs/>
          <w:iCs/>
        </w:rPr>
        <w:t>hodin</w:t>
      </w:r>
      <w:r w:rsidR="0009317F" w:rsidRPr="009854AE">
        <w:rPr>
          <w:bCs/>
          <w:iCs/>
        </w:rPr>
        <w:t xml:space="preserve"> </w:t>
      </w:r>
    </w:p>
    <w:p w14:paraId="74495DBD" w14:textId="244C562F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bez dodávky náhradního dílu</w:t>
      </w:r>
      <w:r w:rsidRPr="009854AE">
        <w:rPr>
          <w:b/>
          <w:bCs/>
          <w:iCs/>
        </w:rPr>
        <w:tab/>
      </w:r>
      <w:r w:rsidR="00922679" w:rsidRPr="009854AE">
        <w:rPr>
          <w:b/>
          <w:bCs/>
          <w:iCs/>
        </w:rPr>
        <w:t xml:space="preserve">do </w:t>
      </w:r>
      <w:r w:rsidR="00010753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09317F" w:rsidRPr="009854AE">
        <w:rPr>
          <w:b/>
          <w:bCs/>
          <w:iCs/>
        </w:rPr>
        <w:t xml:space="preserve"> hodin </w:t>
      </w:r>
    </w:p>
    <w:p w14:paraId="3D9E1FD6" w14:textId="3E59F550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>s 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s dodáním náhradního dílu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922679" w:rsidRPr="009854AE">
        <w:rPr>
          <w:b/>
          <w:bCs/>
          <w:iCs/>
        </w:rPr>
        <w:t>120</w:t>
      </w:r>
      <w:r w:rsidR="0009317F" w:rsidRPr="009854AE">
        <w:rPr>
          <w:b/>
          <w:bCs/>
          <w:iCs/>
        </w:rPr>
        <w:t xml:space="preserve"> hodin</w:t>
      </w:r>
    </w:p>
    <w:p w14:paraId="7638181A" w14:textId="77777777" w:rsidR="00D8712B" w:rsidRPr="009854AE" w:rsidRDefault="00D8712B" w:rsidP="00B02E61">
      <w:pPr>
        <w:spacing w:before="80"/>
        <w:ind w:left="426"/>
        <w:jc w:val="both"/>
        <w:rPr>
          <w:noProof/>
        </w:rPr>
      </w:pPr>
      <w:r w:rsidRPr="009854AE">
        <w:rPr>
          <w:noProof/>
        </w:rPr>
        <w:t xml:space="preserve">přičemž se </w:t>
      </w:r>
      <w:r w:rsidRPr="009854AE">
        <w:rPr>
          <w:bCs/>
          <w:iCs/>
        </w:rPr>
        <w:t>rozumí</w:t>
      </w:r>
      <w:r w:rsidRPr="009854AE">
        <w:rPr>
          <w:noProof/>
        </w:rPr>
        <w:t>:</w:t>
      </w:r>
    </w:p>
    <w:p w14:paraId="61018299" w14:textId="10411BBD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reakční dobou</w:t>
      </w:r>
      <w:r w:rsidRPr="009854AE">
        <w:rPr>
          <w:noProof/>
        </w:rPr>
        <w:t xml:space="preserve"> – doba od nahlášení závady </w:t>
      </w:r>
      <w:r w:rsidR="0085230A" w:rsidRPr="009854AE">
        <w:rPr>
          <w:noProof/>
        </w:rPr>
        <w:t>Kupujícím</w:t>
      </w:r>
      <w:r w:rsidRPr="009854AE">
        <w:rPr>
          <w:noProof/>
        </w:rPr>
        <w:t xml:space="preserve"> do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 její analýze a odstranění na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>.</w:t>
      </w:r>
    </w:p>
    <w:p w14:paraId="11FC09D1" w14:textId="3DEA29FB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dobou odstranění závady</w:t>
      </w:r>
      <w:r w:rsidRPr="009854AE">
        <w:rPr>
          <w:noProof/>
        </w:rPr>
        <w:t xml:space="preserve"> – doba od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 analýze závady do jejího odstranění a uvedení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 xml:space="preserve"> do provozu.</w:t>
      </w:r>
    </w:p>
    <w:p w14:paraId="66AB2F35" w14:textId="0AA36603" w:rsidR="00BE5B28" w:rsidRPr="009854AE" w:rsidRDefault="00D8712B" w:rsidP="00BE5B28">
      <w:pPr>
        <w:spacing w:before="120"/>
        <w:ind w:left="426"/>
        <w:jc w:val="both"/>
        <w:rPr>
          <w:bCs/>
          <w:iCs/>
        </w:rPr>
      </w:pPr>
      <w:r w:rsidRPr="009854AE">
        <w:rPr>
          <w:bCs/>
          <w:iCs/>
        </w:rPr>
        <w:t>Do plnění doby se započítávají</w:t>
      </w:r>
      <w:r w:rsidR="00BF5E6F" w:rsidRPr="009854AE">
        <w:rPr>
          <w:bCs/>
          <w:iCs/>
        </w:rPr>
        <w:t xml:space="preserve"> jen</w:t>
      </w:r>
      <w:r w:rsidRPr="009854AE">
        <w:rPr>
          <w:bCs/>
          <w:iCs/>
        </w:rPr>
        <w:t xml:space="preserve"> pracovní dny. </w:t>
      </w:r>
      <w:r w:rsidR="00BE5B28" w:rsidRPr="009854AE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9854AE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10BFD9C" w14:textId="7842D886" w:rsidR="00371E70" w:rsidRPr="00B10552" w:rsidRDefault="00371E70" w:rsidP="009854AE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Prodávajícího s předáním předmětu plnění sjednávají smluvní strany poplatek z prodlení ve výši </w:t>
      </w:r>
      <w:r>
        <w:t xml:space="preserve">dle celkové hodnoty plnění této smlouvy. Pokud je celková hodnota plnění této smlouvy maximálně 2.000.000 Kč </w:t>
      </w:r>
      <w:r w:rsidR="00E578E5">
        <w:t>včetně</w:t>
      </w:r>
      <w:r>
        <w:t xml:space="preserve"> DPH, činí poplatek z prodlení 2.000 Kč </w:t>
      </w:r>
      <w:r w:rsidRPr="00B10552">
        <w:t>za každý den trvání prodlení.</w:t>
      </w:r>
      <w:r>
        <w:t xml:space="preserve"> Pokud je celková hodnota této smlouvy vyšší než 2.000.000 Kč včetně DPH, činí poplatek z prodlení 4.000 Kč</w:t>
      </w:r>
      <w:r w:rsidR="00E578E5" w:rsidRPr="00E578E5">
        <w:t xml:space="preserve"> </w:t>
      </w:r>
      <w:r w:rsidR="00E578E5" w:rsidRPr="00B10552">
        <w:t>za každý den trvání prodlení</w:t>
      </w:r>
      <w:r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2E4D645B" w:rsidR="005955EF" w:rsidRPr="00B10552" w:rsidRDefault="00C7247D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6C0D97">
        <w:rPr>
          <w:rFonts w:cs="Arial"/>
        </w:rPr>
      </w:r>
      <w:r w:rsidR="006C0D97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B10552">
        <w:rPr>
          <w:rFonts w:cs="Arial"/>
        </w:rPr>
        <w:t xml:space="preserve"> jsou uchovávány osobní údaje a údaje zvláštní kategorie pacientů.</w:t>
      </w:r>
    </w:p>
    <w:p w14:paraId="26520663" w14:textId="55EA74C1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C7247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7247D">
        <w:rPr>
          <w:rFonts w:cs="Arial"/>
        </w:rPr>
        <w:instrText xml:space="preserve"> FORMCHECKBOX </w:instrText>
      </w:r>
      <w:r w:rsidR="006C0D97">
        <w:rPr>
          <w:rFonts w:cs="Arial"/>
        </w:rPr>
      </w:r>
      <w:r w:rsidR="006C0D97">
        <w:rPr>
          <w:rFonts w:cs="Arial"/>
        </w:rPr>
        <w:fldChar w:fldCharType="separate"/>
      </w:r>
      <w:r w:rsidR="00C7247D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3607B4D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C7247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7247D">
        <w:rPr>
          <w:rFonts w:cs="Arial"/>
        </w:rPr>
        <w:instrText xml:space="preserve"> FORMCHECKBOX </w:instrText>
      </w:r>
      <w:r w:rsidR="006C0D97">
        <w:rPr>
          <w:rFonts w:cs="Arial"/>
        </w:rPr>
      </w:r>
      <w:r w:rsidR="006C0D97">
        <w:rPr>
          <w:rFonts w:cs="Arial"/>
        </w:rPr>
        <w:fldChar w:fldCharType="separate"/>
      </w:r>
      <w:r w:rsidR="00C7247D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6C0D97">
        <w:rPr>
          <w:rFonts w:cs="Arial"/>
        </w:rPr>
      </w:r>
      <w:r w:rsidR="006C0D97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77777777" w:rsidR="005955EF" w:rsidRPr="00B10552" w:rsidRDefault="00920DD1" w:rsidP="00B02E61">
      <w:pPr>
        <w:tabs>
          <w:tab w:val="left" w:pos="426"/>
        </w:tabs>
        <w:spacing w:before="120"/>
        <w:ind w:left="425"/>
        <w:jc w:val="both"/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6C0D97">
        <w:rPr>
          <w:rFonts w:cs="Arial"/>
        </w:rPr>
      </w:r>
      <w:r w:rsidR="006C0D97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lastRenderedPageBreak/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3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3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B10552" w14:paraId="1FA0A649" w14:textId="77777777" w:rsidTr="0067787B">
        <w:tc>
          <w:tcPr>
            <w:tcW w:w="675" w:type="dxa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</w:tcPr>
          <w:p w14:paraId="4BA3777E" w14:textId="77777777" w:rsidR="00542DF9" w:rsidRPr="00B10552" w:rsidRDefault="00542DF9" w:rsidP="00AA0ED3"/>
        </w:tc>
        <w:tc>
          <w:tcPr>
            <w:tcW w:w="639" w:type="dxa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</w:tcPr>
          <w:p w14:paraId="06199CCA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14C24AA" w14:textId="77777777" w:rsidR="00B2454D" w:rsidRPr="00B10552" w:rsidRDefault="00B2454D" w:rsidP="001525B1"/>
        </w:tc>
        <w:tc>
          <w:tcPr>
            <w:tcW w:w="4424" w:type="dxa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450C866C" w14:textId="449E99B9" w:rsidR="00B2454D" w:rsidRPr="00B10552" w:rsidRDefault="00C7247D" w:rsidP="001525B1">
            <w:pPr>
              <w:jc w:val="center"/>
            </w:pPr>
            <w:r>
              <w:t>Ing. Ondřej Podloucký</w:t>
            </w:r>
          </w:p>
          <w:p w14:paraId="0C8DA518" w14:textId="4E21F56B" w:rsidR="00B2454D" w:rsidRPr="00B10552" w:rsidRDefault="00C7247D" w:rsidP="001525B1">
            <w:pPr>
              <w:jc w:val="center"/>
            </w:pPr>
            <w:r>
              <w:t>prokurista EMS, s.r.o.</w:t>
            </w: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0CC02A12" w14:textId="77777777" w:rsidR="00C7247D" w:rsidRPr="00C7247D" w:rsidRDefault="00C7247D" w:rsidP="00C7247D">
      <w:pPr>
        <w:pStyle w:val="Nadpis2"/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</w:pPr>
      <w:r w:rsidRPr="00C7247D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  <w:t xml:space="preserve">2 ks LOGIQ </w:t>
      </w:r>
      <w:proofErr w:type="spellStart"/>
      <w:r w:rsidRPr="00C7247D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  <w:t>Totus</w:t>
      </w:r>
      <w:proofErr w:type="spellEnd"/>
      <w:r w:rsidRPr="00C7247D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  <w:t xml:space="preserve"> s 23.8“ </w:t>
      </w:r>
      <w:proofErr w:type="spellStart"/>
      <w:r w:rsidRPr="00C7247D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  <w:t>wide-screen</w:t>
      </w:r>
      <w:proofErr w:type="spellEnd"/>
      <w:r w:rsidRPr="00C7247D">
        <w:rPr>
          <w:rFonts w:ascii="Arial" w:eastAsia="Times New Roman" w:hAnsi="Arial" w:cs="Arial"/>
          <w:b/>
          <w:bCs/>
          <w:color w:val="0000FF"/>
          <w:sz w:val="20"/>
          <w:szCs w:val="20"/>
          <w:lang w:eastAsia="en-US"/>
        </w:rPr>
        <w:t xml:space="preserve"> HD monitorem </w:t>
      </w:r>
    </w:p>
    <w:p w14:paraId="431AB61A" w14:textId="52BBDEEA" w:rsidR="00C7247D" w:rsidRDefault="00C7247D" w:rsidP="00C7247D">
      <w:pPr>
        <w:pStyle w:val="Seznamsodrkami"/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 w:rsidRPr="00C7247D">
        <w:rPr>
          <w:rFonts w:ascii="Arial" w:hAnsi="Arial" w:cs="Arial"/>
        </w:rPr>
        <w:t xml:space="preserve">ultrazvukový systém nejvyšší třídy – výkonný, plně digitální ultrazvukový systém založený na revoluční architektuře </w:t>
      </w:r>
      <w:proofErr w:type="spellStart"/>
      <w:r w:rsidRPr="00C7247D">
        <w:rPr>
          <w:rFonts w:ascii="Arial" w:hAnsi="Arial" w:cs="Arial"/>
        </w:rPr>
        <w:t>cSound</w:t>
      </w:r>
      <w:proofErr w:type="spellEnd"/>
      <w:r w:rsidRPr="00C7247D">
        <w:rPr>
          <w:rFonts w:ascii="Arial" w:hAnsi="Arial" w:cs="Arial"/>
        </w:rPr>
        <w:t xml:space="preserve">™ </w:t>
      </w:r>
      <w:proofErr w:type="spellStart"/>
      <w:r w:rsidRPr="00C7247D">
        <w:rPr>
          <w:rFonts w:ascii="Arial" w:hAnsi="Arial" w:cs="Arial"/>
        </w:rPr>
        <w:t>Imageformer</w:t>
      </w:r>
      <w:proofErr w:type="spellEnd"/>
      <w:r w:rsidRPr="00C7247D">
        <w:rPr>
          <w:rFonts w:ascii="Arial" w:hAnsi="Arial" w:cs="Arial"/>
        </w:rPr>
        <w:t>. Včetně SW a příslušenství dle zadávací dokumentace</w:t>
      </w:r>
      <w:r w:rsidR="002746D7">
        <w:rPr>
          <w:rFonts w:ascii="Arial" w:hAnsi="Arial" w:cs="Arial"/>
        </w:rPr>
        <w:t>:</w:t>
      </w:r>
    </w:p>
    <w:p w14:paraId="44D59655" w14:textId="77777777" w:rsidR="002746D7" w:rsidRPr="002746D7" w:rsidRDefault="002746D7" w:rsidP="002746D7">
      <w:pPr>
        <w:pStyle w:val="nzevpoloky"/>
        <w:ind w:left="283"/>
        <w:rPr>
          <w:rFonts w:ascii="Arial" w:hAnsi="Arial" w:cs="Arial"/>
          <w:bCs w:val="0"/>
          <w:color w:val="0000FF"/>
          <w:sz w:val="20"/>
          <w:szCs w:val="18"/>
          <w:lang w:val="cs-CZ"/>
        </w:rPr>
      </w:pPr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2 ks B-</w:t>
      </w:r>
      <w:proofErr w:type="spellStart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Flow</w:t>
      </w:r>
      <w:proofErr w:type="spellEnd"/>
    </w:p>
    <w:p w14:paraId="50F50AD4" w14:textId="77777777" w:rsidR="002746D7" w:rsidRPr="002746D7" w:rsidRDefault="002746D7" w:rsidP="002746D7">
      <w:pPr>
        <w:pStyle w:val="Seznamsodrkami"/>
        <w:widowControl/>
        <w:numPr>
          <w:ilvl w:val="0"/>
          <w:numId w:val="48"/>
        </w:numPr>
        <w:ind w:left="566"/>
        <w:jc w:val="both"/>
        <w:rPr>
          <w:rFonts w:ascii="Arial" w:hAnsi="Arial" w:cs="Arial"/>
        </w:rPr>
      </w:pPr>
      <w:r w:rsidRPr="002746D7">
        <w:rPr>
          <w:rFonts w:ascii="Arial" w:hAnsi="Arial" w:cs="Arial"/>
        </w:rPr>
        <w:t xml:space="preserve">umožňuje </w:t>
      </w:r>
      <w:proofErr w:type="spellStart"/>
      <w:r w:rsidRPr="002746D7">
        <w:rPr>
          <w:rFonts w:ascii="Arial" w:hAnsi="Arial" w:cs="Arial"/>
        </w:rPr>
        <w:t>nedoplerovské</w:t>
      </w:r>
      <w:proofErr w:type="spellEnd"/>
      <w:r w:rsidRPr="002746D7">
        <w:rPr>
          <w:rFonts w:ascii="Arial" w:hAnsi="Arial" w:cs="Arial"/>
        </w:rPr>
        <w:t xml:space="preserve">, </w:t>
      </w:r>
      <w:proofErr w:type="spellStart"/>
      <w:r w:rsidRPr="002746D7">
        <w:rPr>
          <w:rFonts w:ascii="Arial" w:hAnsi="Arial" w:cs="Arial"/>
        </w:rPr>
        <w:t>real-time</w:t>
      </w:r>
      <w:proofErr w:type="spellEnd"/>
      <w:r w:rsidRPr="002746D7">
        <w:rPr>
          <w:rFonts w:ascii="Arial" w:hAnsi="Arial" w:cs="Arial"/>
        </w:rPr>
        <w:t xml:space="preserve"> zobrazení krevního toku bez překrytí stěny cévy (tzv. „</w:t>
      </w:r>
      <w:proofErr w:type="spellStart"/>
      <w:r w:rsidRPr="002746D7">
        <w:rPr>
          <w:rFonts w:ascii="Arial" w:hAnsi="Arial" w:cs="Arial"/>
        </w:rPr>
        <w:t>vessel</w:t>
      </w:r>
      <w:proofErr w:type="spellEnd"/>
      <w:r w:rsidRPr="002746D7">
        <w:rPr>
          <w:rFonts w:ascii="Arial" w:hAnsi="Arial" w:cs="Arial"/>
        </w:rPr>
        <w:t xml:space="preserve"> </w:t>
      </w:r>
      <w:proofErr w:type="spellStart"/>
      <w:r w:rsidRPr="002746D7">
        <w:rPr>
          <w:rFonts w:ascii="Arial" w:hAnsi="Arial" w:cs="Arial"/>
        </w:rPr>
        <w:t>wall</w:t>
      </w:r>
      <w:proofErr w:type="spellEnd"/>
      <w:r w:rsidRPr="002746D7">
        <w:rPr>
          <w:rFonts w:ascii="Arial" w:hAnsi="Arial" w:cs="Arial"/>
        </w:rPr>
        <w:t xml:space="preserve"> </w:t>
      </w:r>
      <w:proofErr w:type="spellStart"/>
      <w:r w:rsidRPr="002746D7">
        <w:rPr>
          <w:rFonts w:ascii="Arial" w:hAnsi="Arial" w:cs="Arial"/>
        </w:rPr>
        <w:t>overlap</w:t>
      </w:r>
      <w:proofErr w:type="spellEnd"/>
      <w:r w:rsidRPr="002746D7">
        <w:rPr>
          <w:rFonts w:ascii="Arial" w:hAnsi="Arial" w:cs="Arial"/>
        </w:rPr>
        <w:t xml:space="preserve">“) </w:t>
      </w:r>
    </w:p>
    <w:p w14:paraId="63AD3996" w14:textId="77777777" w:rsidR="002746D7" w:rsidRPr="002746D7" w:rsidRDefault="002746D7" w:rsidP="002746D7">
      <w:pPr>
        <w:pStyle w:val="nzevpoloky"/>
        <w:ind w:left="283"/>
        <w:rPr>
          <w:rFonts w:ascii="Arial" w:hAnsi="Arial" w:cs="Arial"/>
          <w:bCs w:val="0"/>
          <w:color w:val="0000FF"/>
          <w:sz w:val="20"/>
          <w:szCs w:val="18"/>
          <w:lang w:val="cs-CZ"/>
        </w:rPr>
      </w:pPr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2 ks B-</w:t>
      </w:r>
      <w:proofErr w:type="spellStart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Steer</w:t>
      </w:r>
      <w:proofErr w:type="spellEnd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+</w:t>
      </w:r>
    </w:p>
    <w:p w14:paraId="07870FC7" w14:textId="77777777" w:rsidR="002746D7" w:rsidRPr="002746D7" w:rsidRDefault="002746D7" w:rsidP="002746D7">
      <w:pPr>
        <w:pStyle w:val="Seznamsodrkami"/>
        <w:widowControl/>
        <w:numPr>
          <w:ilvl w:val="0"/>
          <w:numId w:val="48"/>
        </w:numPr>
        <w:ind w:left="566"/>
        <w:jc w:val="both"/>
        <w:rPr>
          <w:rFonts w:ascii="Arial" w:hAnsi="Arial" w:cs="Arial"/>
        </w:rPr>
      </w:pPr>
      <w:r w:rsidRPr="002746D7">
        <w:rPr>
          <w:rFonts w:ascii="Arial" w:hAnsi="Arial" w:cs="Arial"/>
        </w:rPr>
        <w:t>vylepšené zobrazení jehly při intervenčních zákrocích</w:t>
      </w:r>
    </w:p>
    <w:p w14:paraId="6375086D" w14:textId="77777777" w:rsidR="002746D7" w:rsidRPr="002746D7" w:rsidRDefault="002746D7" w:rsidP="002746D7">
      <w:pPr>
        <w:pStyle w:val="nzevpoloky"/>
        <w:ind w:left="283"/>
        <w:rPr>
          <w:rFonts w:ascii="Arial" w:hAnsi="Arial" w:cs="Arial"/>
          <w:bCs w:val="0"/>
          <w:color w:val="0000FF"/>
          <w:sz w:val="20"/>
          <w:szCs w:val="18"/>
          <w:lang w:val="cs-CZ"/>
        </w:rPr>
      </w:pPr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 xml:space="preserve">2 ks </w:t>
      </w:r>
      <w:proofErr w:type="spellStart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Battery</w:t>
      </w:r>
      <w:proofErr w:type="spellEnd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 xml:space="preserve"> </w:t>
      </w:r>
      <w:proofErr w:type="spellStart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Pack</w:t>
      </w:r>
      <w:proofErr w:type="spellEnd"/>
    </w:p>
    <w:p w14:paraId="1BD13436" w14:textId="77777777" w:rsidR="002746D7" w:rsidRPr="002746D7" w:rsidRDefault="002746D7" w:rsidP="002746D7">
      <w:pPr>
        <w:pStyle w:val="Seznamsodrkami"/>
        <w:widowControl/>
        <w:numPr>
          <w:ilvl w:val="0"/>
          <w:numId w:val="48"/>
        </w:numPr>
        <w:ind w:left="566"/>
        <w:jc w:val="both"/>
        <w:rPr>
          <w:rFonts w:ascii="Arial" w:hAnsi="Arial" w:cs="Arial"/>
        </w:rPr>
      </w:pPr>
      <w:r w:rsidRPr="002746D7">
        <w:rPr>
          <w:rFonts w:ascii="Arial" w:hAnsi="Arial" w:cs="Arial"/>
        </w:rPr>
        <w:t xml:space="preserve">integrovaná baterie, která umožní provoz systému po dobu 60 min. od dopojení přístroje z el. sítě </w:t>
      </w:r>
    </w:p>
    <w:p w14:paraId="43CCC3B3" w14:textId="77777777" w:rsidR="002746D7" w:rsidRPr="002746D7" w:rsidRDefault="002746D7" w:rsidP="002746D7">
      <w:pPr>
        <w:pStyle w:val="nzevpoloky"/>
        <w:ind w:left="283"/>
        <w:rPr>
          <w:rFonts w:ascii="Arial" w:hAnsi="Arial" w:cs="Arial"/>
          <w:bCs w:val="0"/>
          <w:color w:val="0000FF"/>
          <w:sz w:val="20"/>
          <w:szCs w:val="18"/>
          <w:lang w:val="cs-CZ"/>
        </w:rPr>
      </w:pPr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 xml:space="preserve">2 ks BW </w:t>
      </w:r>
      <w:proofErr w:type="spellStart"/>
      <w:r w:rsidRPr="002746D7">
        <w:rPr>
          <w:rFonts w:ascii="Arial" w:hAnsi="Arial" w:cs="Arial"/>
          <w:bCs w:val="0"/>
          <w:color w:val="0000FF"/>
          <w:sz w:val="20"/>
          <w:szCs w:val="18"/>
          <w:lang w:val="cs-CZ"/>
        </w:rPr>
        <w:t>printer</w:t>
      </w:r>
      <w:proofErr w:type="spellEnd"/>
    </w:p>
    <w:p w14:paraId="217C79D4" w14:textId="77777777" w:rsidR="002746D7" w:rsidRPr="002746D7" w:rsidRDefault="002746D7" w:rsidP="002746D7">
      <w:pPr>
        <w:pStyle w:val="Seznamsodrkami"/>
        <w:widowControl/>
        <w:numPr>
          <w:ilvl w:val="0"/>
          <w:numId w:val="48"/>
        </w:numPr>
        <w:ind w:left="566"/>
        <w:jc w:val="both"/>
        <w:rPr>
          <w:rFonts w:ascii="Arial" w:hAnsi="Arial" w:cs="Arial"/>
        </w:rPr>
      </w:pPr>
      <w:r w:rsidRPr="002746D7">
        <w:rPr>
          <w:rFonts w:ascii="Arial" w:hAnsi="Arial" w:cs="Arial"/>
        </w:rPr>
        <w:t>černobílá termotiskárna</w:t>
      </w:r>
    </w:p>
    <w:p w14:paraId="3F5A7EA6" w14:textId="77777777" w:rsidR="002746D7" w:rsidRPr="002746D7" w:rsidRDefault="002746D7" w:rsidP="002746D7">
      <w:pPr>
        <w:pStyle w:val="Seznamsodrkami"/>
        <w:widowControl/>
        <w:ind w:left="566"/>
        <w:jc w:val="both"/>
        <w:rPr>
          <w:rFonts w:ascii="Arial" w:hAnsi="Arial" w:cs="Arial"/>
        </w:rPr>
      </w:pPr>
    </w:p>
    <w:p w14:paraId="0DB98ED5" w14:textId="77777777" w:rsidR="002746D7" w:rsidRPr="002746D7" w:rsidRDefault="002746D7" w:rsidP="002746D7">
      <w:pPr>
        <w:pStyle w:val="Seznamsodrkami"/>
        <w:widowControl/>
        <w:ind w:left="566"/>
        <w:jc w:val="both"/>
        <w:rPr>
          <w:rFonts w:ascii="Arial" w:hAnsi="Arial" w:cs="Arial"/>
          <w:b/>
          <w:color w:val="0000FF"/>
          <w:szCs w:val="18"/>
          <w:lang w:eastAsia="en-US"/>
        </w:rPr>
      </w:pPr>
      <w:r w:rsidRPr="002746D7">
        <w:rPr>
          <w:rFonts w:ascii="Arial" w:hAnsi="Arial" w:cs="Arial"/>
          <w:b/>
          <w:color w:val="0000FF"/>
          <w:szCs w:val="18"/>
          <w:lang w:eastAsia="en-US"/>
        </w:rPr>
        <w:t xml:space="preserve">2 ks Liver </w:t>
      </w:r>
      <w:proofErr w:type="spellStart"/>
      <w:r w:rsidRPr="002746D7">
        <w:rPr>
          <w:rFonts w:ascii="Arial" w:hAnsi="Arial" w:cs="Arial"/>
          <w:b/>
          <w:color w:val="0000FF"/>
          <w:szCs w:val="18"/>
          <w:lang w:eastAsia="en-US"/>
        </w:rPr>
        <w:t>Package</w:t>
      </w:r>
      <w:proofErr w:type="spellEnd"/>
    </w:p>
    <w:p w14:paraId="6381DD73" w14:textId="7900489A" w:rsidR="002746D7" w:rsidRPr="002746D7" w:rsidRDefault="002746D7" w:rsidP="002746D7">
      <w:pPr>
        <w:pStyle w:val="Seznamsodrkami"/>
        <w:widowControl/>
        <w:numPr>
          <w:ilvl w:val="0"/>
          <w:numId w:val="48"/>
        </w:numPr>
        <w:ind w:left="566"/>
        <w:jc w:val="both"/>
        <w:rPr>
          <w:rFonts w:ascii="Arial" w:hAnsi="Arial" w:cs="Arial"/>
        </w:rPr>
      </w:pPr>
      <w:r w:rsidRPr="002746D7">
        <w:rPr>
          <w:rFonts w:ascii="Arial" w:hAnsi="Arial" w:cs="Arial"/>
        </w:rPr>
        <w:t xml:space="preserve">SW balíček zahrnující tyto </w:t>
      </w:r>
      <w:proofErr w:type="spellStart"/>
      <w:r w:rsidRPr="002746D7">
        <w:rPr>
          <w:rFonts w:ascii="Arial" w:hAnsi="Arial" w:cs="Arial"/>
        </w:rPr>
        <w:t>optiony</w:t>
      </w:r>
      <w:proofErr w:type="spellEnd"/>
      <w:r w:rsidRPr="002746D7">
        <w:rPr>
          <w:rFonts w:ascii="Arial" w:hAnsi="Arial" w:cs="Arial"/>
        </w:rPr>
        <w:t xml:space="preserve"> – SWE (</w:t>
      </w:r>
      <w:proofErr w:type="spellStart"/>
      <w:r w:rsidRPr="002746D7">
        <w:rPr>
          <w:rFonts w:ascii="Arial" w:hAnsi="Arial" w:cs="Arial"/>
        </w:rPr>
        <w:t>Shear</w:t>
      </w:r>
      <w:proofErr w:type="spellEnd"/>
      <w:r w:rsidRPr="002746D7">
        <w:rPr>
          <w:rFonts w:ascii="Arial" w:hAnsi="Arial" w:cs="Arial"/>
        </w:rPr>
        <w:t xml:space="preserve"> </w:t>
      </w:r>
      <w:proofErr w:type="spellStart"/>
      <w:r w:rsidRPr="002746D7">
        <w:rPr>
          <w:rFonts w:ascii="Arial" w:hAnsi="Arial" w:cs="Arial"/>
        </w:rPr>
        <w:t>wave</w:t>
      </w:r>
      <w:proofErr w:type="spellEnd"/>
      <w:r w:rsidRPr="002746D7">
        <w:rPr>
          <w:rFonts w:ascii="Arial" w:hAnsi="Arial" w:cs="Arial"/>
        </w:rPr>
        <w:t xml:space="preserve"> </w:t>
      </w:r>
      <w:proofErr w:type="spellStart"/>
      <w:r w:rsidRPr="002746D7">
        <w:rPr>
          <w:rFonts w:ascii="Arial" w:hAnsi="Arial" w:cs="Arial"/>
        </w:rPr>
        <w:t>Elastografie</w:t>
      </w:r>
      <w:proofErr w:type="spellEnd"/>
      <w:r w:rsidRPr="002746D7">
        <w:rPr>
          <w:rFonts w:ascii="Arial" w:hAnsi="Arial" w:cs="Arial"/>
        </w:rPr>
        <w:t xml:space="preserve">, UGAP (SW ke kvantifikaci jaterní steatózy), CEUS (kontrastní ultrasonografie), </w:t>
      </w:r>
      <w:proofErr w:type="spellStart"/>
      <w:r w:rsidRPr="002746D7">
        <w:rPr>
          <w:rFonts w:ascii="Arial" w:hAnsi="Arial" w:cs="Arial"/>
        </w:rPr>
        <w:t>Compare</w:t>
      </w:r>
      <w:proofErr w:type="spellEnd"/>
      <w:r w:rsidRPr="002746D7">
        <w:rPr>
          <w:rFonts w:ascii="Arial" w:hAnsi="Arial" w:cs="Arial"/>
        </w:rPr>
        <w:t xml:space="preserve"> </w:t>
      </w:r>
      <w:proofErr w:type="spellStart"/>
      <w:r w:rsidRPr="002746D7">
        <w:rPr>
          <w:rFonts w:ascii="Arial" w:hAnsi="Arial" w:cs="Arial"/>
        </w:rPr>
        <w:t>Assistant</w:t>
      </w:r>
      <w:proofErr w:type="spellEnd"/>
      <w:r w:rsidRPr="002746D7">
        <w:rPr>
          <w:rFonts w:ascii="Arial" w:hAnsi="Arial" w:cs="Arial"/>
        </w:rPr>
        <w:t>.</w:t>
      </w:r>
    </w:p>
    <w:p w14:paraId="72C8DACF" w14:textId="77777777" w:rsidR="00C7247D" w:rsidRPr="00C7247D" w:rsidRDefault="00C7247D" w:rsidP="00C7247D">
      <w:pPr>
        <w:pStyle w:val="nzevpoloky"/>
        <w:rPr>
          <w:rFonts w:ascii="Arial" w:hAnsi="Arial" w:cs="Arial"/>
          <w:color w:val="0000FF"/>
          <w:sz w:val="20"/>
          <w:szCs w:val="20"/>
          <w:lang w:val="cs-CZ"/>
        </w:rPr>
      </w:pPr>
      <w:r w:rsidRPr="00C7247D">
        <w:rPr>
          <w:rFonts w:ascii="Arial" w:hAnsi="Arial" w:cs="Arial"/>
          <w:bCs w:val="0"/>
          <w:color w:val="0000FF"/>
          <w:sz w:val="20"/>
          <w:szCs w:val="20"/>
          <w:lang w:val="cs-CZ"/>
        </w:rPr>
        <w:t>2 ks Lineární sonda</w:t>
      </w:r>
      <w:r w:rsidRPr="00C7247D">
        <w:rPr>
          <w:rFonts w:ascii="Arial" w:hAnsi="Arial" w:cs="Arial"/>
          <w:color w:val="0000FF"/>
          <w:sz w:val="20"/>
          <w:szCs w:val="20"/>
          <w:lang w:val="cs-CZ"/>
        </w:rPr>
        <w:t xml:space="preserve"> ML6-15-D  </w:t>
      </w:r>
    </w:p>
    <w:p w14:paraId="1E7F2F76" w14:textId="77777777" w:rsidR="00C7247D" w:rsidRPr="00C7247D" w:rsidRDefault="00C7247D" w:rsidP="00C7247D">
      <w:pPr>
        <w:pStyle w:val="Seznamsodrkami"/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 w:rsidRPr="00C7247D">
        <w:rPr>
          <w:rFonts w:ascii="Arial" w:hAnsi="Arial" w:cs="Arial"/>
        </w:rPr>
        <w:t>širokopásmová lineární matrixová sonda</w:t>
      </w:r>
    </w:p>
    <w:p w14:paraId="6083FD02" w14:textId="77777777" w:rsidR="00C7247D" w:rsidRPr="00C7247D" w:rsidRDefault="00C7247D" w:rsidP="00C7247D">
      <w:pPr>
        <w:pStyle w:val="nzevpoloky"/>
        <w:rPr>
          <w:rFonts w:ascii="Arial" w:hAnsi="Arial" w:cs="Arial"/>
          <w:color w:val="0000FF"/>
          <w:sz w:val="20"/>
          <w:szCs w:val="20"/>
          <w:lang w:val="cs-CZ"/>
        </w:rPr>
      </w:pPr>
      <w:r w:rsidRPr="00C7247D">
        <w:rPr>
          <w:rFonts w:ascii="Arial" w:hAnsi="Arial" w:cs="Arial"/>
          <w:bCs w:val="0"/>
          <w:color w:val="0000FF"/>
          <w:sz w:val="20"/>
          <w:szCs w:val="20"/>
          <w:lang w:val="cs-CZ"/>
        </w:rPr>
        <w:t>2 ks Lineární sonda</w:t>
      </w:r>
      <w:r w:rsidRPr="00C7247D">
        <w:rPr>
          <w:rFonts w:ascii="Arial" w:hAnsi="Arial" w:cs="Arial"/>
          <w:color w:val="0000FF"/>
          <w:sz w:val="20"/>
          <w:szCs w:val="20"/>
          <w:lang w:val="cs-CZ"/>
        </w:rPr>
        <w:t xml:space="preserve"> L6-24-D  </w:t>
      </w:r>
    </w:p>
    <w:p w14:paraId="436D3C14" w14:textId="4B1BFDD7" w:rsidR="00F33979" w:rsidRDefault="00C7247D" w:rsidP="00C7247D">
      <w:pPr>
        <w:pStyle w:val="Seznamsodrkami"/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 w:rsidRPr="00C7247D">
        <w:rPr>
          <w:rFonts w:ascii="Arial" w:hAnsi="Arial" w:cs="Arial"/>
        </w:rPr>
        <w:t>širokopásmová lineární vysokofrekvenční sonda typu hokejka</w:t>
      </w:r>
    </w:p>
    <w:p w14:paraId="4E138819" w14:textId="77777777" w:rsidR="00D42817" w:rsidRPr="00C7247D" w:rsidRDefault="00D42817" w:rsidP="00D42817">
      <w:pPr>
        <w:pStyle w:val="Seznamsodrkami"/>
        <w:widowControl/>
        <w:ind w:firstLine="0"/>
        <w:jc w:val="both"/>
        <w:rPr>
          <w:rFonts w:ascii="Arial" w:hAnsi="Arial" w:cs="Arial"/>
        </w:rPr>
      </w:pPr>
    </w:p>
    <w:p w14:paraId="3EF8B54D" w14:textId="2D1D4497" w:rsidR="00F33979" w:rsidRPr="00C7247D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074"/>
        <w:gridCol w:w="582"/>
        <w:gridCol w:w="1277"/>
        <w:gridCol w:w="1414"/>
        <w:gridCol w:w="830"/>
        <w:gridCol w:w="1066"/>
        <w:gridCol w:w="1226"/>
      </w:tblGrid>
      <w:tr w:rsidR="00D42817" w:rsidRPr="00B10552" w14:paraId="2D2CADDF" w14:textId="77777777" w:rsidTr="00D42817">
        <w:trPr>
          <w:trHeight w:val="345"/>
          <w:jc w:val="center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D42817" w:rsidRPr="00B10552" w14:paraId="60373750" w14:textId="77777777" w:rsidTr="00D42817">
        <w:trPr>
          <w:trHeight w:val="27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17098C" w14:textId="77777777" w:rsidR="00D42817" w:rsidRPr="00B10552" w:rsidRDefault="00D42817" w:rsidP="00D42817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608EA" w14:textId="13B13AE4" w:rsidR="00D42817" w:rsidRPr="00B10552" w:rsidRDefault="00D42817" w:rsidP="00D42817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LOGIQ </w:t>
            </w:r>
            <w:proofErr w:type="spellStart"/>
            <w:r>
              <w:rPr>
                <w:sz w:val="16"/>
                <w:szCs w:val="16"/>
              </w:rPr>
              <w:t>Totus</w:t>
            </w:r>
            <w:proofErr w:type="spellEnd"/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0D6AC" w14:textId="164C4F08" w:rsidR="00D42817" w:rsidRPr="00B10552" w:rsidRDefault="00D42817" w:rsidP="00D42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839E8" w14:textId="7132A4AF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944.900,-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266AE" w14:textId="79AB2FDB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1.889.800,-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9DC2F" w14:textId="649F49D6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21%</w:t>
            </w:r>
            <w:proofErr w:type="gramEnd"/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0A8AE" w14:textId="3835990F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396.858,- Kč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3D820" w14:textId="21B5A487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2.286.658,- Kč</w:t>
            </w:r>
            <w:r w:rsidRPr="00374502">
              <w:rPr>
                <w:sz w:val="16"/>
                <w:szCs w:val="16"/>
              </w:rPr>
              <w:t> </w:t>
            </w:r>
          </w:p>
        </w:tc>
      </w:tr>
      <w:tr w:rsidR="00D42817" w:rsidRPr="00B10552" w14:paraId="5A8032B4" w14:textId="77777777" w:rsidTr="00D42817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51E349" w14:textId="77777777" w:rsidR="00D42817" w:rsidRPr="00B10552" w:rsidRDefault="00D42817" w:rsidP="00D42817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93E95" w14:textId="79DAA689" w:rsidR="00D42817" w:rsidRPr="00B10552" w:rsidRDefault="00D42817" w:rsidP="00D42817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ML6-15-D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2DCE2" w14:textId="4BEA4F59" w:rsidR="00D42817" w:rsidRPr="00B10552" w:rsidRDefault="00D42817" w:rsidP="00D42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07C3A" w14:textId="4DBC5EE1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BAAAC4" w14:textId="5ACDA0E5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35F80B" w14:textId="38B01A41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21%</w:t>
            </w:r>
            <w:proofErr w:type="gramEnd"/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79ABD8" w14:textId="213CD6DA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77.700,- Kč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C23BE2" w14:textId="72850E8C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447.700,- Kč</w:t>
            </w:r>
            <w:r w:rsidRPr="00374502">
              <w:rPr>
                <w:sz w:val="16"/>
                <w:szCs w:val="16"/>
              </w:rPr>
              <w:t> </w:t>
            </w:r>
          </w:p>
        </w:tc>
      </w:tr>
      <w:tr w:rsidR="00D42817" w:rsidRPr="00B10552" w14:paraId="505A1345" w14:textId="77777777" w:rsidTr="00D42817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2608EC" w14:textId="77777777" w:rsidR="00D42817" w:rsidRPr="00B10552" w:rsidRDefault="00D42817" w:rsidP="00D42817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30FDEE" w14:textId="41FECEEE" w:rsidR="00D42817" w:rsidRPr="00B10552" w:rsidRDefault="00D42817" w:rsidP="00D42817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L6-24-D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8A7625" w14:textId="5D05178C" w:rsidR="00D42817" w:rsidRPr="00B10552" w:rsidRDefault="00D42817" w:rsidP="00D42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E33C64" w14:textId="4A4BD2BF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907EBA" w14:textId="1F78E8A4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270.000,- Kč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A7A77" w14:textId="38D191B3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21%</w:t>
            </w:r>
            <w:proofErr w:type="gramEnd"/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18F95A" w14:textId="14981CDB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56.700,- Kč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2CE89" w14:textId="0FFD993F" w:rsidR="00D42817" w:rsidRPr="00B10552" w:rsidRDefault="00D42817" w:rsidP="00D428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326.700,- Kč</w:t>
            </w:r>
            <w:r w:rsidRPr="00374502">
              <w:rPr>
                <w:sz w:val="16"/>
                <w:szCs w:val="16"/>
              </w:rPr>
              <w:t> </w:t>
            </w:r>
          </w:p>
        </w:tc>
      </w:tr>
      <w:tr w:rsidR="00D42817" w:rsidRPr="00B10552" w14:paraId="6F3E0D92" w14:textId="77777777" w:rsidTr="00D42817">
        <w:trPr>
          <w:trHeight w:val="255"/>
          <w:jc w:val="center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58DD8" w14:textId="77777777" w:rsidR="00922679" w:rsidRPr="00B10552" w:rsidRDefault="00922679" w:rsidP="00922679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6207" w14:textId="77777777" w:rsidR="00922679" w:rsidRPr="00D42817" w:rsidRDefault="00922679" w:rsidP="00922679">
            <w:pPr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Za smlouvu celkem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04FC1" w14:textId="77777777" w:rsidR="00922679" w:rsidRPr="00D42817" w:rsidRDefault="00922679" w:rsidP="009226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C07534" w14:textId="77777777" w:rsidR="00922679" w:rsidRPr="00D42817" w:rsidRDefault="00922679" w:rsidP="00922679">
            <w:pPr>
              <w:jc w:val="right"/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D40C8" w14:textId="0915C6A0" w:rsidR="00922679" w:rsidRPr="00D42817" w:rsidRDefault="00D42817" w:rsidP="00922679">
            <w:pPr>
              <w:jc w:val="right"/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2.529.800,- Kč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8AF9EB" w14:textId="77777777" w:rsidR="00922679" w:rsidRPr="00D42817" w:rsidRDefault="00922679" w:rsidP="00922679">
            <w:pPr>
              <w:jc w:val="right"/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A28E3B" w14:textId="67F7DC37" w:rsidR="00922679" w:rsidRPr="00D42817" w:rsidRDefault="00D42817" w:rsidP="00922679">
            <w:pPr>
              <w:jc w:val="right"/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531.258,- Kč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72973" w14:textId="65349DF5" w:rsidR="00922679" w:rsidRPr="00D42817" w:rsidRDefault="00D42817" w:rsidP="00922679">
            <w:pPr>
              <w:jc w:val="right"/>
              <w:rPr>
                <w:b/>
                <w:bCs/>
                <w:sz w:val="16"/>
                <w:szCs w:val="16"/>
              </w:rPr>
            </w:pPr>
            <w:r w:rsidRPr="00D42817">
              <w:rPr>
                <w:b/>
                <w:bCs/>
                <w:sz w:val="16"/>
                <w:szCs w:val="16"/>
              </w:rPr>
              <w:t>3.061.058,- Kč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23149CFE" w14:textId="77777777" w:rsidR="00D42817" w:rsidRPr="00D42817" w:rsidRDefault="00D42817" w:rsidP="00D42817">
      <w:pPr>
        <w:rPr>
          <w:i/>
        </w:rPr>
      </w:pPr>
      <w:r w:rsidRPr="00D42817">
        <w:rPr>
          <w:i/>
        </w:rPr>
        <w:t>Pro žádnou část plnění nebudeme využívat subdodavatele</w:t>
      </w:r>
    </w:p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1377FA" w:rsidRPr="00B10552" w14:paraId="5C7F4A73" w14:textId="77777777" w:rsidTr="001377FA">
        <w:tc>
          <w:tcPr>
            <w:tcW w:w="675" w:type="dxa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</w:tcPr>
          <w:p w14:paraId="095E5B5F" w14:textId="77777777" w:rsidR="001377FA" w:rsidRPr="00B10552" w:rsidRDefault="001377FA" w:rsidP="001377FA"/>
        </w:tc>
        <w:tc>
          <w:tcPr>
            <w:tcW w:w="639" w:type="dxa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</w:tcPr>
          <w:p w14:paraId="5FD07E0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3D91A44C" w14:textId="77777777" w:rsidR="001377FA" w:rsidRPr="00B10552" w:rsidRDefault="001377FA" w:rsidP="001377FA"/>
        </w:tc>
        <w:tc>
          <w:tcPr>
            <w:tcW w:w="4424" w:type="dxa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0828BD">
        <w:trPr>
          <w:trHeight w:val="321"/>
        </w:trPr>
        <w:tc>
          <w:tcPr>
            <w:tcW w:w="4503" w:type="dxa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0681BB8B" w14:textId="77777777" w:rsidR="00D42817" w:rsidRPr="00B10552" w:rsidRDefault="00D42817" w:rsidP="00D42817">
            <w:pPr>
              <w:jc w:val="center"/>
            </w:pPr>
            <w:r>
              <w:t>Ing. Ondřej Podloucký</w:t>
            </w:r>
          </w:p>
          <w:p w14:paraId="6F6DD850" w14:textId="3A048535" w:rsidR="001377FA" w:rsidRPr="00B10552" w:rsidRDefault="00D42817" w:rsidP="00D42817">
            <w:pPr>
              <w:jc w:val="center"/>
            </w:pPr>
            <w:r>
              <w:t>prokurista EMS, s.r.o.</w:t>
            </w:r>
          </w:p>
        </w:tc>
      </w:tr>
    </w:tbl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</w:tcPr>
          <w:p w14:paraId="0E677BBF" w14:textId="35F78054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</w:p>
          <w:p w14:paraId="3303111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IČO: </w:t>
            </w:r>
            <w:r w:rsidRPr="00B1055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5"/>
          </w:p>
          <w:p w14:paraId="17B2D2B5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DIČ: </w:t>
            </w:r>
            <w:r w:rsidRPr="00B1055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6"/>
          </w:p>
          <w:p w14:paraId="424A243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adresa: </w:t>
            </w:r>
            <w:r w:rsidRPr="00B105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7"/>
          </w:p>
          <w:p w14:paraId="315B8614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tel.: </w:t>
            </w:r>
            <w:r w:rsidRPr="00B105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8"/>
          </w:p>
          <w:p w14:paraId="1F338708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e-mail: </w:t>
            </w:r>
            <w:r w:rsidRPr="00B105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9"/>
          </w:p>
        </w:tc>
        <w:tc>
          <w:tcPr>
            <w:tcW w:w="4678" w:type="dxa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4527A58F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9C2797">
              <w:t>XXX</w:t>
            </w:r>
          </w:p>
          <w:p w14:paraId="4F9369BA" w14:textId="459C1EA4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9C2797">
              <w:t>XXX</w:t>
            </w:r>
            <w:bookmarkStart w:id="10" w:name="_GoBack"/>
            <w:bookmarkEnd w:id="10"/>
          </w:p>
        </w:tc>
      </w:tr>
      <w:tr w:rsidR="004C241E" w:rsidRPr="00B10552" w14:paraId="3D012D66" w14:textId="77777777" w:rsidTr="00F01CBF">
        <w:tc>
          <w:tcPr>
            <w:tcW w:w="4677" w:type="dxa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1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2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703CA624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B3486">
            <w:rPr>
              <w:b/>
            </w:rPr>
            <w:t>Obnova a modernizace pracovišť léčebné rehabilitační péče pro pacienty po kritických stavech ve FN Plzeň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DB3486">
            <w:rPr>
              <w:rStyle w:val="datalabel"/>
              <w:b/>
            </w:rPr>
            <w:t>CZ.31.7.0/0.0/0.0/23_064/0008282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Pr="00B429B0">
        <w:instrText xml:space="preserve"> FORMCHECKBOX </w:instrText>
      </w:r>
      <w:r w:rsidR="006C0D97">
        <w:fldChar w:fldCharType="separate"/>
      </w:r>
      <w:r w:rsidRPr="00B429B0">
        <w:fldChar w:fldCharType="end"/>
      </w:r>
      <w:bookmarkEnd w:id="14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2"/>
      <w:r w:rsidRPr="00B429B0">
        <w:instrText xml:space="preserve"> FORMCHECKBOX </w:instrText>
      </w:r>
      <w:r w:rsidR="006C0D97">
        <w:fldChar w:fldCharType="separate"/>
      </w:r>
      <w:r w:rsidRPr="00B429B0">
        <w:fldChar w:fldCharType="end"/>
      </w:r>
      <w:bookmarkEnd w:id="15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6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</w:tcPr>
          <w:p w14:paraId="29BF6D42" w14:textId="77777777" w:rsidR="00E137D7" w:rsidRDefault="00E137D7" w:rsidP="00A62115">
            <w:bookmarkStart w:id="17" w:name="_Hlk102125809"/>
            <w:r>
              <w:t>Dne:</w:t>
            </w:r>
          </w:p>
        </w:tc>
        <w:tc>
          <w:tcPr>
            <w:tcW w:w="3768" w:type="dxa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</w:tcPr>
          <w:p w14:paraId="3BAD965D" w14:textId="77777777" w:rsidR="00E137D7" w:rsidRDefault="00E137D7" w:rsidP="00A62115"/>
        </w:tc>
        <w:tc>
          <w:tcPr>
            <w:tcW w:w="631" w:type="dxa"/>
          </w:tcPr>
          <w:p w14:paraId="0D6E4096" w14:textId="77777777" w:rsidR="00E137D7" w:rsidRDefault="00E137D7" w:rsidP="00A62115"/>
        </w:tc>
        <w:tc>
          <w:tcPr>
            <w:tcW w:w="3715" w:type="dxa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5C54EEC3" w14:textId="77777777" w:rsidR="00E137D7" w:rsidRDefault="00E137D7" w:rsidP="00A62115"/>
        </w:tc>
        <w:tc>
          <w:tcPr>
            <w:tcW w:w="4424" w:type="dxa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7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858DC" w14:textId="77777777" w:rsidR="006C0D97" w:rsidRDefault="006C0D97">
      <w:r>
        <w:separator/>
      </w:r>
    </w:p>
  </w:endnote>
  <w:endnote w:type="continuationSeparator" w:id="0">
    <w:p w14:paraId="5FF3BE96" w14:textId="77777777" w:rsidR="006C0D97" w:rsidRDefault="006C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642D581C" w:rsidR="00DB3486" w:rsidRPr="008D6B7F" w:rsidRDefault="00DB3486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45553F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45553F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3AA9C0B4" w:rsidR="00DB3486" w:rsidRPr="0039165E" w:rsidRDefault="00DB3486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45553F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45553F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3EA6" w14:textId="77777777" w:rsidR="006C0D97" w:rsidRDefault="006C0D97">
      <w:bookmarkStart w:id="0" w:name="_Hlk80690524"/>
      <w:bookmarkEnd w:id="0"/>
      <w:r>
        <w:separator/>
      </w:r>
    </w:p>
  </w:footnote>
  <w:footnote w:type="continuationSeparator" w:id="0">
    <w:p w14:paraId="09C221A9" w14:textId="77777777" w:rsidR="006C0D97" w:rsidRDefault="006C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DB3486" w:rsidRPr="00164C6B" w:rsidRDefault="00DB3486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DB3486" w:rsidRDefault="00DB3486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DB3486" w:rsidRDefault="00DB3486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DB3486" w:rsidRDefault="00DB3486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DB3486" w:rsidRDefault="00DB3486" w:rsidP="00C03120"/>
  <w:p w14:paraId="22D083B0" w14:textId="54D5A0D1" w:rsidR="00DB3486" w:rsidRPr="00E137D7" w:rsidRDefault="00DB3486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8E44FF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4E72C2"/>
    <w:multiLevelType w:val="hybridMultilevel"/>
    <w:tmpl w:val="9FA62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04475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2"/>
  </w:num>
  <w:num w:numId="5">
    <w:abstractNumId w:val="30"/>
  </w:num>
  <w:num w:numId="6">
    <w:abstractNumId w:val="10"/>
  </w:num>
  <w:num w:numId="7">
    <w:abstractNumId w:val="3"/>
  </w:num>
  <w:num w:numId="8">
    <w:abstractNumId w:val="36"/>
  </w:num>
  <w:num w:numId="9">
    <w:abstractNumId w:val="26"/>
  </w:num>
  <w:num w:numId="10">
    <w:abstractNumId w:val="14"/>
  </w:num>
  <w:num w:numId="11">
    <w:abstractNumId w:val="13"/>
  </w:num>
  <w:num w:numId="12">
    <w:abstractNumId w:val="22"/>
  </w:num>
  <w:num w:numId="13">
    <w:abstractNumId w:val="28"/>
  </w:num>
  <w:num w:numId="14">
    <w:abstractNumId w:val="42"/>
  </w:num>
  <w:num w:numId="15">
    <w:abstractNumId w:val="41"/>
  </w:num>
  <w:num w:numId="16">
    <w:abstractNumId w:val="4"/>
  </w:num>
  <w:num w:numId="17">
    <w:abstractNumId w:val="18"/>
  </w:num>
  <w:num w:numId="18">
    <w:abstractNumId w:val="38"/>
  </w:num>
  <w:num w:numId="19">
    <w:abstractNumId w:val="19"/>
  </w:num>
  <w:num w:numId="20">
    <w:abstractNumId w:val="31"/>
  </w:num>
  <w:num w:numId="21">
    <w:abstractNumId w:val="16"/>
  </w:num>
  <w:num w:numId="22">
    <w:abstractNumId w:val="27"/>
  </w:num>
  <w:num w:numId="23">
    <w:abstractNumId w:val="2"/>
  </w:num>
  <w:num w:numId="24">
    <w:abstractNumId w:val="40"/>
  </w:num>
  <w:num w:numId="25">
    <w:abstractNumId w:val="5"/>
  </w:num>
  <w:num w:numId="26">
    <w:abstractNumId w:val="20"/>
  </w:num>
  <w:num w:numId="27">
    <w:abstractNumId w:val="6"/>
  </w:num>
  <w:num w:numId="28">
    <w:abstractNumId w:val="32"/>
  </w:num>
  <w:num w:numId="29">
    <w:abstractNumId w:val="25"/>
  </w:num>
  <w:num w:numId="30">
    <w:abstractNumId w:val="17"/>
  </w:num>
  <w:num w:numId="31">
    <w:abstractNumId w:val="3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3"/>
  </w:num>
  <w:num w:numId="35">
    <w:abstractNumId w:val="37"/>
  </w:num>
  <w:num w:numId="36">
    <w:abstractNumId w:val="8"/>
  </w:num>
  <w:num w:numId="37">
    <w:abstractNumId w:val="33"/>
  </w:num>
  <w:num w:numId="38">
    <w:abstractNumId w:val="45"/>
  </w:num>
  <w:num w:numId="39">
    <w:abstractNumId w:val="11"/>
  </w:num>
  <w:num w:numId="40">
    <w:abstractNumId w:val="35"/>
  </w:num>
  <w:num w:numId="41">
    <w:abstractNumId w:val="44"/>
  </w:num>
  <w:num w:numId="42">
    <w:abstractNumId w:val="15"/>
  </w:num>
  <w:num w:numId="43">
    <w:abstractNumId w:val="9"/>
  </w:num>
  <w:num w:numId="44">
    <w:abstractNumId w:val="43"/>
  </w:num>
  <w:num w:numId="45">
    <w:abstractNumId w:val="38"/>
  </w:num>
  <w:num w:numId="46">
    <w:abstractNumId w:val="34"/>
  </w:num>
  <w:num w:numId="47">
    <w:abstractNumId w:val="29"/>
  </w:num>
  <w:num w:numId="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0BF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80EF1"/>
    <w:rsid w:val="000828BD"/>
    <w:rsid w:val="00083C1C"/>
    <w:rsid w:val="000852F6"/>
    <w:rsid w:val="000905D3"/>
    <w:rsid w:val="00090C11"/>
    <w:rsid w:val="00090F8E"/>
    <w:rsid w:val="000912BD"/>
    <w:rsid w:val="00092D5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FF2"/>
    <w:rsid w:val="000B7F6D"/>
    <w:rsid w:val="000C373A"/>
    <w:rsid w:val="000C418F"/>
    <w:rsid w:val="000C4CD8"/>
    <w:rsid w:val="000C7B42"/>
    <w:rsid w:val="000D09AF"/>
    <w:rsid w:val="000D1D0D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6340"/>
    <w:rsid w:val="000F76C6"/>
    <w:rsid w:val="0010270B"/>
    <w:rsid w:val="00102870"/>
    <w:rsid w:val="00102EB1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4F72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7FF4"/>
    <w:rsid w:val="0018027A"/>
    <w:rsid w:val="001826A5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2DEB"/>
    <w:rsid w:val="00263FC6"/>
    <w:rsid w:val="00265B65"/>
    <w:rsid w:val="0026649B"/>
    <w:rsid w:val="0026676B"/>
    <w:rsid w:val="0026690B"/>
    <w:rsid w:val="00270088"/>
    <w:rsid w:val="00270DCB"/>
    <w:rsid w:val="002746D7"/>
    <w:rsid w:val="00275029"/>
    <w:rsid w:val="00280512"/>
    <w:rsid w:val="00281AA0"/>
    <w:rsid w:val="00282412"/>
    <w:rsid w:val="00284555"/>
    <w:rsid w:val="002860D2"/>
    <w:rsid w:val="002862AF"/>
    <w:rsid w:val="002868DC"/>
    <w:rsid w:val="00287A3C"/>
    <w:rsid w:val="00290B7D"/>
    <w:rsid w:val="00292EDA"/>
    <w:rsid w:val="00294E8E"/>
    <w:rsid w:val="00295489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B7DEF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645F9"/>
    <w:rsid w:val="00371E70"/>
    <w:rsid w:val="00373782"/>
    <w:rsid w:val="00374EE9"/>
    <w:rsid w:val="00377838"/>
    <w:rsid w:val="003830DF"/>
    <w:rsid w:val="003831E3"/>
    <w:rsid w:val="00386C87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109F"/>
    <w:rsid w:val="00402DE1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AC9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5553F"/>
    <w:rsid w:val="004606F8"/>
    <w:rsid w:val="004610C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1A23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068FB"/>
    <w:rsid w:val="00511C53"/>
    <w:rsid w:val="005143EE"/>
    <w:rsid w:val="00515247"/>
    <w:rsid w:val="0051680B"/>
    <w:rsid w:val="005221CB"/>
    <w:rsid w:val="00525587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4823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E7D81"/>
    <w:rsid w:val="005F2644"/>
    <w:rsid w:val="005F403B"/>
    <w:rsid w:val="00602B98"/>
    <w:rsid w:val="0060358D"/>
    <w:rsid w:val="00605952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477F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3B4E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5D2"/>
    <w:rsid w:val="006915AC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0AB4"/>
    <w:rsid w:val="006B3420"/>
    <w:rsid w:val="006B4967"/>
    <w:rsid w:val="006B62E8"/>
    <w:rsid w:val="006B644C"/>
    <w:rsid w:val="006B6559"/>
    <w:rsid w:val="006B68F1"/>
    <w:rsid w:val="006C02BE"/>
    <w:rsid w:val="006C0D97"/>
    <w:rsid w:val="006C79B5"/>
    <w:rsid w:val="006C7C4A"/>
    <w:rsid w:val="006D616A"/>
    <w:rsid w:val="006D7437"/>
    <w:rsid w:val="006E06A9"/>
    <w:rsid w:val="006E2487"/>
    <w:rsid w:val="006E2A20"/>
    <w:rsid w:val="006E46BB"/>
    <w:rsid w:val="006E5C9A"/>
    <w:rsid w:val="006F0B09"/>
    <w:rsid w:val="006F20F8"/>
    <w:rsid w:val="006F262C"/>
    <w:rsid w:val="006F2DA7"/>
    <w:rsid w:val="0070197D"/>
    <w:rsid w:val="00702488"/>
    <w:rsid w:val="007054CD"/>
    <w:rsid w:val="00706B66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5758"/>
    <w:rsid w:val="00727A53"/>
    <w:rsid w:val="00730A56"/>
    <w:rsid w:val="00731EB5"/>
    <w:rsid w:val="00734B06"/>
    <w:rsid w:val="00735726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44965"/>
    <w:rsid w:val="00850340"/>
    <w:rsid w:val="00850ACC"/>
    <w:rsid w:val="008519BE"/>
    <w:rsid w:val="0085230A"/>
    <w:rsid w:val="00860167"/>
    <w:rsid w:val="00861C10"/>
    <w:rsid w:val="008645D9"/>
    <w:rsid w:val="00865FC0"/>
    <w:rsid w:val="00867A89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1674A"/>
    <w:rsid w:val="009202EF"/>
    <w:rsid w:val="009208D8"/>
    <w:rsid w:val="00920BCA"/>
    <w:rsid w:val="00920DD1"/>
    <w:rsid w:val="00922679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38A9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54AE"/>
    <w:rsid w:val="00987636"/>
    <w:rsid w:val="0099201F"/>
    <w:rsid w:val="009940DC"/>
    <w:rsid w:val="009947C9"/>
    <w:rsid w:val="00994C9C"/>
    <w:rsid w:val="00996331"/>
    <w:rsid w:val="00996718"/>
    <w:rsid w:val="009A0BCE"/>
    <w:rsid w:val="009A24D8"/>
    <w:rsid w:val="009A3816"/>
    <w:rsid w:val="009A6617"/>
    <w:rsid w:val="009B01DD"/>
    <w:rsid w:val="009B20B4"/>
    <w:rsid w:val="009B23BF"/>
    <w:rsid w:val="009B6C59"/>
    <w:rsid w:val="009B7780"/>
    <w:rsid w:val="009C01C9"/>
    <w:rsid w:val="009C2797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0F91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0BCB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1D7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51BC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3EC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960B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1356"/>
    <w:rsid w:val="00BC26B9"/>
    <w:rsid w:val="00BC4C6C"/>
    <w:rsid w:val="00BC5729"/>
    <w:rsid w:val="00BC6C50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2EA1"/>
    <w:rsid w:val="00BE364D"/>
    <w:rsid w:val="00BE53FF"/>
    <w:rsid w:val="00BE5B28"/>
    <w:rsid w:val="00BE678F"/>
    <w:rsid w:val="00BF042F"/>
    <w:rsid w:val="00BF1060"/>
    <w:rsid w:val="00BF33DB"/>
    <w:rsid w:val="00BF342C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5590"/>
    <w:rsid w:val="00C67C06"/>
    <w:rsid w:val="00C7075D"/>
    <w:rsid w:val="00C70E4D"/>
    <w:rsid w:val="00C7247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7F91"/>
    <w:rsid w:val="00CB09BF"/>
    <w:rsid w:val="00CB132B"/>
    <w:rsid w:val="00CB1AD9"/>
    <w:rsid w:val="00CB5C59"/>
    <w:rsid w:val="00CB6BE8"/>
    <w:rsid w:val="00CC2F5B"/>
    <w:rsid w:val="00CC32D8"/>
    <w:rsid w:val="00CC46A9"/>
    <w:rsid w:val="00CC5CFF"/>
    <w:rsid w:val="00CC6CC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37377"/>
    <w:rsid w:val="00D408B6"/>
    <w:rsid w:val="00D42817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3486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1F8"/>
    <w:rsid w:val="00DD2AEA"/>
    <w:rsid w:val="00DD4B53"/>
    <w:rsid w:val="00DD79A4"/>
    <w:rsid w:val="00DE0CF1"/>
    <w:rsid w:val="00DE1B2E"/>
    <w:rsid w:val="00DE28A1"/>
    <w:rsid w:val="00DE3233"/>
    <w:rsid w:val="00DE50E3"/>
    <w:rsid w:val="00DF11B2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361F"/>
    <w:rsid w:val="00E578E5"/>
    <w:rsid w:val="00E57C28"/>
    <w:rsid w:val="00E61D62"/>
    <w:rsid w:val="00E7037E"/>
    <w:rsid w:val="00E727BA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5848"/>
    <w:rsid w:val="00F6675E"/>
    <w:rsid w:val="00F672AE"/>
    <w:rsid w:val="00F7227B"/>
    <w:rsid w:val="00F72736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Revize">
    <w:name w:val="Revision"/>
    <w:hidden/>
    <w:uiPriority w:val="99"/>
    <w:semiHidden/>
    <w:rsid w:val="006E5C9A"/>
    <w:rPr>
      <w:rFonts w:ascii="Arial" w:hAnsi="Arial"/>
      <w:szCs w:val="24"/>
    </w:rPr>
  </w:style>
  <w:style w:type="paragraph" w:customStyle="1" w:styleId="nzevpoloky">
    <w:name w:val="název položky"/>
    <w:basedOn w:val="Normlnweb"/>
    <w:link w:val="nzevpolokyChar"/>
    <w:uiPriority w:val="99"/>
    <w:rsid w:val="00C7247D"/>
    <w:pPr>
      <w:spacing w:before="120" w:beforeAutospacing="0" w:after="0" w:afterAutospacing="0"/>
    </w:pPr>
    <w:rPr>
      <w:b/>
      <w:bCs/>
      <w:color w:val="000000"/>
      <w:sz w:val="28"/>
      <w:lang w:val="en-US" w:eastAsia="en-US"/>
    </w:rPr>
  </w:style>
  <w:style w:type="character" w:customStyle="1" w:styleId="nzevpolokyChar">
    <w:name w:val="název položky Char"/>
    <w:basedOn w:val="Standardnpsmoodstavce"/>
    <w:link w:val="nzevpoloky"/>
    <w:uiPriority w:val="99"/>
    <w:rsid w:val="00C7247D"/>
    <w:rPr>
      <w:b/>
      <w:bCs/>
      <w:color w:val="000000"/>
      <w:sz w:val="28"/>
      <w:szCs w:val="24"/>
      <w:lang w:val="en-US" w:eastAsia="en-US"/>
    </w:rPr>
  </w:style>
  <w:style w:type="paragraph" w:styleId="Seznamsodrkami">
    <w:name w:val="List Bullet"/>
    <w:basedOn w:val="Normln"/>
    <w:uiPriority w:val="99"/>
    <w:rsid w:val="00C7247D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Garamond" w:hAnsi="Garamond" w:cs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02D67"/>
    <w:rsid w:val="000231D0"/>
    <w:rsid w:val="00034E76"/>
    <w:rsid w:val="000E4028"/>
    <w:rsid w:val="000F6570"/>
    <w:rsid w:val="0015029D"/>
    <w:rsid w:val="00166DD1"/>
    <w:rsid w:val="001E4F66"/>
    <w:rsid w:val="001F32AB"/>
    <w:rsid w:val="00277E7A"/>
    <w:rsid w:val="002925C5"/>
    <w:rsid w:val="00295489"/>
    <w:rsid w:val="003629F4"/>
    <w:rsid w:val="00435108"/>
    <w:rsid w:val="00477307"/>
    <w:rsid w:val="00520229"/>
    <w:rsid w:val="00584C4D"/>
    <w:rsid w:val="005E5A14"/>
    <w:rsid w:val="00646937"/>
    <w:rsid w:val="006542FD"/>
    <w:rsid w:val="006623B2"/>
    <w:rsid w:val="00672F4F"/>
    <w:rsid w:val="006B4393"/>
    <w:rsid w:val="006C112B"/>
    <w:rsid w:val="006D5353"/>
    <w:rsid w:val="006E039A"/>
    <w:rsid w:val="007A16B0"/>
    <w:rsid w:val="007F08D5"/>
    <w:rsid w:val="0081140E"/>
    <w:rsid w:val="008612C7"/>
    <w:rsid w:val="00891CA3"/>
    <w:rsid w:val="008A21C0"/>
    <w:rsid w:val="008C305A"/>
    <w:rsid w:val="009B2F2E"/>
    <w:rsid w:val="009F0F91"/>
    <w:rsid w:val="00A74885"/>
    <w:rsid w:val="00B42246"/>
    <w:rsid w:val="00B462C5"/>
    <w:rsid w:val="00B96CCB"/>
    <w:rsid w:val="00BB1B22"/>
    <w:rsid w:val="00BF282A"/>
    <w:rsid w:val="00C16F69"/>
    <w:rsid w:val="00CA08F0"/>
    <w:rsid w:val="00CB4D21"/>
    <w:rsid w:val="00CB79A6"/>
    <w:rsid w:val="00D25D22"/>
    <w:rsid w:val="00D623A9"/>
    <w:rsid w:val="00D84EE1"/>
    <w:rsid w:val="00DD79A4"/>
    <w:rsid w:val="00E34190"/>
    <w:rsid w:val="00E61492"/>
    <w:rsid w:val="00EF0BEE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84C0-B4E6-4838-BB1D-72BB9375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3868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pracovišť léčebné rehabilitační péče pro pacienty po kritických stavech ve FN Plzeň</dc:subject>
  <dc:creator>zornovad;Svobodova Veronika</dc:creator>
  <cp:keywords/>
  <cp:lastModifiedBy>Prihoda Filip</cp:lastModifiedBy>
  <cp:revision>3</cp:revision>
  <cp:lastPrinted>2025-07-08T13:09:00Z</cp:lastPrinted>
  <dcterms:created xsi:type="dcterms:W3CDTF">2025-11-03T11:21:00Z</dcterms:created>
  <dcterms:modified xsi:type="dcterms:W3CDTF">2025-11-14T11:11:00Z</dcterms:modified>
  <cp:category>CZ.31.7.0/0.0/0.0/23_064/0008282</cp:category>
</cp:coreProperties>
</file>