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443ED3" w:rsidRPr="00B93A14" w:rsidRDefault="00443ED3" w:rsidP="00443ED3">
      <w:pPr>
        <w:ind w:firstLine="709"/>
        <w:rPr>
          <w:rFonts w:ascii="Calibri" w:hAnsi="Calibri" w:cs="Calibri"/>
          <w:b/>
          <w:bCs/>
          <w:sz w:val="22"/>
          <w:szCs w:val="22"/>
        </w:rPr>
      </w:pPr>
      <w:proofErr w:type="spellStart"/>
      <w:r w:rsidRPr="00B93A14">
        <w:rPr>
          <w:rFonts w:ascii="Calibri" w:hAnsi="Calibri" w:cs="Calibri"/>
          <w:b/>
          <w:bCs/>
          <w:sz w:val="22"/>
          <w:szCs w:val="22"/>
        </w:rPr>
        <w:t>Kulturmarket</w:t>
      </w:r>
      <w:proofErr w:type="spellEnd"/>
      <w:r w:rsidRPr="00B93A14">
        <w:rPr>
          <w:rFonts w:ascii="Calibri" w:hAnsi="Calibri" w:cs="Calibri"/>
          <w:b/>
          <w:bCs/>
          <w:sz w:val="22"/>
          <w:szCs w:val="22"/>
        </w:rPr>
        <w:t xml:space="preserve"> 2 s.r.o.</w:t>
      </w:r>
    </w:p>
    <w:p w:rsidR="00443ED3" w:rsidRPr="00B93A14" w:rsidRDefault="00443ED3" w:rsidP="00443ED3">
      <w:pPr>
        <w:ind w:firstLine="709"/>
        <w:rPr>
          <w:rFonts w:ascii="Calibri" w:hAnsi="Calibri" w:cs="Calibri"/>
          <w:bCs/>
          <w:sz w:val="22"/>
          <w:szCs w:val="22"/>
        </w:rPr>
      </w:pPr>
      <w:r w:rsidRPr="00B93A14">
        <w:rPr>
          <w:rFonts w:ascii="Calibri" w:hAnsi="Calibri" w:cs="Calibri"/>
          <w:bCs/>
          <w:sz w:val="22"/>
          <w:szCs w:val="22"/>
        </w:rPr>
        <w:t xml:space="preserve">Zapsaná: Obchodný </w:t>
      </w:r>
      <w:proofErr w:type="spellStart"/>
      <w:r w:rsidRPr="00B93A14">
        <w:rPr>
          <w:rFonts w:ascii="Calibri" w:hAnsi="Calibri" w:cs="Calibri"/>
          <w:bCs/>
          <w:sz w:val="22"/>
          <w:szCs w:val="22"/>
        </w:rPr>
        <w:t>register</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Okresného</w:t>
      </w:r>
      <w:proofErr w:type="spellEnd"/>
      <w:r w:rsidRPr="00B93A14">
        <w:rPr>
          <w:rFonts w:ascii="Calibri" w:hAnsi="Calibri" w:cs="Calibri"/>
          <w:bCs/>
          <w:sz w:val="22"/>
          <w:szCs w:val="22"/>
        </w:rPr>
        <w:t xml:space="preserve"> soudu Bratislava I, </w:t>
      </w:r>
      <w:proofErr w:type="spellStart"/>
      <w:r w:rsidRPr="00B93A14">
        <w:rPr>
          <w:rFonts w:ascii="Calibri" w:hAnsi="Calibri" w:cs="Calibri"/>
          <w:bCs/>
          <w:sz w:val="22"/>
          <w:szCs w:val="22"/>
        </w:rPr>
        <w:t>oddiel</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Sro</w:t>
      </w:r>
      <w:proofErr w:type="spellEnd"/>
      <w:r w:rsidRPr="00B93A14">
        <w:rPr>
          <w:rFonts w:ascii="Calibri" w:hAnsi="Calibri" w:cs="Calibri"/>
          <w:bCs/>
          <w:sz w:val="22"/>
          <w:szCs w:val="22"/>
        </w:rPr>
        <w:t>, vložka č. 111443/B</w:t>
      </w:r>
    </w:p>
    <w:p w:rsidR="00443ED3" w:rsidRPr="00B93A14" w:rsidRDefault="00443ED3" w:rsidP="00443ED3">
      <w:pPr>
        <w:ind w:firstLine="709"/>
        <w:rPr>
          <w:rFonts w:ascii="Calibri" w:hAnsi="Calibri" w:cs="Calibri"/>
          <w:bCs/>
          <w:sz w:val="22"/>
          <w:szCs w:val="22"/>
        </w:rPr>
      </w:pPr>
      <w:r w:rsidRPr="00B93A14">
        <w:rPr>
          <w:rFonts w:ascii="Calibri" w:hAnsi="Calibri" w:cs="Calibri"/>
          <w:bCs/>
          <w:sz w:val="22"/>
          <w:szCs w:val="22"/>
        </w:rPr>
        <w:t xml:space="preserve">Se sídlem: </w:t>
      </w:r>
      <w:r>
        <w:rPr>
          <w:rFonts w:ascii="Calibri" w:hAnsi="Calibri" w:cs="Calibri"/>
          <w:bCs/>
          <w:sz w:val="22"/>
          <w:szCs w:val="22"/>
        </w:rPr>
        <w:t>Dunajská 2284/1, 811 08</w:t>
      </w:r>
      <w:r w:rsidRPr="00B93A14">
        <w:rPr>
          <w:rFonts w:ascii="Calibri" w:hAnsi="Calibri" w:cs="Calibri"/>
          <w:bCs/>
          <w:sz w:val="22"/>
          <w:szCs w:val="22"/>
        </w:rPr>
        <w:t xml:space="preserve"> Bratislava</w:t>
      </w:r>
    </w:p>
    <w:p w:rsidR="00443ED3" w:rsidRPr="00B93A14" w:rsidRDefault="00443ED3" w:rsidP="00443ED3">
      <w:pPr>
        <w:ind w:firstLine="709"/>
        <w:rPr>
          <w:rFonts w:ascii="Calibri" w:hAnsi="Calibri" w:cs="Calibri"/>
          <w:bCs/>
          <w:sz w:val="22"/>
          <w:szCs w:val="22"/>
        </w:rPr>
      </w:pPr>
      <w:r w:rsidRPr="00B93A14">
        <w:rPr>
          <w:rFonts w:ascii="Calibri" w:hAnsi="Calibri" w:cs="Calibri"/>
          <w:bCs/>
          <w:sz w:val="22"/>
          <w:szCs w:val="22"/>
        </w:rPr>
        <w:t>IČ: 50308921</w:t>
      </w:r>
      <w:r>
        <w:rPr>
          <w:rFonts w:ascii="Calibri" w:hAnsi="Calibri" w:cs="Calibri"/>
          <w:bCs/>
          <w:sz w:val="22"/>
          <w:szCs w:val="22"/>
        </w:rPr>
        <w:t xml:space="preserve">; </w:t>
      </w:r>
      <w:r w:rsidRPr="00056716">
        <w:rPr>
          <w:rFonts w:ascii="Calibri" w:hAnsi="Calibri" w:cs="Calibri"/>
          <w:bCs/>
          <w:sz w:val="22"/>
          <w:szCs w:val="22"/>
        </w:rPr>
        <w:t>IČ DPH</w:t>
      </w:r>
      <w:r w:rsidRPr="00B93A14">
        <w:rPr>
          <w:rFonts w:ascii="Calibri" w:hAnsi="Calibri" w:cs="Calibri"/>
          <w:bCs/>
          <w:sz w:val="22"/>
          <w:szCs w:val="22"/>
        </w:rPr>
        <w:t xml:space="preserve">: </w:t>
      </w:r>
      <w:r w:rsidRPr="007E40A9">
        <w:rPr>
          <w:rFonts w:ascii="Calibri" w:hAnsi="Calibri" w:cs="Calibri"/>
          <w:bCs/>
          <w:sz w:val="22"/>
          <w:szCs w:val="22"/>
        </w:rPr>
        <w:t>SK2120301337</w:t>
      </w:r>
      <w:r>
        <w:rPr>
          <w:rFonts w:ascii="Calibri" w:hAnsi="Calibri" w:cs="Calibri"/>
          <w:bCs/>
          <w:sz w:val="22"/>
          <w:szCs w:val="22"/>
        </w:rPr>
        <w:t>;</w:t>
      </w:r>
      <w:r w:rsidRPr="00B93A14">
        <w:rPr>
          <w:rFonts w:ascii="Calibri" w:hAnsi="Calibri" w:cs="Calibri"/>
          <w:bCs/>
          <w:sz w:val="22"/>
          <w:szCs w:val="22"/>
        </w:rPr>
        <w:t>IBAN: CZ04 0300 0000 0002 9536 7538</w:t>
      </w:r>
    </w:p>
    <w:p w:rsidR="00443ED3" w:rsidRPr="00B93A14" w:rsidRDefault="00443ED3" w:rsidP="00443ED3">
      <w:pPr>
        <w:ind w:firstLine="709"/>
        <w:rPr>
          <w:rFonts w:ascii="Calibri" w:hAnsi="Calibri" w:cs="Calibri"/>
          <w:bCs/>
          <w:sz w:val="22"/>
          <w:szCs w:val="22"/>
        </w:rPr>
      </w:pPr>
      <w:r w:rsidRPr="00B93A14">
        <w:rPr>
          <w:rFonts w:ascii="Calibri" w:hAnsi="Calibri" w:cs="Calibri"/>
          <w:bCs/>
          <w:sz w:val="22"/>
          <w:szCs w:val="22"/>
        </w:rPr>
        <w:t>bankovní spojení: Československá obchodná banka, a.s.</w:t>
      </w:r>
    </w:p>
    <w:p w:rsidR="00443ED3" w:rsidRPr="00B93A14" w:rsidRDefault="00443ED3" w:rsidP="00443ED3">
      <w:pPr>
        <w:ind w:firstLine="709"/>
        <w:rPr>
          <w:rFonts w:ascii="Calibri" w:hAnsi="Calibri" w:cs="Calibri"/>
          <w:bCs/>
          <w:sz w:val="22"/>
          <w:szCs w:val="22"/>
        </w:rPr>
      </w:pPr>
      <w:r w:rsidRPr="00B93A14">
        <w:rPr>
          <w:rFonts w:ascii="Calibri" w:hAnsi="Calibri" w:cs="Calibri"/>
          <w:bCs/>
          <w:sz w:val="22"/>
          <w:szCs w:val="22"/>
        </w:rPr>
        <w:t>číslo účtu: CZ04 0300 0000 0002 9536 7538</w:t>
      </w:r>
    </w:p>
    <w:p w:rsidR="00443ED3" w:rsidRDefault="00443ED3" w:rsidP="00443ED3">
      <w:pPr>
        <w:ind w:firstLine="709"/>
        <w:rPr>
          <w:rFonts w:ascii="Calibri" w:hAnsi="Calibri" w:cs="Calibri"/>
          <w:bCs/>
          <w:sz w:val="22"/>
          <w:szCs w:val="22"/>
        </w:rPr>
      </w:pPr>
      <w:r w:rsidRPr="00B93A14">
        <w:rPr>
          <w:rFonts w:ascii="Calibri" w:hAnsi="Calibri" w:cs="Calibri"/>
          <w:bCs/>
          <w:sz w:val="22"/>
          <w:szCs w:val="22"/>
        </w:rPr>
        <w:t xml:space="preserve">zastoupený: Michal </w:t>
      </w:r>
      <w:proofErr w:type="spellStart"/>
      <w:r w:rsidRPr="00B93A14">
        <w:rPr>
          <w:rFonts w:ascii="Calibri" w:hAnsi="Calibri" w:cs="Calibri"/>
          <w:bCs/>
          <w:sz w:val="22"/>
          <w:szCs w:val="22"/>
        </w:rPr>
        <w:t>Lenický</w:t>
      </w:r>
      <w:proofErr w:type="spellEnd"/>
      <w:r w:rsidRPr="00B93A14">
        <w:rPr>
          <w:rFonts w:ascii="Calibri" w:hAnsi="Calibri" w:cs="Calibri"/>
          <w:bCs/>
          <w:sz w:val="22"/>
          <w:szCs w:val="22"/>
        </w:rPr>
        <w:t>, jednatel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443ED3">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443ED3"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xml:space="preserve">, specifikované </w:t>
      </w:r>
      <w:r w:rsidRPr="00443ED3">
        <w:rPr>
          <w:rFonts w:ascii="Calibri" w:hAnsi="Calibri" w:cs="Calibri"/>
          <w:sz w:val="22"/>
          <w:szCs w:val="22"/>
        </w:rPr>
        <w:t>v čl. IV., bod 1 této smlouvy;</w:t>
      </w:r>
    </w:p>
    <w:p w:rsidR="001C708D" w:rsidRPr="00443ED3" w:rsidRDefault="001C708D" w:rsidP="001C708D">
      <w:pPr>
        <w:numPr>
          <w:ilvl w:val="0"/>
          <w:numId w:val="40"/>
        </w:numPr>
        <w:ind w:left="426" w:hanging="284"/>
        <w:jc w:val="both"/>
        <w:rPr>
          <w:rFonts w:ascii="Calibri" w:hAnsi="Calibri" w:cs="Calibri"/>
          <w:sz w:val="22"/>
          <w:szCs w:val="22"/>
        </w:rPr>
      </w:pPr>
      <w:r w:rsidRPr="00443ED3">
        <w:rPr>
          <w:rFonts w:ascii="Calibri" w:hAnsi="Calibri" w:cs="Calibri"/>
          <w:sz w:val="22"/>
          <w:szCs w:val="22"/>
        </w:rPr>
        <w:t>závazek MBP vyrábět, prodávat a distribuovat jménem a na účet pořadatele akce vstupenky na tuto akci.</w:t>
      </w:r>
    </w:p>
    <w:p w:rsidR="001C708D" w:rsidRPr="00443ED3" w:rsidRDefault="001C708D" w:rsidP="001C708D">
      <w:pPr>
        <w:jc w:val="both"/>
        <w:rPr>
          <w:rFonts w:ascii="Calibri" w:hAnsi="Calibri" w:cs="Calibri"/>
          <w:sz w:val="22"/>
          <w:szCs w:val="22"/>
        </w:rPr>
      </w:pPr>
      <w:r w:rsidRPr="00443ED3">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443ED3" w:rsidRDefault="001C708D" w:rsidP="001C708D">
      <w:pPr>
        <w:numPr>
          <w:ilvl w:val="0"/>
          <w:numId w:val="41"/>
        </w:numPr>
        <w:ind w:left="426" w:hanging="284"/>
        <w:jc w:val="both"/>
        <w:rPr>
          <w:rFonts w:ascii="Calibri" w:hAnsi="Calibri" w:cs="Calibri"/>
          <w:sz w:val="22"/>
          <w:szCs w:val="22"/>
        </w:rPr>
      </w:pPr>
      <w:r w:rsidRPr="00443ED3">
        <w:rPr>
          <w:rFonts w:ascii="Calibri" w:hAnsi="Calibri" w:cs="Calibri"/>
          <w:sz w:val="22"/>
          <w:szCs w:val="22"/>
        </w:rPr>
        <w:t>užívání předmětu podnájmu a cenu povinných servisních služeb spojených s realizací akce;</w:t>
      </w:r>
    </w:p>
    <w:p w:rsidR="001C708D" w:rsidRPr="00443ED3" w:rsidRDefault="001C708D" w:rsidP="007C3F80">
      <w:pPr>
        <w:numPr>
          <w:ilvl w:val="0"/>
          <w:numId w:val="41"/>
        </w:numPr>
        <w:spacing w:after="240"/>
        <w:ind w:left="426" w:hanging="284"/>
        <w:jc w:val="both"/>
        <w:rPr>
          <w:rFonts w:ascii="Calibri" w:hAnsi="Calibri" w:cs="Calibri"/>
          <w:sz w:val="22"/>
          <w:szCs w:val="22"/>
        </w:rPr>
      </w:pPr>
      <w:r w:rsidRPr="00443ED3">
        <w:rPr>
          <w:rFonts w:ascii="Calibri" w:hAnsi="Calibri" w:cs="Calibri"/>
          <w:sz w:val="22"/>
          <w:szCs w:val="22"/>
        </w:rPr>
        <w:t>za výrobu, distribuci, prodej a kontrolu vstupenek na akci.</w:t>
      </w:r>
    </w:p>
    <w:p w:rsidR="00482A69" w:rsidRPr="00443ED3" w:rsidRDefault="00FB314A" w:rsidP="00230D25">
      <w:pPr>
        <w:ind w:left="4254" w:firstLine="709"/>
        <w:rPr>
          <w:rFonts w:ascii="Calibri" w:hAnsi="Calibri" w:cs="Calibri"/>
          <w:b/>
          <w:sz w:val="22"/>
          <w:szCs w:val="22"/>
        </w:rPr>
      </w:pPr>
      <w:r w:rsidRPr="00443ED3">
        <w:rPr>
          <w:rFonts w:ascii="Calibri" w:hAnsi="Calibri" w:cs="Calibri"/>
          <w:b/>
          <w:sz w:val="22"/>
          <w:szCs w:val="22"/>
        </w:rPr>
        <w:t>I</w:t>
      </w:r>
      <w:r w:rsidR="00E15164" w:rsidRPr="00443ED3">
        <w:rPr>
          <w:rFonts w:ascii="Calibri" w:hAnsi="Calibri" w:cs="Calibri"/>
          <w:b/>
          <w:sz w:val="22"/>
          <w:szCs w:val="22"/>
        </w:rPr>
        <w:t>II</w:t>
      </w:r>
      <w:r w:rsidRPr="00443ED3">
        <w:rPr>
          <w:rFonts w:ascii="Calibri" w:hAnsi="Calibri" w:cs="Calibri"/>
          <w:b/>
          <w:sz w:val="22"/>
          <w:szCs w:val="22"/>
        </w:rPr>
        <w:t>.</w:t>
      </w:r>
    </w:p>
    <w:p w:rsidR="002F7802" w:rsidRPr="00443ED3" w:rsidRDefault="00E15164" w:rsidP="00CD3448">
      <w:pPr>
        <w:spacing w:after="120"/>
        <w:jc w:val="center"/>
        <w:rPr>
          <w:rFonts w:ascii="Calibri" w:hAnsi="Calibri" w:cs="Calibri"/>
          <w:b/>
          <w:sz w:val="22"/>
          <w:szCs w:val="22"/>
          <w:u w:val="single"/>
        </w:rPr>
      </w:pPr>
      <w:r w:rsidRPr="00443ED3">
        <w:rPr>
          <w:rFonts w:ascii="Calibri" w:hAnsi="Calibri" w:cs="Calibri"/>
          <w:b/>
          <w:sz w:val="22"/>
          <w:szCs w:val="22"/>
          <w:u w:val="single"/>
        </w:rPr>
        <w:t>P</w:t>
      </w:r>
      <w:r w:rsidR="002F7802" w:rsidRPr="00443ED3">
        <w:rPr>
          <w:rFonts w:ascii="Calibri" w:hAnsi="Calibri" w:cs="Calibri"/>
          <w:b/>
          <w:sz w:val="22"/>
          <w:szCs w:val="22"/>
          <w:u w:val="single"/>
        </w:rPr>
        <w:t>ředmět podnájmu</w:t>
      </w:r>
    </w:p>
    <w:p w:rsidR="00E9436E" w:rsidRPr="00443ED3" w:rsidRDefault="002F7802" w:rsidP="00CD3448">
      <w:pPr>
        <w:pStyle w:val="Zkladntext"/>
        <w:numPr>
          <w:ilvl w:val="0"/>
          <w:numId w:val="4"/>
        </w:numPr>
        <w:tabs>
          <w:tab w:val="num" w:pos="284"/>
        </w:tabs>
        <w:spacing w:after="120"/>
        <w:ind w:left="284" w:hanging="284"/>
        <w:rPr>
          <w:rFonts w:ascii="Calibri" w:hAnsi="Calibri" w:cs="Calibri"/>
          <w:szCs w:val="22"/>
        </w:rPr>
      </w:pPr>
      <w:r w:rsidRPr="00443ED3">
        <w:rPr>
          <w:rFonts w:ascii="Calibri" w:hAnsi="Calibri" w:cs="Calibri"/>
          <w:szCs w:val="22"/>
        </w:rPr>
        <w:t xml:space="preserve">Předmětem podnájmu jsou nebytové prostory včetně vybavení a movitých věcí </w:t>
      </w:r>
      <w:r w:rsidR="005E0C42" w:rsidRPr="00443ED3">
        <w:rPr>
          <w:rFonts w:ascii="Calibri" w:hAnsi="Calibri" w:cs="Calibri"/>
          <w:szCs w:val="22"/>
        </w:rPr>
        <w:t>uvedených v příloze č. 1 této smlouvy</w:t>
      </w:r>
      <w:r w:rsidR="00E9436E" w:rsidRPr="00443ED3">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43ED3" w:rsidRDefault="00E9436E" w:rsidP="00CD3448">
      <w:pPr>
        <w:pStyle w:val="Zkladntext"/>
        <w:numPr>
          <w:ilvl w:val="0"/>
          <w:numId w:val="4"/>
        </w:numPr>
        <w:tabs>
          <w:tab w:val="num" w:pos="284"/>
        </w:tabs>
        <w:spacing w:after="120"/>
        <w:ind w:left="284" w:hanging="284"/>
        <w:rPr>
          <w:rFonts w:ascii="Calibri" w:hAnsi="Calibri" w:cs="Calibri"/>
          <w:szCs w:val="22"/>
        </w:rPr>
      </w:pPr>
      <w:r w:rsidRPr="00443ED3">
        <w:rPr>
          <w:rFonts w:ascii="Calibri" w:hAnsi="Calibri" w:cs="Calibri"/>
          <w:szCs w:val="22"/>
        </w:rPr>
        <w:t xml:space="preserve">Předmět podnájmu – jak jej MBP přenechává pořadateli akce a pořadatel akce jej přebírá – má maximální kapacitu </w:t>
      </w:r>
      <w:r w:rsidR="00552ED2" w:rsidRPr="00443ED3">
        <w:rPr>
          <w:rFonts w:ascii="Calibri" w:hAnsi="Calibri" w:cs="Calibri"/>
          <w:szCs w:val="22"/>
        </w:rPr>
        <w:t>návštěvníků akce definovanou v p</w:t>
      </w:r>
      <w:r w:rsidRPr="00443ED3">
        <w:rPr>
          <w:rFonts w:ascii="Calibri" w:hAnsi="Calibri" w:cs="Calibri"/>
          <w:szCs w:val="22"/>
        </w:rPr>
        <w:t xml:space="preserve">říloze č. 2 této smlouvy. Pořadatel akce se zavazuje tuto kapacitu dodržet. </w:t>
      </w:r>
    </w:p>
    <w:p w:rsidR="00956D63" w:rsidRPr="00443ED3" w:rsidRDefault="00E15164" w:rsidP="007C3F80">
      <w:pPr>
        <w:pStyle w:val="Zkladntext"/>
        <w:numPr>
          <w:ilvl w:val="0"/>
          <w:numId w:val="4"/>
        </w:numPr>
        <w:tabs>
          <w:tab w:val="num" w:pos="284"/>
        </w:tabs>
        <w:spacing w:after="240"/>
        <w:ind w:left="284" w:hanging="284"/>
        <w:rPr>
          <w:rFonts w:ascii="Calibri" w:hAnsi="Calibri" w:cs="Calibri"/>
          <w:szCs w:val="22"/>
        </w:rPr>
      </w:pPr>
      <w:r w:rsidRPr="00443ED3">
        <w:rPr>
          <w:rFonts w:ascii="Calibri" w:hAnsi="Calibri" w:cs="Calibri"/>
          <w:szCs w:val="22"/>
        </w:rPr>
        <w:t>V souvislosti s</w:t>
      </w:r>
      <w:r w:rsidR="00254496" w:rsidRPr="00443ED3">
        <w:rPr>
          <w:rFonts w:ascii="Calibri" w:hAnsi="Calibri" w:cs="Calibri"/>
          <w:szCs w:val="22"/>
        </w:rPr>
        <w:t> realizací akce</w:t>
      </w:r>
      <w:r w:rsidRPr="00443ED3">
        <w:rPr>
          <w:rFonts w:ascii="Calibri" w:hAnsi="Calibri" w:cs="Calibri"/>
          <w:szCs w:val="22"/>
        </w:rPr>
        <w:t xml:space="preserve"> </w:t>
      </w:r>
      <w:r w:rsidR="001A1CAC" w:rsidRPr="00443ED3">
        <w:rPr>
          <w:rFonts w:ascii="Calibri" w:hAnsi="Calibri" w:cs="Calibri"/>
          <w:szCs w:val="22"/>
        </w:rPr>
        <w:t xml:space="preserve">je </w:t>
      </w:r>
      <w:r w:rsidRPr="00443ED3">
        <w:rPr>
          <w:rFonts w:ascii="Calibri" w:hAnsi="Calibri" w:cs="Calibri"/>
          <w:szCs w:val="22"/>
        </w:rPr>
        <w:t xml:space="preserve">pořadatel akce </w:t>
      </w:r>
      <w:r w:rsidR="001A1CAC" w:rsidRPr="00443ED3">
        <w:rPr>
          <w:rFonts w:ascii="Calibri" w:hAnsi="Calibri" w:cs="Calibri"/>
          <w:szCs w:val="22"/>
        </w:rPr>
        <w:t xml:space="preserve">povinen odebrat </w:t>
      </w:r>
      <w:r w:rsidRPr="00443ED3">
        <w:rPr>
          <w:rFonts w:ascii="Calibri" w:hAnsi="Calibri" w:cs="Calibri"/>
          <w:szCs w:val="22"/>
        </w:rPr>
        <w:t>od MBP povinné servisní služby (plnění) uvedené v článku VII</w:t>
      </w:r>
      <w:r w:rsidR="00C17605" w:rsidRPr="00443ED3">
        <w:rPr>
          <w:rFonts w:ascii="Calibri" w:hAnsi="Calibri" w:cs="Calibri"/>
          <w:szCs w:val="22"/>
        </w:rPr>
        <w:t>I</w:t>
      </w:r>
      <w:r w:rsidRPr="00443ED3">
        <w:rPr>
          <w:rFonts w:ascii="Calibri" w:hAnsi="Calibri" w:cs="Calibri"/>
          <w:szCs w:val="22"/>
        </w:rPr>
        <w:t xml:space="preserve"> této smlouvy. </w:t>
      </w:r>
      <w:r w:rsidR="005E0C42" w:rsidRPr="00443ED3">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43ED3" w:rsidRDefault="00E15164" w:rsidP="00443ED3">
      <w:pPr>
        <w:pStyle w:val="Zkladntext"/>
        <w:numPr>
          <w:ilvl w:val="0"/>
          <w:numId w:val="27"/>
        </w:numPr>
        <w:spacing w:after="120"/>
        <w:rPr>
          <w:rFonts w:ascii="Calibri" w:hAnsi="Calibri" w:cs="Calibri"/>
          <w:szCs w:val="22"/>
        </w:rPr>
      </w:pPr>
      <w:r w:rsidRPr="00443ED3">
        <w:rPr>
          <w:rFonts w:ascii="Calibri" w:hAnsi="Calibri" w:cs="Calibri"/>
          <w:szCs w:val="22"/>
        </w:rPr>
        <w:t xml:space="preserve">Pořadatel akce užije předmět podnájmu k pořádání kulturní akce </w:t>
      </w:r>
      <w:r w:rsidR="001A7C3D" w:rsidRPr="00443ED3">
        <w:rPr>
          <w:rFonts w:ascii="Calibri" w:hAnsi="Calibri" w:cs="Calibri"/>
          <w:szCs w:val="22"/>
        </w:rPr>
        <w:t>„</w:t>
      </w:r>
      <w:r w:rsidR="00443ED3" w:rsidRPr="00443ED3">
        <w:rPr>
          <w:rFonts w:ascii="Calibri" w:hAnsi="Calibri" w:cs="Calibri"/>
          <w:b/>
          <w:szCs w:val="22"/>
        </w:rPr>
        <w:t xml:space="preserve">Dobré ráno s </w:t>
      </w:r>
      <w:proofErr w:type="spellStart"/>
      <w:r w:rsidR="00443ED3" w:rsidRPr="00443ED3">
        <w:rPr>
          <w:rFonts w:ascii="Calibri" w:hAnsi="Calibri" w:cs="Calibri"/>
          <w:b/>
          <w:szCs w:val="22"/>
        </w:rPr>
        <w:t>Findou</w:t>
      </w:r>
      <w:proofErr w:type="spellEnd"/>
      <w:r w:rsidR="001A7C3D" w:rsidRPr="00443ED3">
        <w:rPr>
          <w:rFonts w:ascii="Calibri" w:hAnsi="Calibri" w:cs="Calibri"/>
          <w:b/>
          <w:szCs w:val="22"/>
        </w:rPr>
        <w:t>“</w:t>
      </w:r>
      <w:r w:rsidRPr="00443ED3">
        <w:rPr>
          <w:rFonts w:ascii="Calibri" w:hAnsi="Calibri" w:cs="Calibri"/>
          <w:szCs w:val="22"/>
        </w:rPr>
        <w:t xml:space="preserve"> (dále jen „akce“), která se uskuteční </w:t>
      </w:r>
      <w:r w:rsidR="00443ED3" w:rsidRPr="00443ED3">
        <w:rPr>
          <w:rFonts w:ascii="Calibri" w:hAnsi="Calibri" w:cs="Calibri"/>
          <w:b/>
          <w:szCs w:val="22"/>
        </w:rPr>
        <w:t>dne 12</w:t>
      </w:r>
      <w:r w:rsidRPr="00443ED3">
        <w:rPr>
          <w:rFonts w:ascii="Calibri" w:hAnsi="Calibri" w:cs="Calibri"/>
          <w:b/>
          <w:szCs w:val="22"/>
        </w:rPr>
        <w:t xml:space="preserve">. </w:t>
      </w:r>
      <w:r w:rsidR="00443ED3" w:rsidRPr="00443ED3">
        <w:rPr>
          <w:rFonts w:ascii="Calibri" w:hAnsi="Calibri" w:cs="Calibri"/>
          <w:b/>
          <w:szCs w:val="22"/>
        </w:rPr>
        <w:t>10</w:t>
      </w:r>
      <w:r w:rsidR="00662F99" w:rsidRPr="00443ED3">
        <w:rPr>
          <w:rFonts w:ascii="Calibri" w:hAnsi="Calibri" w:cs="Calibri"/>
          <w:b/>
          <w:szCs w:val="22"/>
        </w:rPr>
        <w:t>.</w:t>
      </w:r>
      <w:r w:rsidR="00443ED3" w:rsidRPr="00443ED3">
        <w:rPr>
          <w:rFonts w:ascii="Calibri" w:hAnsi="Calibri" w:cs="Calibri"/>
          <w:b/>
          <w:szCs w:val="22"/>
        </w:rPr>
        <w:t xml:space="preserve"> 2026</w:t>
      </w:r>
      <w:r w:rsidRPr="00443ED3">
        <w:rPr>
          <w:rFonts w:ascii="Calibri" w:hAnsi="Calibri" w:cs="Calibri"/>
          <w:b/>
          <w:szCs w:val="22"/>
        </w:rPr>
        <w:t xml:space="preserve"> od 19:00 hod</w:t>
      </w:r>
      <w:r w:rsidRPr="00443ED3">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443ED3"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43ED3">
        <w:rPr>
          <w:rFonts w:ascii="Calibri" w:hAnsi="Calibri" w:cs="Calibri"/>
          <w:sz w:val="22"/>
          <w:szCs w:val="22"/>
        </w:rPr>
        <w:t>Podnájem se sjednává na dobu určitou</w:t>
      </w:r>
      <w:r w:rsidR="001A1CAC" w:rsidRPr="00443ED3">
        <w:rPr>
          <w:rFonts w:ascii="Calibri" w:hAnsi="Calibri" w:cs="Calibri"/>
          <w:sz w:val="22"/>
          <w:szCs w:val="22"/>
        </w:rPr>
        <w:t>, přičemž p</w:t>
      </w:r>
      <w:r w:rsidRPr="00443ED3">
        <w:rPr>
          <w:rFonts w:ascii="Calibri" w:hAnsi="Calibri" w:cs="Calibri"/>
          <w:sz w:val="22"/>
          <w:szCs w:val="22"/>
        </w:rPr>
        <w:t xml:space="preserve">řesné časy </w:t>
      </w:r>
      <w:r w:rsidR="002140EA" w:rsidRPr="00443ED3">
        <w:rPr>
          <w:rFonts w:ascii="Calibri" w:hAnsi="Calibri" w:cs="Calibri"/>
          <w:sz w:val="22"/>
          <w:szCs w:val="22"/>
        </w:rPr>
        <w:t xml:space="preserve">doby podnájmu </w:t>
      </w:r>
      <w:r w:rsidRPr="00443ED3">
        <w:rPr>
          <w:rFonts w:ascii="Calibri" w:hAnsi="Calibri" w:cs="Calibri"/>
          <w:sz w:val="22"/>
          <w:szCs w:val="22"/>
        </w:rPr>
        <w:t>jsou uvedeny v příloze č. 1</w:t>
      </w:r>
      <w:r w:rsidR="001A1CAC" w:rsidRPr="00443ED3">
        <w:rPr>
          <w:rFonts w:ascii="Calibri" w:hAnsi="Calibri" w:cs="Calibri"/>
          <w:sz w:val="22"/>
          <w:szCs w:val="22"/>
        </w:rPr>
        <w:t xml:space="preserve"> této smlouvy, jež je nedílnou součástí této smlouvy</w:t>
      </w:r>
      <w:r w:rsidRPr="00443ED3">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43ED3"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w:t>
      </w:r>
      <w:r w:rsidRPr="00443ED3">
        <w:rPr>
          <w:rFonts w:ascii="Calibri" w:hAnsi="Calibri" w:cs="Calibri"/>
          <w:sz w:val="22"/>
        </w:rPr>
        <w:t xml:space="preserve">účastníkům akce prostřednictvím svých prodejních míst </w:t>
      </w:r>
      <w:r w:rsidRPr="00443ED3">
        <w:rPr>
          <w:rFonts w:ascii="Calibri" w:hAnsi="Calibri" w:cs="Calibri"/>
          <w:sz w:val="22"/>
        </w:rPr>
        <w:br/>
        <w:t xml:space="preserve">a svých internetových stránek. Zadání pro distribuci a prodej vstupenek tvoří přílohu č. 2 této smlouvy. </w:t>
      </w:r>
    </w:p>
    <w:p w:rsidR="001C708D" w:rsidRPr="00443ED3"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43ED3">
        <w:rPr>
          <w:rFonts w:ascii="Calibri" w:hAnsi="Calibri" w:cs="Calibri"/>
          <w:szCs w:val="22"/>
        </w:rPr>
        <w:t xml:space="preserve">Pořadatel akce touto smlouvou uděluje MBP plnou moc k tomu, aby jeho jménem: </w:t>
      </w:r>
    </w:p>
    <w:p w:rsidR="001C708D" w:rsidRPr="00443ED3" w:rsidRDefault="001C708D" w:rsidP="001C708D">
      <w:pPr>
        <w:pStyle w:val="Zkladntext"/>
        <w:numPr>
          <w:ilvl w:val="0"/>
          <w:numId w:val="11"/>
        </w:numPr>
        <w:suppressAutoHyphens w:val="0"/>
        <w:ind w:left="709" w:hanging="283"/>
        <w:rPr>
          <w:rFonts w:ascii="Calibri" w:hAnsi="Calibri" w:cs="Calibri"/>
          <w:szCs w:val="22"/>
        </w:rPr>
      </w:pPr>
      <w:r w:rsidRPr="00443ED3">
        <w:rPr>
          <w:rFonts w:ascii="Calibri" w:hAnsi="Calibri" w:cs="Calibri"/>
          <w:szCs w:val="22"/>
        </w:rPr>
        <w:t>nabízel a prodával třetím osobám vstupenky na akci v souladu s podmínkami stanovenými touto smlouvou,</w:t>
      </w:r>
    </w:p>
    <w:p w:rsidR="001C708D" w:rsidRPr="00443ED3"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43ED3">
        <w:rPr>
          <w:rFonts w:ascii="Calibri" w:hAnsi="Calibri" w:cs="Calibri"/>
          <w:szCs w:val="22"/>
        </w:rPr>
        <w:t>uskutečňoval právní jednání potřebná k prodeji vstupenek na akci, zejména uzavíral se třetími osobami smlouvy o prodeji těchto vstupenek,</w:t>
      </w:r>
    </w:p>
    <w:p w:rsidR="001C708D" w:rsidRPr="00443ED3"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43ED3">
        <w:rPr>
          <w:rFonts w:ascii="Calibri" w:hAnsi="Calibri" w:cs="Calibri"/>
          <w:szCs w:val="22"/>
        </w:rPr>
        <w:t>přijímal od třetích osob (účastníků akce, zákazníků) plnění a přijetí plnění potvrzoval jak prostřednictvím úhrady platební karty, tak v hotovosti;</w:t>
      </w:r>
    </w:p>
    <w:p w:rsidR="001C708D" w:rsidRPr="00443ED3"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43ED3">
        <w:rPr>
          <w:rFonts w:ascii="Calibri" w:hAnsi="Calibri" w:cs="Calibri"/>
          <w:szCs w:val="22"/>
        </w:rPr>
        <w:t>vystavoval faktury u prodeje vstupenek na fakturu;</w:t>
      </w:r>
    </w:p>
    <w:p w:rsidR="001C708D" w:rsidRPr="00443ED3"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43ED3">
        <w:rPr>
          <w:rFonts w:ascii="Calibri" w:hAnsi="Calibri" w:cs="Calibri"/>
          <w:szCs w:val="22"/>
        </w:rPr>
        <w:t>vydával vstupenky na akci;</w:t>
      </w:r>
    </w:p>
    <w:p w:rsidR="001C708D" w:rsidRPr="00443ED3"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43ED3">
        <w:rPr>
          <w:rFonts w:ascii="Calibri" w:hAnsi="Calibri" w:cs="Calibri"/>
          <w:szCs w:val="22"/>
        </w:rPr>
        <w:t>způsobem popsaným v bodě 6 tohoto článku smlouvy vyřizoval reklamace držitelů vstupenek.</w:t>
      </w:r>
    </w:p>
    <w:p w:rsidR="001C708D" w:rsidRPr="00443ED3"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43ED3">
        <w:rPr>
          <w:rFonts w:ascii="Calibri" w:hAnsi="Calibri" w:cs="Calibri"/>
          <w:sz w:val="22"/>
        </w:rPr>
        <w:t xml:space="preserve">Smluvní strany se dohodly, že prodej vstupenek celé kapacity sálu, jež je součástí předmětu podnájmu, bude </w:t>
      </w:r>
      <w:r w:rsidRPr="00443ED3">
        <w:rPr>
          <w:rFonts w:ascii="Calibri" w:hAnsi="Calibri" w:cs="Calibri"/>
          <w:sz w:val="22"/>
        </w:rPr>
        <w:br/>
        <w:t xml:space="preserve">ze strany MBP zahájen po podpisu této smlouvy a </w:t>
      </w:r>
      <w:r w:rsidR="00552ED2" w:rsidRPr="00443ED3">
        <w:rPr>
          <w:rFonts w:ascii="Calibri" w:hAnsi="Calibri" w:cs="Calibri"/>
          <w:sz w:val="22"/>
        </w:rPr>
        <w:t xml:space="preserve">uhrazení jistiny dle čl. </w:t>
      </w:r>
      <w:r w:rsidRPr="00443ED3">
        <w:rPr>
          <w:rFonts w:ascii="Calibri" w:hAnsi="Calibri" w:cs="Calibri"/>
          <w:sz w:val="22"/>
        </w:rPr>
        <w:t>X</w:t>
      </w:r>
      <w:r w:rsidR="00552ED2" w:rsidRPr="00443ED3">
        <w:rPr>
          <w:rFonts w:ascii="Calibri" w:hAnsi="Calibri" w:cs="Calibri"/>
          <w:sz w:val="22"/>
        </w:rPr>
        <w:t>III, bodu 2</w:t>
      </w:r>
      <w:r w:rsidRPr="00443ED3">
        <w:rPr>
          <w:rFonts w:ascii="Calibri" w:hAnsi="Calibri" w:cs="Calibri"/>
          <w:sz w:val="22"/>
        </w:rPr>
        <w:t xml:space="preserve"> této smlouvy pořadatelem akce. Od zahájení prodeje vstupenek MBP</w:t>
      </w:r>
      <w:r w:rsidRPr="00443ED3">
        <w:rPr>
          <w:rFonts w:ascii="Calibri" w:hAnsi="Calibri" w:cs="Calibri"/>
          <w:iCs/>
          <w:sz w:val="22"/>
          <w:szCs w:val="22"/>
        </w:rPr>
        <w:t xml:space="preserve"> odpovídá pořadateli akce za veškeré částky přijaté za prodej vstupenek na akci (dále jen „příjmy“).  </w:t>
      </w:r>
    </w:p>
    <w:p w:rsidR="001C708D" w:rsidRPr="00443ED3"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43ED3">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443ED3"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43ED3">
        <w:rPr>
          <w:rFonts w:ascii="Calibri" w:hAnsi="Calibri" w:cs="Calibri"/>
          <w:iCs/>
          <w:sz w:val="22"/>
          <w:szCs w:val="22"/>
        </w:rPr>
        <w:t xml:space="preserve">MBP pořadateli akce zaktivní online přístup do přehledu prodaných vstupenek na akci na www.goout.net. </w:t>
      </w:r>
    </w:p>
    <w:p w:rsidR="00AA4CC8" w:rsidRPr="00443ED3"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443ED3">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443ED3"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43ED3">
        <w:rPr>
          <w:rFonts w:ascii="Calibri" w:hAnsi="Calibri" w:cs="Calibri"/>
          <w:sz w:val="22"/>
          <w:szCs w:val="22"/>
        </w:rPr>
        <w:lastRenderedPageBreak/>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43ED3">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43ED3">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43ED3">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443ED3" w:rsidRDefault="001C708D" w:rsidP="00443ED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443ED3">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443ED3" w:rsidRDefault="001C708D" w:rsidP="00443ED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443ED3">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443ED3" w:rsidRDefault="002B792B" w:rsidP="00443ED3">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443ED3">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443ED3">
        <w:rPr>
          <w:rFonts w:ascii="Calibri" w:hAnsi="Calibri" w:cs="Calibri"/>
          <w:sz w:val="22"/>
          <w:szCs w:val="22"/>
        </w:rPr>
        <w:br/>
        <w:t>pro kontrolu bezinfekčnosti návštěvníků akce, zajistí tuto kontrolu návštěvníků akce pro pořadatele akce MBP   za dohodnutou úplatu.</w:t>
      </w:r>
    </w:p>
    <w:p w:rsidR="001C708D" w:rsidRPr="00443ED3" w:rsidRDefault="001C708D" w:rsidP="00443ED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443ED3">
        <w:rPr>
          <w:rFonts w:ascii="Calibri" w:hAnsi="Calibri" w:cs="Calibri"/>
          <w:sz w:val="22"/>
          <w:szCs w:val="22"/>
        </w:rPr>
        <w:t xml:space="preserve">Kontrolu platných vstupenek při vstupu návštěvníků na akci provádí pověření pracovníci MBP. </w:t>
      </w:r>
    </w:p>
    <w:p w:rsidR="00061E2C" w:rsidRPr="00443ED3" w:rsidRDefault="00061E2C" w:rsidP="00443ED3">
      <w:pPr>
        <w:numPr>
          <w:ilvl w:val="0"/>
          <w:numId w:val="20"/>
        </w:numPr>
        <w:tabs>
          <w:tab w:val="clear" w:pos="720"/>
          <w:tab w:val="num" w:pos="284"/>
        </w:tabs>
        <w:suppressAutoHyphens w:val="0"/>
        <w:ind w:left="567" w:hanging="567"/>
        <w:jc w:val="both"/>
        <w:rPr>
          <w:rFonts w:ascii="Calibri" w:hAnsi="Calibri" w:cs="Calibri"/>
          <w:sz w:val="22"/>
          <w:szCs w:val="22"/>
        </w:rPr>
      </w:pPr>
      <w:r w:rsidRPr="00443ED3">
        <w:rPr>
          <w:rFonts w:ascii="Calibri" w:hAnsi="Calibri" w:cs="Calibri"/>
          <w:sz w:val="22"/>
          <w:szCs w:val="22"/>
        </w:rPr>
        <w:t>Pořadatel akce se zavazuje, že dodrží plánovaný začátek akce (viz. Čl. IX., bod 2) a umožní vstup veřejnosti:</w:t>
      </w:r>
    </w:p>
    <w:p w:rsidR="00061E2C" w:rsidRPr="00443ED3" w:rsidRDefault="00061E2C" w:rsidP="00443ED3">
      <w:pPr>
        <w:suppressAutoHyphens w:val="0"/>
        <w:ind w:left="720"/>
        <w:jc w:val="both"/>
        <w:rPr>
          <w:rFonts w:ascii="Calibri" w:hAnsi="Calibri" w:cs="Calibri"/>
          <w:sz w:val="22"/>
          <w:szCs w:val="22"/>
        </w:rPr>
      </w:pPr>
      <w:r w:rsidRPr="00443ED3">
        <w:rPr>
          <w:rFonts w:ascii="Calibri" w:hAnsi="Calibri" w:cs="Calibri"/>
          <w:sz w:val="22"/>
          <w:szCs w:val="22"/>
        </w:rPr>
        <w:t>a)</w:t>
      </w:r>
      <w:r w:rsidRPr="00443ED3">
        <w:rPr>
          <w:rFonts w:ascii="Calibri" w:hAnsi="Calibri" w:cs="Calibri"/>
          <w:sz w:val="22"/>
          <w:szCs w:val="22"/>
        </w:rPr>
        <w:tab/>
        <w:t>do prostoru foyer a baru min. 45 minut</w:t>
      </w:r>
    </w:p>
    <w:p w:rsidR="00061E2C" w:rsidRPr="00443ED3" w:rsidRDefault="00061E2C" w:rsidP="00443ED3">
      <w:pPr>
        <w:suppressAutoHyphens w:val="0"/>
        <w:spacing w:after="120"/>
        <w:ind w:left="720"/>
        <w:jc w:val="both"/>
        <w:rPr>
          <w:rFonts w:ascii="Calibri" w:hAnsi="Calibri" w:cs="Calibri"/>
          <w:sz w:val="22"/>
          <w:szCs w:val="22"/>
        </w:rPr>
      </w:pPr>
      <w:r w:rsidRPr="00443ED3">
        <w:rPr>
          <w:rFonts w:ascii="Calibri" w:hAnsi="Calibri" w:cs="Calibri"/>
          <w:sz w:val="22"/>
          <w:szCs w:val="22"/>
        </w:rPr>
        <w:t>b)</w:t>
      </w:r>
      <w:r w:rsidRPr="00443ED3">
        <w:rPr>
          <w:rFonts w:ascii="Calibri" w:hAnsi="Calibri" w:cs="Calibri"/>
          <w:sz w:val="22"/>
          <w:szCs w:val="22"/>
        </w:rPr>
        <w:tab/>
        <w:t xml:space="preserve">do prostoru sálu, kde se představení koná 30 min, před začátkem akce. </w:t>
      </w:r>
    </w:p>
    <w:p w:rsidR="00061E2C" w:rsidRPr="00443ED3" w:rsidRDefault="00061E2C" w:rsidP="00443ED3">
      <w:pPr>
        <w:suppressAutoHyphens w:val="0"/>
        <w:spacing w:after="240"/>
        <w:ind w:left="284"/>
        <w:jc w:val="both"/>
        <w:rPr>
          <w:rFonts w:ascii="Calibri" w:hAnsi="Calibri" w:cs="Calibri"/>
          <w:sz w:val="22"/>
          <w:szCs w:val="22"/>
        </w:rPr>
      </w:pPr>
      <w:r w:rsidRPr="00443ED3">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443ED3">
        <w:rPr>
          <w:rFonts w:ascii="Calibri" w:hAnsi="Calibri" w:cs="Calibri"/>
          <w:b/>
          <w:sz w:val="22"/>
          <w:szCs w:val="22"/>
        </w:rPr>
        <w:t>20.000,- Kč</w:t>
      </w:r>
      <w:r w:rsidRPr="00443ED3">
        <w:rPr>
          <w:rFonts w:ascii="Calibri" w:hAnsi="Calibri" w:cs="Calibri"/>
          <w:sz w:val="22"/>
          <w:szCs w:val="22"/>
        </w:rPr>
        <w:t xml:space="preserve"> (slovy: </w:t>
      </w:r>
      <w:proofErr w:type="spellStart"/>
      <w:r w:rsidRPr="00443ED3">
        <w:rPr>
          <w:rFonts w:ascii="Calibri" w:hAnsi="Calibri" w:cs="Calibri"/>
          <w:sz w:val="22"/>
          <w:szCs w:val="22"/>
        </w:rPr>
        <w:t>dvacettisíc</w:t>
      </w:r>
      <w:proofErr w:type="spellEnd"/>
      <w:r w:rsidRPr="00443ED3">
        <w:rPr>
          <w:rFonts w:ascii="Calibri" w:hAnsi="Calibri" w:cs="Calibri"/>
          <w:sz w:val="22"/>
          <w:szCs w:val="22"/>
        </w:rPr>
        <w:t xml:space="preserve"> korun českých).</w:t>
      </w:r>
    </w:p>
    <w:p w:rsidR="001C708D" w:rsidRPr="00443ED3" w:rsidRDefault="001C708D" w:rsidP="00443ED3">
      <w:pPr>
        <w:tabs>
          <w:tab w:val="left" w:pos="360"/>
        </w:tabs>
        <w:overflowPunct w:val="0"/>
        <w:autoSpaceDE w:val="0"/>
        <w:ind w:left="360"/>
        <w:jc w:val="center"/>
        <w:textAlignment w:val="baseline"/>
        <w:rPr>
          <w:rFonts w:ascii="Calibri" w:hAnsi="Calibri" w:cs="Calibri"/>
          <w:b/>
          <w:sz w:val="22"/>
          <w:szCs w:val="22"/>
        </w:rPr>
      </w:pPr>
      <w:r w:rsidRPr="00443ED3">
        <w:rPr>
          <w:rFonts w:ascii="Calibri" w:hAnsi="Calibri" w:cs="Calibri"/>
          <w:b/>
          <w:sz w:val="22"/>
          <w:szCs w:val="22"/>
        </w:rPr>
        <w:t>VIII.</w:t>
      </w:r>
    </w:p>
    <w:p w:rsidR="001C708D" w:rsidRPr="00443ED3" w:rsidRDefault="001C708D" w:rsidP="00443ED3">
      <w:pPr>
        <w:pStyle w:val="Zkladntext"/>
        <w:spacing w:after="120"/>
        <w:jc w:val="center"/>
        <w:rPr>
          <w:rFonts w:ascii="Calibri" w:hAnsi="Calibri" w:cs="Calibri"/>
          <w:b/>
          <w:szCs w:val="22"/>
          <w:u w:val="single"/>
        </w:rPr>
      </w:pPr>
      <w:r w:rsidRPr="00443ED3">
        <w:rPr>
          <w:rFonts w:ascii="Calibri" w:hAnsi="Calibri" w:cs="Calibri"/>
          <w:b/>
          <w:szCs w:val="22"/>
          <w:u w:val="single"/>
        </w:rPr>
        <w:t>Služby poskytované MBP v souvislosti s realizací akce</w:t>
      </w:r>
    </w:p>
    <w:p w:rsidR="001C708D" w:rsidRPr="002C6F28" w:rsidRDefault="001C708D" w:rsidP="00443ED3">
      <w:pPr>
        <w:pStyle w:val="Odstavecseseznamem"/>
        <w:numPr>
          <w:ilvl w:val="0"/>
          <w:numId w:val="28"/>
        </w:numPr>
        <w:suppressAutoHyphens w:val="0"/>
        <w:spacing w:after="120"/>
        <w:ind w:left="284" w:hanging="284"/>
        <w:jc w:val="both"/>
        <w:rPr>
          <w:rFonts w:ascii="Calibri" w:hAnsi="Calibri" w:cs="Calibri"/>
          <w:color w:val="000000"/>
          <w:sz w:val="22"/>
          <w:szCs w:val="22"/>
        </w:rPr>
      </w:pPr>
      <w:r w:rsidRPr="00443ED3">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w:t>
      </w:r>
      <w:r w:rsidRPr="002C6F28">
        <w:rPr>
          <w:rFonts w:ascii="Calibri" w:hAnsi="Calibri" w:cs="Calibri"/>
          <w:sz w:val="22"/>
          <w:szCs w:val="22"/>
        </w:rPr>
        <w:t xml:space="preserve">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443ED3"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w:t>
      </w:r>
      <w:r w:rsidRPr="00443ED3">
        <w:rPr>
          <w:rFonts w:ascii="Calibri" w:hAnsi="Calibri" w:cs="Calibri"/>
          <w:sz w:val="22"/>
          <w:szCs w:val="22"/>
        </w:rPr>
        <w:t>smluvními stranami sjednána prostřednictvím e-mailu.</w:t>
      </w:r>
    </w:p>
    <w:p w:rsidR="001C708D" w:rsidRPr="00443ED3" w:rsidRDefault="001C708D" w:rsidP="00443ED3">
      <w:pPr>
        <w:jc w:val="center"/>
        <w:rPr>
          <w:rFonts w:ascii="Calibri" w:hAnsi="Calibri" w:cs="Calibri"/>
          <w:b/>
          <w:sz w:val="22"/>
        </w:rPr>
      </w:pPr>
      <w:r w:rsidRPr="00443ED3">
        <w:rPr>
          <w:rFonts w:ascii="Calibri" w:hAnsi="Calibri" w:cs="Calibri"/>
          <w:b/>
          <w:sz w:val="22"/>
        </w:rPr>
        <w:t>IX.</w:t>
      </w:r>
    </w:p>
    <w:p w:rsidR="001C708D" w:rsidRPr="00443ED3" w:rsidRDefault="001C708D" w:rsidP="00443ED3">
      <w:pPr>
        <w:spacing w:after="120"/>
        <w:jc w:val="center"/>
        <w:rPr>
          <w:rFonts w:ascii="Calibri" w:hAnsi="Calibri" w:cs="Calibri"/>
          <w:b/>
          <w:sz w:val="22"/>
          <w:u w:val="single"/>
        </w:rPr>
      </w:pPr>
      <w:r w:rsidRPr="00443ED3">
        <w:rPr>
          <w:rFonts w:ascii="Calibri" w:hAnsi="Calibri" w:cs="Calibri"/>
          <w:b/>
          <w:sz w:val="22"/>
          <w:u w:val="single"/>
        </w:rPr>
        <w:t>Zadání přípravy akce</w:t>
      </w:r>
      <w:r w:rsidR="00061E2C" w:rsidRPr="00443ED3">
        <w:rPr>
          <w:rFonts w:ascii="Calibri" w:hAnsi="Calibri" w:cs="Calibri"/>
          <w:b/>
          <w:sz w:val="22"/>
          <w:u w:val="single"/>
        </w:rPr>
        <w:t xml:space="preserve"> a harmonogram akce</w:t>
      </w:r>
    </w:p>
    <w:p w:rsidR="00061E2C" w:rsidRPr="00443ED3" w:rsidRDefault="00061E2C" w:rsidP="00443ED3">
      <w:pPr>
        <w:numPr>
          <w:ilvl w:val="1"/>
          <w:numId w:val="45"/>
        </w:numPr>
        <w:tabs>
          <w:tab w:val="clear" w:pos="1440"/>
          <w:tab w:val="num" w:pos="284"/>
        </w:tabs>
        <w:suppressAutoHyphens w:val="0"/>
        <w:ind w:left="284" w:hanging="284"/>
        <w:jc w:val="both"/>
        <w:rPr>
          <w:rFonts w:ascii="Calibri" w:hAnsi="Calibri" w:cs="Calibri"/>
          <w:sz w:val="22"/>
        </w:rPr>
      </w:pPr>
      <w:r w:rsidRPr="00443ED3">
        <w:rPr>
          <w:rFonts w:ascii="Calibri" w:hAnsi="Calibri" w:cs="Calibri"/>
          <w:sz w:val="22"/>
        </w:rPr>
        <w:t xml:space="preserve">Pořadatel akce se zavazuje nejpozději deset (10) kalendářních dnů před začátkem akce zaslat MBP přesné </w:t>
      </w:r>
      <w:r w:rsidRPr="00443ED3">
        <w:rPr>
          <w:rFonts w:ascii="Calibri" w:hAnsi="Calibri" w:cs="Calibri"/>
          <w:b/>
          <w:bCs/>
          <w:sz w:val="22"/>
        </w:rPr>
        <w:t>zadání akce</w:t>
      </w:r>
      <w:r w:rsidRPr="00443ED3">
        <w:rPr>
          <w:rFonts w:ascii="Calibri" w:hAnsi="Calibri" w:cs="Calibri"/>
          <w:sz w:val="22"/>
        </w:rPr>
        <w:t>, tzn. specifikovat průběh akce v tomto minimálním rozsahu:</w:t>
      </w:r>
    </w:p>
    <w:p w:rsidR="00061E2C" w:rsidRPr="00443ED3" w:rsidRDefault="00061E2C" w:rsidP="00443ED3">
      <w:pPr>
        <w:numPr>
          <w:ilvl w:val="0"/>
          <w:numId w:val="46"/>
        </w:numPr>
        <w:suppressAutoHyphens w:val="0"/>
        <w:ind w:left="284" w:firstLine="0"/>
        <w:jc w:val="both"/>
        <w:rPr>
          <w:rFonts w:ascii="Calibri" w:hAnsi="Calibri" w:cs="Calibri"/>
          <w:sz w:val="22"/>
        </w:rPr>
      </w:pPr>
      <w:r w:rsidRPr="00443ED3">
        <w:rPr>
          <w:rFonts w:ascii="Calibri" w:hAnsi="Calibri" w:cs="Calibri"/>
          <w:sz w:val="22"/>
        </w:rPr>
        <w:t>rozmístění mobiliáře a techniky na podiu („</w:t>
      </w:r>
      <w:proofErr w:type="spellStart"/>
      <w:r w:rsidRPr="00443ED3">
        <w:rPr>
          <w:rFonts w:ascii="Calibri" w:hAnsi="Calibri" w:cs="Calibri"/>
          <w:sz w:val="22"/>
        </w:rPr>
        <w:t>stage</w:t>
      </w:r>
      <w:proofErr w:type="spellEnd"/>
      <w:r w:rsidRPr="00443ED3">
        <w:rPr>
          <w:rFonts w:ascii="Calibri" w:hAnsi="Calibri" w:cs="Calibri"/>
          <w:sz w:val="22"/>
        </w:rPr>
        <w:t xml:space="preserve"> </w:t>
      </w:r>
      <w:proofErr w:type="spellStart"/>
      <w:r w:rsidRPr="00443ED3">
        <w:rPr>
          <w:rFonts w:ascii="Calibri" w:hAnsi="Calibri" w:cs="Calibri"/>
          <w:sz w:val="22"/>
        </w:rPr>
        <w:t>plan</w:t>
      </w:r>
      <w:proofErr w:type="spellEnd"/>
      <w:r w:rsidRPr="00443ED3">
        <w:rPr>
          <w:rFonts w:ascii="Calibri" w:hAnsi="Calibri" w:cs="Calibri"/>
          <w:sz w:val="22"/>
        </w:rPr>
        <w:t>“) a jeho nasvícení;</w:t>
      </w:r>
    </w:p>
    <w:p w:rsidR="00061E2C" w:rsidRPr="00443ED3" w:rsidRDefault="00061E2C" w:rsidP="00443ED3">
      <w:pPr>
        <w:numPr>
          <w:ilvl w:val="0"/>
          <w:numId w:val="46"/>
        </w:numPr>
        <w:suppressAutoHyphens w:val="0"/>
        <w:ind w:left="284" w:firstLine="0"/>
        <w:jc w:val="both"/>
        <w:rPr>
          <w:rFonts w:ascii="Calibri" w:hAnsi="Calibri" w:cs="Calibri"/>
          <w:sz w:val="22"/>
        </w:rPr>
      </w:pPr>
      <w:r w:rsidRPr="00443ED3">
        <w:rPr>
          <w:rFonts w:ascii="Calibri" w:hAnsi="Calibri" w:cs="Calibri"/>
          <w:sz w:val="22"/>
        </w:rPr>
        <w:t>rozmístění a způsob upevnění sponzorských log;</w:t>
      </w:r>
    </w:p>
    <w:p w:rsidR="00061E2C" w:rsidRPr="00443ED3" w:rsidRDefault="00061E2C" w:rsidP="00443ED3">
      <w:pPr>
        <w:numPr>
          <w:ilvl w:val="0"/>
          <w:numId w:val="46"/>
        </w:numPr>
        <w:suppressAutoHyphens w:val="0"/>
        <w:ind w:left="284" w:firstLine="0"/>
        <w:jc w:val="both"/>
        <w:rPr>
          <w:rFonts w:ascii="Calibri" w:hAnsi="Calibri" w:cs="Calibri"/>
          <w:sz w:val="22"/>
        </w:rPr>
      </w:pPr>
      <w:r w:rsidRPr="00443ED3">
        <w:rPr>
          <w:rFonts w:ascii="Calibri" w:hAnsi="Calibri" w:cs="Calibri"/>
          <w:sz w:val="22"/>
        </w:rPr>
        <w:t>parkování účinkujících a produkce;</w:t>
      </w:r>
    </w:p>
    <w:p w:rsidR="00061E2C" w:rsidRPr="00443ED3" w:rsidRDefault="00061E2C" w:rsidP="00443ED3">
      <w:pPr>
        <w:numPr>
          <w:ilvl w:val="0"/>
          <w:numId w:val="46"/>
        </w:numPr>
        <w:suppressAutoHyphens w:val="0"/>
        <w:ind w:left="284" w:firstLine="0"/>
        <w:jc w:val="both"/>
        <w:rPr>
          <w:rFonts w:ascii="Calibri" w:hAnsi="Calibri" w:cs="Calibri"/>
          <w:sz w:val="22"/>
        </w:rPr>
      </w:pPr>
      <w:r w:rsidRPr="00443ED3">
        <w:rPr>
          <w:rFonts w:ascii="Calibri" w:hAnsi="Calibri" w:cs="Calibri"/>
          <w:sz w:val="22"/>
        </w:rPr>
        <w:lastRenderedPageBreak/>
        <w:t>občerstvení účinkujících a produkce;</w:t>
      </w:r>
    </w:p>
    <w:p w:rsidR="00061E2C" w:rsidRPr="00443ED3" w:rsidRDefault="00061E2C" w:rsidP="00443ED3">
      <w:pPr>
        <w:numPr>
          <w:ilvl w:val="0"/>
          <w:numId w:val="46"/>
        </w:numPr>
        <w:suppressAutoHyphens w:val="0"/>
        <w:ind w:left="284" w:firstLine="0"/>
        <w:jc w:val="both"/>
        <w:rPr>
          <w:rFonts w:ascii="Calibri" w:hAnsi="Calibri" w:cs="Calibri"/>
          <w:sz w:val="22"/>
        </w:rPr>
      </w:pPr>
      <w:r w:rsidRPr="00443ED3">
        <w:rPr>
          <w:rFonts w:ascii="Calibri" w:hAnsi="Calibri" w:cs="Calibri"/>
          <w:sz w:val="22"/>
        </w:rPr>
        <w:t xml:space="preserve">služby od MBP nad rámec této smlouvy (např. </w:t>
      </w:r>
      <w:proofErr w:type="spellStart"/>
      <w:r w:rsidRPr="00443ED3">
        <w:rPr>
          <w:rFonts w:ascii="Calibri" w:hAnsi="Calibri" w:cs="Calibri"/>
          <w:sz w:val="22"/>
        </w:rPr>
        <w:t>bedňáci</w:t>
      </w:r>
      <w:proofErr w:type="spellEnd"/>
      <w:r w:rsidRPr="00443ED3">
        <w:rPr>
          <w:rFonts w:ascii="Calibri" w:hAnsi="Calibri" w:cs="Calibri"/>
          <w:sz w:val="22"/>
        </w:rPr>
        <w:t>, apod.);</w:t>
      </w:r>
    </w:p>
    <w:p w:rsidR="00061E2C" w:rsidRPr="00443ED3" w:rsidRDefault="00061E2C" w:rsidP="00443ED3">
      <w:pPr>
        <w:numPr>
          <w:ilvl w:val="0"/>
          <w:numId w:val="46"/>
        </w:numPr>
        <w:suppressAutoHyphens w:val="0"/>
        <w:spacing w:after="120"/>
        <w:ind w:left="284" w:firstLine="0"/>
        <w:jc w:val="both"/>
        <w:rPr>
          <w:rFonts w:ascii="Calibri" w:hAnsi="Calibri" w:cs="Calibri"/>
          <w:sz w:val="22"/>
        </w:rPr>
      </w:pPr>
      <w:proofErr w:type="spellStart"/>
      <w:r w:rsidRPr="00443ED3">
        <w:rPr>
          <w:rFonts w:ascii="Calibri" w:hAnsi="Calibri" w:cs="Calibri"/>
          <w:sz w:val="22"/>
        </w:rPr>
        <w:t>guest</w:t>
      </w:r>
      <w:proofErr w:type="spellEnd"/>
      <w:r w:rsidRPr="00443ED3">
        <w:rPr>
          <w:rFonts w:ascii="Calibri" w:hAnsi="Calibri" w:cs="Calibri"/>
          <w:sz w:val="22"/>
        </w:rPr>
        <w:t xml:space="preserve"> list akce.</w:t>
      </w:r>
    </w:p>
    <w:p w:rsidR="00061E2C" w:rsidRPr="00443ED3" w:rsidRDefault="00061E2C" w:rsidP="00443ED3">
      <w:pPr>
        <w:numPr>
          <w:ilvl w:val="1"/>
          <w:numId w:val="45"/>
        </w:numPr>
        <w:tabs>
          <w:tab w:val="clear" w:pos="1440"/>
          <w:tab w:val="num" w:pos="284"/>
        </w:tabs>
        <w:suppressAutoHyphens w:val="0"/>
        <w:ind w:left="284" w:hanging="284"/>
        <w:jc w:val="both"/>
        <w:rPr>
          <w:rFonts w:ascii="Calibri" w:hAnsi="Calibri" w:cs="Calibri"/>
          <w:sz w:val="22"/>
        </w:rPr>
      </w:pPr>
      <w:r w:rsidRPr="00443ED3">
        <w:rPr>
          <w:rFonts w:ascii="Calibri" w:hAnsi="Calibri" w:cs="Calibri"/>
          <w:sz w:val="22"/>
        </w:rPr>
        <w:t xml:space="preserve">Součástí zadání akce, které se pořadatel zavazuje zaslat MBP nejpozději deset (10) kalendářních dnů před začátkem akce je i </w:t>
      </w:r>
      <w:r w:rsidRPr="00443ED3">
        <w:rPr>
          <w:rFonts w:ascii="Calibri" w:hAnsi="Calibri" w:cs="Calibri"/>
          <w:b/>
          <w:bCs/>
          <w:sz w:val="22"/>
        </w:rPr>
        <w:t>časový harmonogram průběhu celé akce</w:t>
      </w:r>
      <w:r w:rsidRPr="00443ED3">
        <w:rPr>
          <w:rFonts w:ascii="Calibri" w:hAnsi="Calibri" w:cs="Calibri"/>
          <w:sz w:val="22"/>
        </w:rPr>
        <w:t>, který min. obsahuje:</w:t>
      </w:r>
    </w:p>
    <w:p w:rsidR="00061E2C" w:rsidRPr="00443ED3" w:rsidRDefault="00061E2C" w:rsidP="00443ED3">
      <w:pPr>
        <w:numPr>
          <w:ilvl w:val="0"/>
          <w:numId w:val="47"/>
        </w:numPr>
        <w:suppressAutoHyphens w:val="0"/>
        <w:jc w:val="both"/>
        <w:rPr>
          <w:rFonts w:ascii="Calibri" w:hAnsi="Calibri" w:cs="Calibri"/>
          <w:sz w:val="22"/>
        </w:rPr>
      </w:pPr>
      <w:r w:rsidRPr="00443ED3">
        <w:rPr>
          <w:rFonts w:ascii="Calibri" w:hAnsi="Calibri" w:cs="Calibri"/>
          <w:sz w:val="22"/>
        </w:rPr>
        <w:t>převzetí prostor od MBP / hodina příjezdu techniky</w:t>
      </w:r>
    </w:p>
    <w:p w:rsidR="00061E2C" w:rsidRPr="00443ED3" w:rsidRDefault="00061E2C" w:rsidP="00443ED3">
      <w:pPr>
        <w:numPr>
          <w:ilvl w:val="0"/>
          <w:numId w:val="47"/>
        </w:numPr>
        <w:suppressAutoHyphens w:val="0"/>
        <w:jc w:val="both"/>
        <w:rPr>
          <w:rFonts w:ascii="Calibri" w:hAnsi="Calibri" w:cs="Calibri"/>
          <w:sz w:val="22"/>
        </w:rPr>
      </w:pPr>
      <w:r w:rsidRPr="00443ED3">
        <w:rPr>
          <w:rFonts w:ascii="Calibri" w:hAnsi="Calibri" w:cs="Calibri"/>
          <w:sz w:val="22"/>
        </w:rPr>
        <w:t>začátek zvukové (technické) zkoušky (tato zkouška musí být hotova do začátku vstupu diváků do prostor akce min. 45 minut před začátkem akce)</w:t>
      </w:r>
    </w:p>
    <w:p w:rsidR="00061E2C" w:rsidRPr="00443ED3" w:rsidRDefault="00061E2C" w:rsidP="00443ED3">
      <w:pPr>
        <w:numPr>
          <w:ilvl w:val="0"/>
          <w:numId w:val="47"/>
        </w:numPr>
        <w:suppressAutoHyphens w:val="0"/>
        <w:jc w:val="both"/>
        <w:rPr>
          <w:rFonts w:ascii="Calibri" w:hAnsi="Calibri" w:cs="Calibri"/>
          <w:sz w:val="22"/>
        </w:rPr>
      </w:pPr>
      <w:r w:rsidRPr="00443ED3">
        <w:rPr>
          <w:rFonts w:ascii="Calibri" w:hAnsi="Calibri" w:cs="Calibri"/>
          <w:sz w:val="22"/>
        </w:rPr>
        <w:t>začátek akce</w:t>
      </w:r>
    </w:p>
    <w:p w:rsidR="00061E2C" w:rsidRPr="00443ED3" w:rsidRDefault="00061E2C" w:rsidP="00443ED3">
      <w:pPr>
        <w:numPr>
          <w:ilvl w:val="0"/>
          <w:numId w:val="47"/>
        </w:numPr>
        <w:suppressAutoHyphens w:val="0"/>
        <w:jc w:val="both"/>
        <w:rPr>
          <w:rFonts w:ascii="Calibri" w:hAnsi="Calibri" w:cs="Calibri"/>
          <w:sz w:val="22"/>
        </w:rPr>
      </w:pPr>
      <w:r w:rsidRPr="00443ED3">
        <w:rPr>
          <w:rFonts w:ascii="Calibri" w:hAnsi="Calibri" w:cs="Calibri"/>
          <w:sz w:val="22"/>
        </w:rPr>
        <w:t>přestávka v akci: od – do</w:t>
      </w:r>
    </w:p>
    <w:p w:rsidR="00061E2C" w:rsidRPr="00443ED3" w:rsidRDefault="00061E2C" w:rsidP="00443ED3">
      <w:pPr>
        <w:numPr>
          <w:ilvl w:val="0"/>
          <w:numId w:val="47"/>
        </w:numPr>
        <w:suppressAutoHyphens w:val="0"/>
        <w:jc w:val="both"/>
        <w:rPr>
          <w:rFonts w:ascii="Calibri" w:hAnsi="Calibri" w:cs="Calibri"/>
          <w:sz w:val="22"/>
        </w:rPr>
      </w:pPr>
      <w:r w:rsidRPr="00443ED3">
        <w:rPr>
          <w:rFonts w:ascii="Calibri" w:hAnsi="Calibri" w:cs="Calibri"/>
          <w:sz w:val="22"/>
        </w:rPr>
        <w:t>konec akce</w:t>
      </w:r>
    </w:p>
    <w:p w:rsidR="00061E2C" w:rsidRPr="00443ED3" w:rsidRDefault="00061E2C" w:rsidP="00443ED3">
      <w:pPr>
        <w:numPr>
          <w:ilvl w:val="0"/>
          <w:numId w:val="47"/>
        </w:numPr>
        <w:suppressAutoHyphens w:val="0"/>
        <w:spacing w:after="120"/>
        <w:jc w:val="both"/>
        <w:rPr>
          <w:rFonts w:ascii="Calibri" w:hAnsi="Calibri" w:cs="Calibri"/>
          <w:sz w:val="22"/>
        </w:rPr>
      </w:pPr>
      <w:r w:rsidRPr="00443ED3">
        <w:rPr>
          <w:rFonts w:ascii="Calibri" w:hAnsi="Calibri" w:cs="Calibri"/>
          <w:sz w:val="22"/>
        </w:rPr>
        <w:t>předání prostor zpět MBP/odjezd</w:t>
      </w:r>
    </w:p>
    <w:p w:rsidR="00061E2C" w:rsidRPr="00443ED3" w:rsidRDefault="00061E2C" w:rsidP="00443ED3">
      <w:pPr>
        <w:suppressAutoHyphens w:val="0"/>
        <w:spacing w:after="240"/>
        <w:ind w:left="284"/>
        <w:jc w:val="both"/>
        <w:rPr>
          <w:rFonts w:ascii="Calibri" w:hAnsi="Calibri" w:cs="Calibri"/>
          <w:sz w:val="22"/>
        </w:rPr>
      </w:pPr>
      <w:r w:rsidRPr="00443ED3">
        <w:rPr>
          <w:rFonts w:ascii="Calibri" w:hAnsi="Calibri" w:cs="Calibri"/>
          <w:sz w:val="22"/>
        </w:rPr>
        <w:t xml:space="preserve">V případě, že pořadatel akce přesné zadání akce a časový harmonogram průběhu akce </w:t>
      </w:r>
      <w:r w:rsidRPr="00443ED3">
        <w:rPr>
          <w:rFonts w:ascii="Calibri" w:hAnsi="Calibri" w:cs="Calibri"/>
          <w:bCs/>
          <w:sz w:val="22"/>
        </w:rPr>
        <w:t>ve stanovené lhůtě nedodá</w:t>
      </w:r>
      <w:r w:rsidRPr="00443ED3">
        <w:rPr>
          <w:rFonts w:ascii="Calibri" w:hAnsi="Calibri" w:cs="Calibri"/>
          <w:b/>
          <w:bCs/>
          <w:sz w:val="22"/>
        </w:rPr>
        <w:t xml:space="preserve"> </w:t>
      </w:r>
      <w:r w:rsidRPr="00443ED3">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443ED3">
        <w:rPr>
          <w:rFonts w:ascii="Calibri" w:hAnsi="Calibri" w:cs="Calibri"/>
          <w:b/>
          <w:bCs/>
          <w:sz w:val="22"/>
        </w:rPr>
        <w:t xml:space="preserve">smluvní pokutu ve výši 10.000,- Kč </w:t>
      </w:r>
      <w:r w:rsidRPr="00443ED3">
        <w:rPr>
          <w:rFonts w:ascii="Calibri" w:hAnsi="Calibri" w:cs="Calibri"/>
          <w:sz w:val="22"/>
        </w:rPr>
        <w:t xml:space="preserve">(slovy: </w:t>
      </w:r>
      <w:proofErr w:type="spellStart"/>
      <w:r w:rsidRPr="00443ED3">
        <w:rPr>
          <w:rFonts w:ascii="Calibri" w:hAnsi="Calibri" w:cs="Calibri"/>
          <w:sz w:val="22"/>
        </w:rPr>
        <w:t>desettisíc</w:t>
      </w:r>
      <w:proofErr w:type="spellEnd"/>
      <w:r w:rsidRPr="00443ED3">
        <w:rPr>
          <w:rFonts w:ascii="Calibri" w:hAnsi="Calibri" w:cs="Calibri"/>
          <w:sz w:val="22"/>
        </w:rPr>
        <w:t xml:space="preserve"> korun českých). </w:t>
      </w:r>
    </w:p>
    <w:p w:rsidR="001C708D" w:rsidRPr="00443ED3" w:rsidRDefault="001C708D" w:rsidP="00443ED3">
      <w:pPr>
        <w:jc w:val="center"/>
        <w:rPr>
          <w:rFonts w:ascii="Calibri" w:hAnsi="Calibri" w:cs="Calibri"/>
          <w:b/>
          <w:sz w:val="22"/>
        </w:rPr>
      </w:pPr>
      <w:r w:rsidRPr="00443ED3">
        <w:rPr>
          <w:rFonts w:ascii="Calibri" w:hAnsi="Calibri" w:cs="Calibri"/>
          <w:b/>
          <w:sz w:val="22"/>
        </w:rPr>
        <w:t>X.</w:t>
      </w:r>
    </w:p>
    <w:p w:rsidR="001C708D" w:rsidRPr="00443ED3" w:rsidRDefault="001C708D" w:rsidP="00443ED3">
      <w:pPr>
        <w:spacing w:after="120"/>
        <w:jc w:val="center"/>
        <w:rPr>
          <w:rFonts w:ascii="Calibri" w:hAnsi="Calibri" w:cs="Calibri"/>
          <w:b/>
          <w:sz w:val="22"/>
          <w:u w:val="single"/>
        </w:rPr>
      </w:pPr>
      <w:r w:rsidRPr="00443ED3">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43ED3">
        <w:rPr>
          <w:rFonts w:ascii="Calibri" w:hAnsi="Calibri" w:cs="Calibri"/>
          <w:sz w:val="22"/>
          <w:szCs w:val="22"/>
        </w:rPr>
        <w:t>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w:t>
      </w:r>
      <w:r w:rsidRPr="00415479">
        <w:rPr>
          <w:rFonts w:ascii="Calibri" w:hAnsi="Calibri" w:cs="Calibri"/>
          <w:sz w:val="22"/>
          <w:szCs w:val="22"/>
        </w:rPr>
        <w:t xml:space="preserve">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w:t>
      </w:r>
      <w:r w:rsidRPr="00415479">
        <w:rPr>
          <w:rFonts w:ascii="Calibri" w:hAnsi="Calibri" w:cs="Calibri"/>
          <w:sz w:val="22"/>
          <w:szCs w:val="22"/>
        </w:rPr>
        <w:lastRenderedPageBreak/>
        <w:t xml:space="preserve">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443ED3"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w:t>
      </w:r>
      <w:r w:rsidRPr="00443ED3">
        <w:rPr>
          <w:rFonts w:ascii="Calibri" w:hAnsi="Calibri" w:cs="Calibri"/>
          <w:szCs w:val="22"/>
        </w:rPr>
        <w:t>státu či protistraně, uložené sankce a náklady na právní poradce MBP.</w:t>
      </w:r>
    </w:p>
    <w:p w:rsidR="00D2497F" w:rsidRPr="00443ED3"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443ED3">
        <w:rPr>
          <w:rFonts w:ascii="Calibri" w:hAnsi="Calibri" w:cs="Calibri"/>
          <w:sz w:val="22"/>
          <w:szCs w:val="22"/>
        </w:rPr>
        <w:lastRenderedPageBreak/>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443ED3">
        <w:rPr>
          <w:rFonts w:ascii="Calibri" w:hAnsi="Calibri" w:cs="Calibri"/>
          <w:sz w:val="22"/>
          <w:szCs w:val="22"/>
          <w:vertAlign w:val="superscript"/>
        </w:rPr>
        <w:t>o</w:t>
      </w:r>
      <w:r w:rsidRPr="00443ED3">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43ED3">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výši </w:t>
      </w:r>
      <w:r w:rsidR="00443ED3" w:rsidRPr="00443ED3">
        <w:rPr>
          <w:rFonts w:ascii="Calibri" w:hAnsi="Calibri" w:cs="Calibri"/>
          <w:b/>
          <w:sz w:val="22"/>
          <w:szCs w:val="22"/>
        </w:rPr>
        <w:t>87.4</w:t>
      </w:r>
      <w:r w:rsidR="00451D74" w:rsidRPr="00443ED3">
        <w:rPr>
          <w:rFonts w:ascii="Calibri" w:hAnsi="Calibri" w:cs="Calibri"/>
          <w:b/>
          <w:sz w:val="22"/>
          <w:szCs w:val="22"/>
        </w:rPr>
        <w:t>00</w:t>
      </w:r>
      <w:r w:rsidRPr="00443ED3">
        <w:rPr>
          <w:rFonts w:ascii="Calibri" w:hAnsi="Calibri" w:cs="Calibri"/>
          <w:b/>
          <w:sz w:val="22"/>
          <w:szCs w:val="22"/>
        </w:rPr>
        <w:t>,- Kč</w:t>
      </w:r>
      <w:r w:rsidRPr="00FE6FDF">
        <w:rPr>
          <w:rFonts w:ascii="Calibri" w:hAnsi="Calibri" w:cs="Calibri"/>
          <w:b/>
          <w:sz w:val="22"/>
          <w:szCs w:val="22"/>
        </w:rPr>
        <w:t xml:space="preserve"> </w:t>
      </w:r>
      <w:r w:rsidRPr="00FE6FDF">
        <w:rPr>
          <w:rFonts w:ascii="Calibri" w:hAnsi="Calibri" w:cs="Calibri"/>
          <w:i/>
          <w:sz w:val="22"/>
          <w:szCs w:val="22"/>
        </w:rPr>
        <w:t xml:space="preserve">(slovy: </w:t>
      </w:r>
      <w:proofErr w:type="spellStart"/>
      <w:r w:rsidR="00443ED3">
        <w:rPr>
          <w:rFonts w:ascii="Calibri" w:hAnsi="Calibri" w:cs="Calibri"/>
          <w:i/>
          <w:sz w:val="22"/>
          <w:szCs w:val="22"/>
        </w:rPr>
        <w:t>osmdesátsedmtisícčtyřista</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w:t>
      </w:r>
      <w:r w:rsidRPr="00443ED3">
        <w:rPr>
          <w:rFonts w:ascii="Calibri" w:hAnsi="Calibri" w:cs="Calibri"/>
          <w:i/>
          <w:sz w:val="22"/>
          <w:szCs w:val="22"/>
        </w:rPr>
        <w:t>českých)</w:t>
      </w:r>
      <w:r w:rsidR="00C562B1" w:rsidRPr="00443ED3">
        <w:rPr>
          <w:rFonts w:ascii="Calibri" w:hAnsi="Calibri" w:cs="Calibri"/>
          <w:i/>
          <w:sz w:val="22"/>
          <w:szCs w:val="22"/>
        </w:rPr>
        <w:t xml:space="preserve"> </w:t>
      </w:r>
      <w:r w:rsidR="00C562B1" w:rsidRPr="00443ED3">
        <w:rPr>
          <w:rFonts w:ascii="Calibri" w:hAnsi="Calibri" w:cs="Calibri"/>
          <w:sz w:val="22"/>
          <w:szCs w:val="22"/>
        </w:rPr>
        <w:t>bez DPH.</w:t>
      </w:r>
      <w:r w:rsidR="00C562B1" w:rsidRPr="00415479">
        <w:rPr>
          <w:rFonts w:ascii="Calibri" w:hAnsi="Calibri" w:cs="Calibri"/>
          <w:sz w:val="22"/>
          <w:szCs w:val="22"/>
        </w:rPr>
        <w:t xml:space="preserve"> </w:t>
      </w:r>
      <w:r w:rsidRPr="00415479">
        <w:rPr>
          <w:rFonts w:ascii="Calibri" w:hAnsi="Calibri" w:cs="Calibri"/>
          <w:sz w:val="22"/>
          <w:szCs w:val="22"/>
        </w:rPr>
        <w:t xml:space="preserve">V případě, že akce bude trvat delší dobu, zavazuje se pořadatel akce uhradit za každou další započatou hodinu (nad rámec sjednané doby podnájmu) smluvní částku </w:t>
      </w:r>
      <w:r w:rsidRPr="00443ED3">
        <w:rPr>
          <w:rFonts w:ascii="Calibri" w:hAnsi="Calibri" w:cs="Calibri"/>
          <w:sz w:val="22"/>
          <w:szCs w:val="22"/>
        </w:rPr>
        <w:t>uvedenou v </w:t>
      </w:r>
      <w:r w:rsidR="00DA085C" w:rsidRPr="00443ED3">
        <w:rPr>
          <w:rFonts w:ascii="Calibri" w:hAnsi="Calibri" w:cs="Calibri"/>
          <w:sz w:val="22"/>
          <w:szCs w:val="22"/>
        </w:rPr>
        <w:t>p</w:t>
      </w:r>
      <w:r w:rsidRPr="00443ED3">
        <w:rPr>
          <w:rFonts w:ascii="Calibri" w:hAnsi="Calibri" w:cs="Calibri"/>
          <w:sz w:val="22"/>
          <w:szCs w:val="22"/>
        </w:rPr>
        <w:t>říloze č. 3 této smlouvy</w:t>
      </w:r>
      <w:r w:rsidRPr="00415479">
        <w:rPr>
          <w:rFonts w:ascii="Calibri" w:hAnsi="Calibri" w:cs="Calibri"/>
          <w:sz w:val="22"/>
          <w:szCs w:val="22"/>
        </w:rPr>
        <w:t xml:space="preserve">.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443ED3">
        <w:rPr>
          <w:rFonts w:ascii="Calibri" w:hAnsi="Calibri" w:cs="Calibri"/>
          <w:sz w:val="22"/>
          <w:szCs w:val="22"/>
        </w:rPr>
        <w:t xml:space="preserve">ve výši </w:t>
      </w:r>
      <w:r w:rsidR="00124B6C" w:rsidRPr="00443ED3">
        <w:rPr>
          <w:rFonts w:ascii="Calibri" w:hAnsi="Calibri" w:cs="Calibri"/>
          <w:b/>
          <w:sz w:val="22"/>
          <w:szCs w:val="22"/>
        </w:rPr>
        <w:t>20</w:t>
      </w:r>
      <w:r w:rsidRPr="00443ED3">
        <w:rPr>
          <w:rFonts w:ascii="Calibri" w:hAnsi="Calibri" w:cs="Calibri"/>
          <w:b/>
          <w:sz w:val="22"/>
          <w:szCs w:val="22"/>
        </w:rPr>
        <w:t>.000,- Kč</w:t>
      </w:r>
      <w:r w:rsidRPr="00443ED3">
        <w:rPr>
          <w:rFonts w:ascii="Calibri" w:hAnsi="Calibri" w:cs="Calibri"/>
          <w:sz w:val="22"/>
          <w:szCs w:val="22"/>
        </w:rPr>
        <w:t xml:space="preserve"> </w:t>
      </w:r>
      <w:r w:rsidRPr="00443ED3">
        <w:rPr>
          <w:rFonts w:ascii="Calibri" w:hAnsi="Calibri" w:cs="Calibri"/>
          <w:i/>
          <w:sz w:val="22"/>
          <w:szCs w:val="22"/>
        </w:rPr>
        <w:t xml:space="preserve">(slovy: </w:t>
      </w:r>
      <w:proofErr w:type="spellStart"/>
      <w:r w:rsidR="00124B6C" w:rsidRPr="00443ED3">
        <w:rPr>
          <w:rFonts w:ascii="Calibri" w:hAnsi="Calibri" w:cs="Calibri"/>
          <w:i/>
          <w:sz w:val="22"/>
          <w:szCs w:val="22"/>
        </w:rPr>
        <w:t>dva</w:t>
      </w:r>
      <w:r w:rsidRPr="00443ED3">
        <w:rPr>
          <w:rFonts w:ascii="Calibri" w:hAnsi="Calibri" w:cs="Calibri"/>
          <w:i/>
          <w:sz w:val="22"/>
          <w:szCs w:val="22"/>
        </w:rPr>
        <w:t>cettisíc</w:t>
      </w:r>
      <w:proofErr w:type="spellEnd"/>
      <w:r w:rsidRPr="00443ED3">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443ED3"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43ED3">
        <w:rPr>
          <w:rFonts w:ascii="Calibri" w:hAnsi="Calibri" w:cs="Calibri"/>
          <w:sz w:val="22"/>
          <w:szCs w:val="22"/>
        </w:rPr>
        <w:t>ticketingových</w:t>
      </w:r>
      <w:proofErr w:type="spellEnd"/>
      <w:r w:rsidRPr="00443ED3">
        <w:rPr>
          <w:rFonts w:ascii="Calibri" w:hAnsi="Calibri" w:cs="Calibri"/>
          <w:sz w:val="22"/>
          <w:szCs w:val="22"/>
        </w:rPr>
        <w:t xml:space="preserve"> služeb je uvedena v příloze č. 3 této smlouvy.</w:t>
      </w:r>
    </w:p>
    <w:p w:rsidR="00552ED2" w:rsidRPr="00443ED3" w:rsidRDefault="00552ED2" w:rsidP="00552ED2">
      <w:pPr>
        <w:numPr>
          <w:ilvl w:val="0"/>
          <w:numId w:val="6"/>
        </w:numPr>
        <w:tabs>
          <w:tab w:val="left" w:pos="426"/>
        </w:tabs>
        <w:ind w:left="426" w:hanging="426"/>
        <w:jc w:val="both"/>
        <w:rPr>
          <w:rFonts w:ascii="Calibri" w:hAnsi="Calibri" w:cs="Calibri"/>
          <w:sz w:val="22"/>
          <w:szCs w:val="22"/>
        </w:rPr>
      </w:pPr>
      <w:r w:rsidRPr="00443ED3">
        <w:rPr>
          <w:rFonts w:ascii="Calibri" w:hAnsi="Calibri" w:cs="Calibri"/>
          <w:iCs/>
          <w:sz w:val="22"/>
          <w:szCs w:val="22"/>
        </w:rPr>
        <w:t xml:space="preserve">MBP odpovídá pořadateli akce za veškeré částky přijaté za prodej vstupenek na akci (dále jen „příjmy“) </w:t>
      </w:r>
      <w:r w:rsidRPr="00443ED3">
        <w:rPr>
          <w:rFonts w:ascii="Calibri" w:hAnsi="Calibri" w:cs="Calibri"/>
          <w:iCs/>
          <w:sz w:val="22"/>
          <w:szCs w:val="22"/>
        </w:rPr>
        <w:br/>
        <w:t>a zavazuje se nejpozději do deseti (10) pracovních dnů po skončení akce provést vyúčtování:</w:t>
      </w:r>
    </w:p>
    <w:p w:rsidR="00552ED2" w:rsidRPr="00443ED3" w:rsidRDefault="00552ED2" w:rsidP="00552ED2">
      <w:pPr>
        <w:numPr>
          <w:ilvl w:val="0"/>
          <w:numId w:val="43"/>
        </w:numPr>
        <w:tabs>
          <w:tab w:val="left" w:pos="426"/>
        </w:tabs>
        <w:jc w:val="both"/>
        <w:rPr>
          <w:rFonts w:ascii="Calibri" w:hAnsi="Calibri" w:cs="Calibri"/>
          <w:sz w:val="22"/>
          <w:szCs w:val="22"/>
        </w:rPr>
      </w:pPr>
      <w:r w:rsidRPr="00443ED3">
        <w:rPr>
          <w:rFonts w:ascii="Calibri" w:hAnsi="Calibri" w:cs="Calibri"/>
          <w:iCs/>
          <w:sz w:val="22"/>
          <w:szCs w:val="22"/>
        </w:rPr>
        <w:t>prodaných a vydaných vstupenek na akci;</w:t>
      </w:r>
    </w:p>
    <w:p w:rsidR="00552ED2" w:rsidRPr="00443ED3" w:rsidRDefault="00552ED2" w:rsidP="00552ED2">
      <w:pPr>
        <w:numPr>
          <w:ilvl w:val="0"/>
          <w:numId w:val="43"/>
        </w:numPr>
        <w:tabs>
          <w:tab w:val="left" w:pos="426"/>
        </w:tabs>
        <w:ind w:left="709" w:hanging="283"/>
        <w:jc w:val="both"/>
        <w:rPr>
          <w:rFonts w:ascii="Calibri" w:hAnsi="Calibri" w:cs="Calibri"/>
          <w:sz w:val="22"/>
          <w:szCs w:val="22"/>
        </w:rPr>
      </w:pPr>
      <w:r w:rsidRPr="00443ED3">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443ED3" w:rsidRDefault="00552ED2" w:rsidP="00552ED2">
      <w:pPr>
        <w:tabs>
          <w:tab w:val="left" w:pos="426"/>
        </w:tabs>
        <w:spacing w:after="240"/>
        <w:ind w:left="426"/>
        <w:jc w:val="both"/>
        <w:rPr>
          <w:rFonts w:ascii="Calibri" w:hAnsi="Calibri" w:cs="Calibri"/>
          <w:iCs/>
          <w:sz w:val="22"/>
          <w:szCs w:val="22"/>
        </w:rPr>
      </w:pPr>
      <w:r w:rsidRPr="00443ED3">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43ED3" w:rsidRDefault="00552ED2" w:rsidP="00552ED2">
      <w:pPr>
        <w:numPr>
          <w:ilvl w:val="0"/>
          <w:numId w:val="6"/>
        </w:numPr>
        <w:tabs>
          <w:tab w:val="left" w:pos="426"/>
        </w:tabs>
        <w:ind w:left="426" w:hanging="426"/>
        <w:jc w:val="both"/>
        <w:rPr>
          <w:rFonts w:ascii="Calibri" w:hAnsi="Calibri" w:cs="Calibri"/>
          <w:iCs/>
          <w:sz w:val="22"/>
          <w:szCs w:val="22"/>
        </w:rPr>
      </w:pPr>
      <w:r w:rsidRPr="00443ED3">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443ED3" w:rsidRDefault="00552ED2" w:rsidP="00552ED2">
      <w:pPr>
        <w:numPr>
          <w:ilvl w:val="0"/>
          <w:numId w:val="17"/>
        </w:numPr>
        <w:tabs>
          <w:tab w:val="left" w:pos="426"/>
        </w:tabs>
        <w:ind w:left="426" w:firstLine="0"/>
        <w:jc w:val="both"/>
        <w:rPr>
          <w:rFonts w:ascii="Calibri" w:hAnsi="Calibri" w:cs="Calibri"/>
          <w:sz w:val="22"/>
          <w:szCs w:val="22"/>
        </w:rPr>
      </w:pPr>
      <w:r w:rsidRPr="00443ED3">
        <w:rPr>
          <w:rFonts w:ascii="Calibri" w:hAnsi="Calibri" w:cs="Calibri"/>
          <w:sz w:val="22"/>
          <w:szCs w:val="22"/>
        </w:rPr>
        <w:t>smluvní cenu za podnájem a poskytnutí servisních služeb na akci;</w:t>
      </w:r>
    </w:p>
    <w:p w:rsidR="00552ED2" w:rsidRPr="00443ED3" w:rsidRDefault="00552ED2" w:rsidP="00552ED2">
      <w:pPr>
        <w:numPr>
          <w:ilvl w:val="0"/>
          <w:numId w:val="17"/>
        </w:numPr>
        <w:tabs>
          <w:tab w:val="left" w:pos="426"/>
        </w:tabs>
        <w:ind w:left="426" w:firstLine="0"/>
        <w:jc w:val="both"/>
        <w:rPr>
          <w:rFonts w:ascii="Calibri" w:hAnsi="Calibri" w:cs="Calibri"/>
          <w:sz w:val="22"/>
          <w:szCs w:val="22"/>
        </w:rPr>
      </w:pPr>
      <w:r w:rsidRPr="00443ED3">
        <w:rPr>
          <w:rFonts w:ascii="Calibri" w:hAnsi="Calibri" w:cs="Calibri"/>
          <w:sz w:val="22"/>
          <w:szCs w:val="22"/>
        </w:rPr>
        <w:t>náklady na opravy škod vzniklých na akci;</w:t>
      </w:r>
    </w:p>
    <w:p w:rsidR="00552ED2" w:rsidRPr="00443ED3" w:rsidRDefault="00552ED2" w:rsidP="00552ED2">
      <w:pPr>
        <w:numPr>
          <w:ilvl w:val="0"/>
          <w:numId w:val="17"/>
        </w:numPr>
        <w:tabs>
          <w:tab w:val="left" w:pos="426"/>
        </w:tabs>
        <w:ind w:left="426" w:firstLine="0"/>
        <w:jc w:val="both"/>
        <w:rPr>
          <w:rFonts w:ascii="Calibri" w:hAnsi="Calibri" w:cs="Calibri"/>
          <w:sz w:val="22"/>
          <w:szCs w:val="22"/>
        </w:rPr>
      </w:pPr>
      <w:r w:rsidRPr="00443ED3">
        <w:rPr>
          <w:rFonts w:ascii="Calibri" w:hAnsi="Calibri" w:cs="Calibri"/>
          <w:sz w:val="22"/>
          <w:szCs w:val="22"/>
        </w:rPr>
        <w:t>dohodnutou cenu za další pořadatelem akce objednané služby související s realizací akce;</w:t>
      </w:r>
    </w:p>
    <w:p w:rsidR="00552ED2" w:rsidRPr="00443ED3" w:rsidRDefault="00552ED2" w:rsidP="00552ED2">
      <w:pPr>
        <w:numPr>
          <w:ilvl w:val="0"/>
          <w:numId w:val="17"/>
        </w:numPr>
        <w:tabs>
          <w:tab w:val="left" w:pos="426"/>
        </w:tabs>
        <w:ind w:left="426" w:firstLine="0"/>
        <w:jc w:val="both"/>
        <w:rPr>
          <w:rFonts w:ascii="Calibri" w:hAnsi="Calibri" w:cs="Calibri"/>
          <w:sz w:val="22"/>
          <w:szCs w:val="22"/>
        </w:rPr>
      </w:pPr>
      <w:r w:rsidRPr="00443ED3">
        <w:rPr>
          <w:rFonts w:ascii="Calibri" w:hAnsi="Calibri" w:cs="Calibri"/>
          <w:sz w:val="22"/>
          <w:szCs w:val="22"/>
        </w:rPr>
        <w:t xml:space="preserve">úplatu za zajištění </w:t>
      </w:r>
      <w:proofErr w:type="spellStart"/>
      <w:r w:rsidRPr="00443ED3">
        <w:rPr>
          <w:rFonts w:ascii="Calibri" w:hAnsi="Calibri" w:cs="Calibri"/>
          <w:sz w:val="22"/>
          <w:szCs w:val="22"/>
        </w:rPr>
        <w:t>ticketingových</w:t>
      </w:r>
      <w:proofErr w:type="spellEnd"/>
      <w:r w:rsidRPr="00443ED3">
        <w:rPr>
          <w:rFonts w:ascii="Calibri" w:hAnsi="Calibri" w:cs="Calibri"/>
          <w:sz w:val="22"/>
          <w:szCs w:val="22"/>
        </w:rPr>
        <w:t xml:space="preserve"> služeb na akci;</w:t>
      </w:r>
    </w:p>
    <w:p w:rsidR="00552ED2" w:rsidRPr="00443ED3" w:rsidRDefault="00552ED2" w:rsidP="00552ED2">
      <w:pPr>
        <w:numPr>
          <w:ilvl w:val="0"/>
          <w:numId w:val="17"/>
        </w:numPr>
        <w:tabs>
          <w:tab w:val="left" w:pos="426"/>
        </w:tabs>
        <w:spacing w:after="120"/>
        <w:ind w:left="426" w:firstLine="0"/>
        <w:jc w:val="both"/>
        <w:rPr>
          <w:rFonts w:ascii="Calibri" w:hAnsi="Calibri" w:cs="Calibri"/>
          <w:sz w:val="22"/>
          <w:szCs w:val="22"/>
        </w:rPr>
      </w:pPr>
      <w:r w:rsidRPr="00443ED3">
        <w:rPr>
          <w:rFonts w:ascii="Calibri" w:hAnsi="Calibri" w:cs="Calibri"/>
          <w:sz w:val="22"/>
          <w:szCs w:val="22"/>
        </w:rPr>
        <w:t>smluvní pokuty za porušení této smlouvy pořadatelem akce.</w:t>
      </w:r>
    </w:p>
    <w:p w:rsidR="00552ED2" w:rsidRPr="00443ED3" w:rsidRDefault="00552ED2" w:rsidP="00552ED2">
      <w:pPr>
        <w:numPr>
          <w:ilvl w:val="0"/>
          <w:numId w:val="6"/>
        </w:numPr>
        <w:tabs>
          <w:tab w:val="left" w:pos="426"/>
        </w:tabs>
        <w:spacing w:after="120"/>
        <w:ind w:left="426" w:hanging="426"/>
        <w:jc w:val="both"/>
        <w:rPr>
          <w:rFonts w:ascii="Calibri" w:hAnsi="Calibri" w:cs="Calibri"/>
          <w:sz w:val="22"/>
          <w:szCs w:val="22"/>
        </w:rPr>
      </w:pPr>
      <w:r w:rsidRPr="00443ED3">
        <w:rPr>
          <w:rFonts w:ascii="Calibri" w:hAnsi="Calibri" w:cs="Calibri"/>
          <w:sz w:val="22"/>
          <w:szCs w:val="22"/>
        </w:rPr>
        <w:lastRenderedPageBreak/>
        <w:t xml:space="preserve">Ke všem cenám uvedeným v této smlouvě bude připočteno DPH v zákonné výši, přičemž MBP se zavazuje </w:t>
      </w:r>
      <w:r w:rsidRPr="00443ED3">
        <w:rPr>
          <w:rFonts w:ascii="Calibri" w:hAnsi="Calibri" w:cs="Calibri"/>
          <w:sz w:val="22"/>
          <w:szCs w:val="22"/>
        </w:rPr>
        <w:br/>
        <w:t xml:space="preserve">za podnájem a poskytnuté služby vystavit pořadateli akce daňový doklad (fakturu). </w:t>
      </w:r>
    </w:p>
    <w:p w:rsidR="00552ED2" w:rsidRPr="00443ED3" w:rsidRDefault="00552ED2" w:rsidP="00552ED2">
      <w:pPr>
        <w:numPr>
          <w:ilvl w:val="0"/>
          <w:numId w:val="6"/>
        </w:numPr>
        <w:tabs>
          <w:tab w:val="left" w:pos="426"/>
        </w:tabs>
        <w:spacing w:after="120"/>
        <w:ind w:left="426" w:hanging="426"/>
        <w:jc w:val="both"/>
        <w:rPr>
          <w:rFonts w:ascii="Calibri" w:hAnsi="Calibri" w:cs="Calibri"/>
          <w:sz w:val="22"/>
          <w:szCs w:val="22"/>
        </w:rPr>
      </w:pPr>
      <w:r w:rsidRPr="00443ED3">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443ED3">
        <w:rPr>
          <w:rFonts w:ascii="Calibri" w:hAnsi="Calibri" w:cs="Calibri"/>
          <w:b/>
          <w:sz w:val="22"/>
          <w:szCs w:val="22"/>
        </w:rPr>
        <w:t xml:space="preserve">smluvní pokutu ve výši 10.000,- Kč </w:t>
      </w:r>
      <w:r w:rsidRPr="00443ED3">
        <w:rPr>
          <w:rFonts w:ascii="Calibri" w:hAnsi="Calibri" w:cs="Calibri"/>
          <w:sz w:val="22"/>
          <w:szCs w:val="22"/>
        </w:rPr>
        <w:t xml:space="preserve">(slovy: </w:t>
      </w:r>
      <w:proofErr w:type="spellStart"/>
      <w:r w:rsidRPr="00443ED3">
        <w:rPr>
          <w:rFonts w:ascii="Calibri" w:hAnsi="Calibri" w:cs="Calibri"/>
          <w:sz w:val="22"/>
          <w:szCs w:val="22"/>
        </w:rPr>
        <w:t>desettisíc</w:t>
      </w:r>
      <w:proofErr w:type="spellEnd"/>
      <w:r w:rsidRPr="00443ED3">
        <w:rPr>
          <w:rFonts w:ascii="Calibri" w:hAnsi="Calibri" w:cs="Calibri"/>
          <w:sz w:val="22"/>
          <w:szCs w:val="22"/>
        </w:rPr>
        <w:t xml:space="preserve"> korun českých). MBP se zavazuje tuto zálohu vyúčtovat nejpozději </w:t>
      </w:r>
      <w:r w:rsidRPr="00443ED3">
        <w:rPr>
          <w:rFonts w:ascii="Calibri" w:hAnsi="Calibri" w:cs="Calibri"/>
          <w:iCs/>
          <w:sz w:val="22"/>
          <w:szCs w:val="22"/>
        </w:rPr>
        <w:t xml:space="preserve">do deseti (10) pracovních dnů po skončení akce. </w:t>
      </w:r>
    </w:p>
    <w:p w:rsidR="00552ED2" w:rsidRPr="00443ED3" w:rsidRDefault="00552ED2" w:rsidP="007C3F80">
      <w:pPr>
        <w:numPr>
          <w:ilvl w:val="0"/>
          <w:numId w:val="6"/>
        </w:numPr>
        <w:spacing w:after="240"/>
        <w:ind w:left="426" w:hanging="426"/>
        <w:jc w:val="both"/>
        <w:rPr>
          <w:rFonts w:ascii="Calibri" w:hAnsi="Calibri" w:cs="Calibri"/>
          <w:sz w:val="22"/>
          <w:szCs w:val="22"/>
        </w:rPr>
      </w:pPr>
      <w:r w:rsidRPr="00443ED3">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43ED3" w:rsidRDefault="00DA085C" w:rsidP="00DA085C">
      <w:pPr>
        <w:jc w:val="center"/>
        <w:rPr>
          <w:rFonts w:ascii="Calibri" w:hAnsi="Calibri" w:cs="Calibri"/>
          <w:b/>
          <w:sz w:val="22"/>
        </w:rPr>
      </w:pPr>
      <w:r w:rsidRPr="00443ED3">
        <w:rPr>
          <w:rFonts w:ascii="Calibri" w:hAnsi="Calibri" w:cs="Calibri"/>
          <w:b/>
          <w:sz w:val="22"/>
        </w:rPr>
        <w:t>XIV.</w:t>
      </w:r>
    </w:p>
    <w:p w:rsidR="00DA085C" w:rsidRPr="00443ED3" w:rsidRDefault="00DA085C" w:rsidP="00DA085C">
      <w:pPr>
        <w:spacing w:after="120"/>
        <w:jc w:val="center"/>
        <w:rPr>
          <w:rFonts w:ascii="Calibri" w:hAnsi="Calibri" w:cs="Calibri"/>
          <w:b/>
          <w:sz w:val="22"/>
          <w:u w:val="single"/>
        </w:rPr>
      </w:pPr>
      <w:r w:rsidRPr="00443ED3">
        <w:rPr>
          <w:rFonts w:ascii="Calibri" w:hAnsi="Calibri" w:cs="Calibri"/>
          <w:b/>
          <w:sz w:val="22"/>
          <w:u w:val="single"/>
        </w:rPr>
        <w:t>Odstoupení od smlouvy</w:t>
      </w:r>
    </w:p>
    <w:p w:rsidR="00DA085C" w:rsidRPr="00443ED3" w:rsidRDefault="00DA085C" w:rsidP="00DA085C">
      <w:pPr>
        <w:pStyle w:val="Zkladntext"/>
        <w:numPr>
          <w:ilvl w:val="0"/>
          <w:numId w:val="5"/>
        </w:numPr>
        <w:tabs>
          <w:tab w:val="left" w:pos="360"/>
        </w:tabs>
        <w:suppressAutoHyphens w:val="0"/>
        <w:ind w:left="360"/>
        <w:rPr>
          <w:rFonts w:ascii="Calibri" w:hAnsi="Calibri" w:cs="Calibri"/>
          <w:szCs w:val="20"/>
        </w:rPr>
      </w:pPr>
      <w:r w:rsidRPr="00443ED3">
        <w:rPr>
          <w:rFonts w:ascii="Calibri" w:hAnsi="Calibri" w:cs="Calibri"/>
        </w:rPr>
        <w:t xml:space="preserve">Pořadatel akce je oprávněn kdykoli jednostranně tuto smlouvu zrušit, a to písemným odstoupením od této smlouvy doručeným nájemci. </w:t>
      </w:r>
      <w:r w:rsidRPr="00443ED3">
        <w:rPr>
          <w:rFonts w:ascii="Calibri" w:hAnsi="Calibri" w:cs="Calibri"/>
          <w:szCs w:val="20"/>
        </w:rPr>
        <w:t>Odstoupí-li pořadatel akce od podnájemní smlouvy:</w:t>
      </w:r>
    </w:p>
    <w:p w:rsidR="00DA085C" w:rsidRPr="00443ED3" w:rsidRDefault="00DA085C" w:rsidP="00DA085C">
      <w:pPr>
        <w:pStyle w:val="Zkladntext"/>
        <w:numPr>
          <w:ilvl w:val="0"/>
          <w:numId w:val="21"/>
        </w:numPr>
        <w:tabs>
          <w:tab w:val="left" w:pos="360"/>
        </w:tabs>
        <w:suppressAutoHyphens w:val="0"/>
        <w:rPr>
          <w:rFonts w:ascii="Calibri" w:hAnsi="Calibri" w:cs="Calibri"/>
          <w:szCs w:val="20"/>
        </w:rPr>
      </w:pPr>
      <w:r w:rsidRPr="00443ED3">
        <w:rPr>
          <w:rFonts w:ascii="Calibri" w:hAnsi="Calibri" w:cs="Calibri"/>
          <w:b/>
          <w:szCs w:val="20"/>
        </w:rPr>
        <w:t>do tří (3) měsíců před započetím akce</w:t>
      </w:r>
      <w:r w:rsidRPr="00443ED3">
        <w:rPr>
          <w:rFonts w:ascii="Calibri" w:hAnsi="Calibri" w:cs="Calibri"/>
          <w:szCs w:val="20"/>
        </w:rPr>
        <w:t xml:space="preserve"> uvedené v čl. IV této smlouvy, je povinen zaplatit MBP </w:t>
      </w:r>
      <w:r w:rsidRPr="00443ED3">
        <w:rPr>
          <w:rFonts w:ascii="Calibri" w:hAnsi="Calibri" w:cs="Calibri"/>
          <w:b/>
          <w:szCs w:val="20"/>
        </w:rPr>
        <w:t>finanční kompenzaci</w:t>
      </w:r>
      <w:r w:rsidRPr="00443ED3">
        <w:rPr>
          <w:rFonts w:ascii="Calibri" w:hAnsi="Calibri" w:cs="Calibri"/>
          <w:szCs w:val="20"/>
        </w:rPr>
        <w:t>, která se skládá ze součtu těchto částek:</w:t>
      </w:r>
    </w:p>
    <w:p w:rsidR="00DA085C" w:rsidRPr="00443ED3" w:rsidRDefault="00DA085C" w:rsidP="00DA085C">
      <w:pPr>
        <w:pStyle w:val="Zkladntext"/>
        <w:tabs>
          <w:tab w:val="left" w:pos="360"/>
        </w:tabs>
        <w:suppressAutoHyphens w:val="0"/>
        <w:ind w:left="720"/>
        <w:rPr>
          <w:rFonts w:ascii="Calibri" w:hAnsi="Calibri" w:cs="Calibri"/>
          <w:szCs w:val="20"/>
        </w:rPr>
      </w:pPr>
      <w:r w:rsidRPr="00443ED3">
        <w:rPr>
          <w:rFonts w:ascii="Calibri" w:hAnsi="Calibri" w:cs="Calibri"/>
          <w:b/>
          <w:szCs w:val="20"/>
        </w:rPr>
        <w:t>- 50% sjednané smluvní ceny</w:t>
      </w:r>
      <w:r w:rsidRPr="00443ED3">
        <w:rPr>
          <w:rFonts w:ascii="Calibri" w:hAnsi="Calibri" w:cs="Calibri"/>
          <w:szCs w:val="20"/>
        </w:rPr>
        <w:t xml:space="preserve"> uvedené v čl. XIII, bod 1 této smlouvy;</w:t>
      </w:r>
    </w:p>
    <w:p w:rsidR="00DA085C" w:rsidRPr="00443ED3" w:rsidRDefault="00DA085C" w:rsidP="00DA085C">
      <w:pPr>
        <w:pStyle w:val="Zkladntext"/>
        <w:tabs>
          <w:tab w:val="left" w:pos="360"/>
        </w:tabs>
        <w:suppressAutoHyphens w:val="0"/>
        <w:ind w:left="720"/>
        <w:rPr>
          <w:rFonts w:ascii="Calibri" w:hAnsi="Calibri" w:cs="Calibri"/>
          <w:szCs w:val="20"/>
        </w:rPr>
      </w:pPr>
      <w:r w:rsidRPr="00443ED3">
        <w:rPr>
          <w:rFonts w:ascii="Calibri" w:hAnsi="Calibri" w:cs="Calibri"/>
          <w:b/>
          <w:szCs w:val="20"/>
        </w:rPr>
        <w:t xml:space="preserve">- cenu všech poplatků </w:t>
      </w:r>
      <w:r w:rsidRPr="00443ED3">
        <w:rPr>
          <w:rFonts w:ascii="Calibri" w:hAnsi="Calibri" w:cs="Calibri"/>
          <w:szCs w:val="20"/>
        </w:rPr>
        <w:t>za vracení prodaných vstupenek na akci jejím držitelům (dle přílohy č. 3);</w:t>
      </w:r>
    </w:p>
    <w:p w:rsidR="00DA085C" w:rsidRPr="00443ED3" w:rsidRDefault="00DA085C" w:rsidP="00DA085C">
      <w:pPr>
        <w:pStyle w:val="Zkladntext"/>
        <w:numPr>
          <w:ilvl w:val="0"/>
          <w:numId w:val="21"/>
        </w:numPr>
        <w:tabs>
          <w:tab w:val="left" w:pos="360"/>
        </w:tabs>
        <w:suppressAutoHyphens w:val="0"/>
        <w:rPr>
          <w:rFonts w:ascii="Calibri" w:hAnsi="Calibri" w:cs="Calibri"/>
          <w:szCs w:val="20"/>
        </w:rPr>
      </w:pPr>
      <w:r w:rsidRPr="00443ED3">
        <w:rPr>
          <w:rFonts w:ascii="Calibri" w:hAnsi="Calibri" w:cs="Calibri"/>
          <w:b/>
          <w:szCs w:val="20"/>
        </w:rPr>
        <w:t>v době kratší než tři (3) měsíce před datem zahájení akce</w:t>
      </w:r>
      <w:r w:rsidRPr="00443ED3">
        <w:rPr>
          <w:rFonts w:ascii="Calibri" w:hAnsi="Calibri" w:cs="Calibri"/>
          <w:szCs w:val="20"/>
        </w:rPr>
        <w:t xml:space="preserve"> uvedené v čl. IV této smlouvy, je povinen zaplatit MBP </w:t>
      </w:r>
      <w:r w:rsidRPr="00443ED3">
        <w:rPr>
          <w:rFonts w:ascii="Calibri" w:hAnsi="Calibri" w:cs="Calibri"/>
          <w:b/>
          <w:szCs w:val="20"/>
        </w:rPr>
        <w:t>finanční kompenzaci</w:t>
      </w:r>
      <w:r w:rsidRPr="00443ED3">
        <w:rPr>
          <w:rFonts w:ascii="Calibri" w:hAnsi="Calibri" w:cs="Calibri"/>
          <w:szCs w:val="20"/>
        </w:rPr>
        <w:t>, která se skládá ze součtu těchto částek:</w:t>
      </w:r>
    </w:p>
    <w:p w:rsidR="00DA085C" w:rsidRPr="00443ED3" w:rsidRDefault="00DA085C" w:rsidP="00DA085C">
      <w:pPr>
        <w:pStyle w:val="Zkladntext"/>
        <w:tabs>
          <w:tab w:val="left" w:pos="360"/>
        </w:tabs>
        <w:suppressAutoHyphens w:val="0"/>
        <w:ind w:left="720"/>
        <w:rPr>
          <w:rFonts w:ascii="Calibri" w:hAnsi="Calibri" w:cs="Calibri"/>
          <w:szCs w:val="20"/>
        </w:rPr>
      </w:pPr>
      <w:r w:rsidRPr="00443ED3">
        <w:rPr>
          <w:rFonts w:ascii="Calibri" w:hAnsi="Calibri" w:cs="Calibri"/>
          <w:b/>
          <w:szCs w:val="20"/>
        </w:rPr>
        <w:t>- 100% sjednané smluvní ceny</w:t>
      </w:r>
      <w:r w:rsidRPr="00443ED3">
        <w:rPr>
          <w:rFonts w:ascii="Calibri" w:hAnsi="Calibri" w:cs="Calibri"/>
          <w:szCs w:val="20"/>
        </w:rPr>
        <w:t xml:space="preserve"> uvedené v čl. XIII, bod 1 této smlouvy;</w:t>
      </w:r>
    </w:p>
    <w:p w:rsidR="00DA085C" w:rsidRPr="00443ED3" w:rsidRDefault="00DA085C" w:rsidP="00DA085C">
      <w:pPr>
        <w:pStyle w:val="Zkladntext"/>
        <w:tabs>
          <w:tab w:val="left" w:pos="360"/>
        </w:tabs>
        <w:suppressAutoHyphens w:val="0"/>
        <w:ind w:left="720"/>
        <w:rPr>
          <w:rFonts w:ascii="Calibri" w:hAnsi="Calibri" w:cs="Calibri"/>
          <w:szCs w:val="20"/>
        </w:rPr>
      </w:pPr>
      <w:r w:rsidRPr="00443ED3">
        <w:rPr>
          <w:rFonts w:ascii="Calibri" w:hAnsi="Calibri" w:cs="Calibri"/>
          <w:b/>
          <w:szCs w:val="20"/>
        </w:rPr>
        <w:t xml:space="preserve">- cenu všech poplatků </w:t>
      </w:r>
      <w:r w:rsidRPr="00443ED3">
        <w:rPr>
          <w:rFonts w:ascii="Calibri" w:hAnsi="Calibri" w:cs="Calibri"/>
          <w:szCs w:val="20"/>
        </w:rPr>
        <w:t>za vracení prodaných vstupenek na akci jejím držitelům (dle přílohy č. 3);</w:t>
      </w:r>
    </w:p>
    <w:p w:rsidR="00DA085C" w:rsidRPr="00443ED3" w:rsidRDefault="00DA085C" w:rsidP="00DA085C">
      <w:pPr>
        <w:pStyle w:val="Zkladntext"/>
        <w:tabs>
          <w:tab w:val="left" w:pos="360"/>
        </w:tabs>
        <w:suppressAutoHyphens w:val="0"/>
        <w:ind w:left="360"/>
        <w:rPr>
          <w:rFonts w:ascii="Calibri" w:hAnsi="Calibri" w:cs="Calibri"/>
          <w:szCs w:val="20"/>
        </w:rPr>
      </w:pPr>
      <w:r w:rsidRPr="00443ED3">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443ED3">
        <w:rPr>
          <w:rFonts w:ascii="Calibri" w:hAnsi="Calibri" w:cs="Calibri"/>
          <w:szCs w:val="20"/>
        </w:rPr>
        <w:t>XIII</w:t>
      </w:r>
      <w:r w:rsidRPr="00443ED3">
        <w:rPr>
          <w:rFonts w:ascii="Calibri" w:hAnsi="Calibri" w:cs="Calibri"/>
          <w:szCs w:val="20"/>
        </w:rPr>
        <w:t xml:space="preserve">, bod 2 této smlouvy a pořadatel akce se zavazuje uhradit neprodleně MBP zbývající částku. </w:t>
      </w:r>
    </w:p>
    <w:p w:rsidR="00DA085C" w:rsidRPr="00443ED3" w:rsidRDefault="00DA085C" w:rsidP="00DA085C">
      <w:pPr>
        <w:pStyle w:val="Zkladntext"/>
        <w:tabs>
          <w:tab w:val="left" w:pos="360"/>
        </w:tabs>
        <w:suppressAutoHyphens w:val="0"/>
        <w:ind w:left="360"/>
        <w:rPr>
          <w:rFonts w:ascii="Calibri" w:hAnsi="Calibri" w:cs="Calibri"/>
          <w:szCs w:val="20"/>
        </w:rPr>
      </w:pPr>
      <w:r w:rsidRPr="00443ED3">
        <w:rPr>
          <w:rFonts w:ascii="Calibri" w:hAnsi="Calibri" w:cs="Calibri"/>
          <w:szCs w:val="20"/>
        </w:rPr>
        <w:t xml:space="preserve"> </w:t>
      </w:r>
    </w:p>
    <w:p w:rsidR="00DA085C" w:rsidRPr="00443ED3" w:rsidRDefault="00DA085C" w:rsidP="00DA085C">
      <w:pPr>
        <w:numPr>
          <w:ilvl w:val="0"/>
          <w:numId w:val="5"/>
        </w:numPr>
        <w:tabs>
          <w:tab w:val="left" w:pos="360"/>
        </w:tabs>
        <w:ind w:left="360"/>
        <w:jc w:val="both"/>
        <w:rPr>
          <w:rFonts w:ascii="Calibri" w:hAnsi="Calibri" w:cs="Calibri"/>
          <w:sz w:val="22"/>
          <w:szCs w:val="22"/>
        </w:rPr>
      </w:pPr>
      <w:r w:rsidRPr="00443ED3">
        <w:rPr>
          <w:rFonts w:ascii="Calibri" w:hAnsi="Calibri" w:cs="Calibri"/>
          <w:sz w:val="22"/>
          <w:szCs w:val="22"/>
        </w:rPr>
        <w:t xml:space="preserve">MBP může od smlouvy jednostranně písemně odstoupit pouze z následujících důvodů: </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pořadatel akce neuhradil včas jistinu dle čl. XIII, bod 2 této smlouvy;</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pořadatel akce si nepřevzal prostory k pořádání akce dle čl. XI bod 1 této smlouvy ani po uplynutí 90 minut od okamžiku sjednaného převzetí;</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MBP byl doručen vykonatelný zákaz konání akce vydaný soudem nebo správním orgánem z důvodů, které nejsou na straně MBP;</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pořadatel akce nemá nebo ztratí oprávnění k pořádání akce;</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proti pořadateli akce je zahájeno insolvenční řízení, nebo bylo rozhodnuto o jeho úpadku;</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43ED3" w:rsidRDefault="00DA085C" w:rsidP="00DA085C">
      <w:pPr>
        <w:numPr>
          <w:ilvl w:val="0"/>
          <w:numId w:val="22"/>
        </w:numPr>
        <w:tabs>
          <w:tab w:val="left" w:pos="360"/>
        </w:tabs>
        <w:jc w:val="both"/>
        <w:rPr>
          <w:rFonts w:ascii="Calibri" w:hAnsi="Calibri" w:cs="Calibri"/>
          <w:sz w:val="22"/>
          <w:szCs w:val="22"/>
        </w:rPr>
      </w:pPr>
      <w:r w:rsidRPr="00443ED3">
        <w:rPr>
          <w:rFonts w:ascii="Calibri" w:hAnsi="Calibri" w:cs="Calibri"/>
          <w:sz w:val="22"/>
          <w:szCs w:val="22"/>
        </w:rPr>
        <w:t xml:space="preserve">pořadatel akce poruší jiným podstatným důvodem tuto smlouvu a toto porušení nenapraví </w:t>
      </w:r>
      <w:r w:rsidRPr="00443ED3">
        <w:rPr>
          <w:rFonts w:ascii="Calibri" w:hAnsi="Calibri" w:cs="Calibri"/>
          <w:sz w:val="22"/>
          <w:szCs w:val="22"/>
        </w:rPr>
        <w:br/>
        <w:t>ani v přiměřené lhůtě, stanovené v upozornění odeslaném MBP.</w:t>
      </w:r>
    </w:p>
    <w:p w:rsidR="00DA085C" w:rsidRPr="00443ED3" w:rsidRDefault="00DA085C" w:rsidP="00DA085C">
      <w:pPr>
        <w:tabs>
          <w:tab w:val="left" w:pos="360"/>
        </w:tabs>
        <w:spacing w:after="120"/>
        <w:ind w:left="720"/>
        <w:jc w:val="both"/>
        <w:rPr>
          <w:rFonts w:ascii="Calibri" w:hAnsi="Calibri" w:cs="Calibri"/>
          <w:sz w:val="22"/>
          <w:szCs w:val="22"/>
        </w:rPr>
      </w:pPr>
      <w:r w:rsidRPr="00443ED3">
        <w:rPr>
          <w:rFonts w:ascii="Calibri" w:hAnsi="Calibri" w:cs="Calibri"/>
          <w:sz w:val="22"/>
          <w:szCs w:val="22"/>
        </w:rPr>
        <w:t xml:space="preserve">Odstoupení od smlouvy nemá vliv na nárok MBP na zaplacení smluvní pokuty. </w:t>
      </w:r>
    </w:p>
    <w:p w:rsidR="00DA085C" w:rsidRPr="00443ED3" w:rsidRDefault="00DA085C" w:rsidP="007C3F80">
      <w:pPr>
        <w:numPr>
          <w:ilvl w:val="0"/>
          <w:numId w:val="5"/>
        </w:numPr>
        <w:tabs>
          <w:tab w:val="left" w:pos="360"/>
        </w:tabs>
        <w:spacing w:after="240"/>
        <w:ind w:hanging="720"/>
        <w:jc w:val="both"/>
        <w:rPr>
          <w:rFonts w:ascii="Calibri" w:hAnsi="Calibri" w:cs="Calibri"/>
          <w:sz w:val="22"/>
          <w:szCs w:val="22"/>
        </w:rPr>
      </w:pPr>
      <w:r w:rsidRPr="00443ED3">
        <w:rPr>
          <w:rFonts w:ascii="Calibri" w:hAnsi="Calibri" w:cs="Calibri"/>
          <w:sz w:val="22"/>
          <w:szCs w:val="22"/>
        </w:rPr>
        <w:t>Písemné odstoupení od smlouvy je účinné jeho doručením druhé smluvní straně.</w:t>
      </w:r>
    </w:p>
    <w:p w:rsidR="00092329" w:rsidRPr="00443ED3" w:rsidRDefault="00092329" w:rsidP="00092329">
      <w:pPr>
        <w:jc w:val="center"/>
        <w:rPr>
          <w:rFonts w:ascii="Calibri" w:hAnsi="Calibri" w:cs="Calibri"/>
          <w:b/>
          <w:sz w:val="22"/>
          <w:szCs w:val="22"/>
        </w:rPr>
      </w:pPr>
      <w:r w:rsidRPr="00443ED3">
        <w:rPr>
          <w:rFonts w:ascii="Calibri" w:hAnsi="Calibri" w:cs="Calibri"/>
          <w:b/>
          <w:sz w:val="22"/>
          <w:szCs w:val="22"/>
        </w:rPr>
        <w:t>XV.</w:t>
      </w:r>
    </w:p>
    <w:p w:rsidR="00092329" w:rsidRPr="00443ED3" w:rsidRDefault="00092329" w:rsidP="00092329">
      <w:pPr>
        <w:spacing w:after="120"/>
        <w:jc w:val="center"/>
        <w:rPr>
          <w:rFonts w:ascii="Calibri" w:hAnsi="Calibri" w:cs="Calibri"/>
          <w:b/>
          <w:sz w:val="22"/>
          <w:szCs w:val="22"/>
          <w:u w:val="single"/>
        </w:rPr>
      </w:pPr>
      <w:r w:rsidRPr="00443ED3">
        <w:rPr>
          <w:rFonts w:ascii="Calibri" w:hAnsi="Calibri" w:cs="Calibri"/>
          <w:b/>
          <w:sz w:val="22"/>
          <w:szCs w:val="22"/>
          <w:u w:val="single"/>
        </w:rPr>
        <w:t>Zrušení akce nebo její přesun na jiný termín, vyšší moc</w:t>
      </w:r>
    </w:p>
    <w:p w:rsidR="00092329" w:rsidRPr="00443ED3"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43ED3">
        <w:rPr>
          <w:rFonts w:ascii="Calibri" w:hAnsi="Calibri" w:cs="Calibri"/>
          <w:szCs w:val="22"/>
        </w:rPr>
        <w:lastRenderedPageBreak/>
        <w:t xml:space="preserve">Zruší-li pořadatel akce z jakéhokoliv důvodu akci, zavazuje se o tom neprodleně informovat MBP. Zrušení akce pořadatelem je smluvními stranami považováno za odstoupení od smlouvy ve smyslu ustanovení </w:t>
      </w:r>
      <w:r w:rsidRPr="00443ED3">
        <w:rPr>
          <w:rFonts w:ascii="Calibri" w:hAnsi="Calibri" w:cs="Calibri"/>
          <w:szCs w:val="22"/>
        </w:rPr>
        <w:br/>
        <w:t>čl. XIV bodu 1 této smlouvy. Na základě toho MBP:</w:t>
      </w:r>
    </w:p>
    <w:p w:rsidR="00092329" w:rsidRPr="00443ED3" w:rsidRDefault="00092329" w:rsidP="00092329">
      <w:pPr>
        <w:pStyle w:val="Zkladntext"/>
        <w:numPr>
          <w:ilvl w:val="0"/>
          <w:numId w:val="15"/>
        </w:numPr>
        <w:suppressAutoHyphens w:val="0"/>
        <w:rPr>
          <w:rFonts w:ascii="Calibri" w:hAnsi="Calibri" w:cs="Calibri"/>
          <w:szCs w:val="22"/>
        </w:rPr>
      </w:pPr>
      <w:r w:rsidRPr="00443ED3">
        <w:rPr>
          <w:rFonts w:ascii="Calibri" w:hAnsi="Calibri" w:cs="Calibri"/>
          <w:szCs w:val="22"/>
        </w:rPr>
        <w:t>zastaví prodej vstupenek na akci</w:t>
      </w:r>
    </w:p>
    <w:p w:rsidR="00226803" w:rsidRPr="00443ED3" w:rsidRDefault="00226803" w:rsidP="00092329">
      <w:pPr>
        <w:pStyle w:val="Zkladntext"/>
        <w:numPr>
          <w:ilvl w:val="0"/>
          <w:numId w:val="15"/>
        </w:numPr>
        <w:suppressAutoHyphens w:val="0"/>
        <w:rPr>
          <w:rFonts w:ascii="Calibri" w:hAnsi="Calibri" w:cs="Calibri"/>
          <w:szCs w:val="22"/>
        </w:rPr>
      </w:pPr>
      <w:r w:rsidRPr="00443ED3">
        <w:rPr>
          <w:rFonts w:ascii="Calibri" w:hAnsi="Calibri" w:cs="Calibri"/>
          <w:szCs w:val="22"/>
        </w:rPr>
        <w:t xml:space="preserve">odešle informaci o zrušení akce divákům prostřednictvím prodejního systému </w:t>
      </w:r>
      <w:proofErr w:type="spellStart"/>
      <w:r w:rsidRPr="00443ED3">
        <w:rPr>
          <w:rFonts w:ascii="Calibri" w:hAnsi="Calibri" w:cs="Calibri"/>
          <w:szCs w:val="22"/>
        </w:rPr>
        <w:t>Goout</w:t>
      </w:r>
      <w:proofErr w:type="spellEnd"/>
      <w:r w:rsidRPr="00443ED3">
        <w:rPr>
          <w:rFonts w:ascii="Calibri" w:hAnsi="Calibri" w:cs="Calibri"/>
          <w:szCs w:val="22"/>
        </w:rPr>
        <w:t>:</w:t>
      </w:r>
    </w:p>
    <w:p w:rsidR="00226803" w:rsidRPr="00443ED3" w:rsidRDefault="00226803" w:rsidP="00226803">
      <w:pPr>
        <w:pStyle w:val="Zkladntext"/>
        <w:numPr>
          <w:ilvl w:val="1"/>
          <w:numId w:val="15"/>
        </w:numPr>
        <w:suppressAutoHyphens w:val="0"/>
        <w:rPr>
          <w:rFonts w:ascii="Calibri" w:hAnsi="Calibri" w:cs="Calibri"/>
          <w:szCs w:val="22"/>
        </w:rPr>
      </w:pPr>
      <w:r w:rsidRPr="00443ED3">
        <w:rPr>
          <w:rFonts w:ascii="Calibri" w:hAnsi="Calibri" w:cs="Calibri"/>
          <w:szCs w:val="22"/>
        </w:rPr>
        <w:t>e-mailem (zdarma)</w:t>
      </w:r>
    </w:p>
    <w:p w:rsidR="00226803" w:rsidRPr="00443ED3" w:rsidRDefault="00226803" w:rsidP="00226803">
      <w:pPr>
        <w:pStyle w:val="Zkladntext"/>
        <w:numPr>
          <w:ilvl w:val="1"/>
          <w:numId w:val="15"/>
        </w:numPr>
        <w:suppressAutoHyphens w:val="0"/>
        <w:rPr>
          <w:rFonts w:ascii="Calibri" w:hAnsi="Calibri" w:cs="Calibri"/>
          <w:szCs w:val="22"/>
        </w:rPr>
      </w:pPr>
      <w:r w:rsidRPr="00443ED3">
        <w:rPr>
          <w:rFonts w:ascii="Calibri" w:hAnsi="Calibri" w:cs="Calibri"/>
          <w:szCs w:val="22"/>
        </w:rPr>
        <w:t xml:space="preserve">SMS zprávou (tato služba je zpoplatněná, cena jedné zprávy (160 znaků) je 1.50 Kč bez DPH) </w:t>
      </w:r>
    </w:p>
    <w:p w:rsidR="00092329" w:rsidRPr="00443ED3" w:rsidRDefault="00092329" w:rsidP="00092329">
      <w:pPr>
        <w:pStyle w:val="Zkladntext"/>
        <w:numPr>
          <w:ilvl w:val="0"/>
          <w:numId w:val="15"/>
        </w:numPr>
        <w:suppressAutoHyphens w:val="0"/>
        <w:ind w:left="709" w:hanging="283"/>
        <w:rPr>
          <w:rFonts w:ascii="Calibri" w:hAnsi="Calibri" w:cs="Calibri"/>
          <w:szCs w:val="22"/>
        </w:rPr>
      </w:pPr>
      <w:r w:rsidRPr="00443ED3">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443ED3" w:rsidRDefault="00092329" w:rsidP="00092329">
      <w:pPr>
        <w:pStyle w:val="Zkladntext"/>
        <w:numPr>
          <w:ilvl w:val="0"/>
          <w:numId w:val="15"/>
        </w:numPr>
        <w:suppressAutoHyphens w:val="0"/>
        <w:spacing w:after="120"/>
        <w:ind w:left="709" w:hanging="283"/>
        <w:rPr>
          <w:rFonts w:ascii="Calibri" w:hAnsi="Calibri" w:cs="Calibri"/>
          <w:szCs w:val="22"/>
        </w:rPr>
      </w:pPr>
      <w:r w:rsidRPr="00443ED3">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443ED3"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43ED3">
        <w:rPr>
          <w:rFonts w:ascii="Calibri" w:hAnsi="Calibri" w:cs="Calibri"/>
          <w:szCs w:val="22"/>
        </w:rPr>
        <w:t xml:space="preserve">Nedostatečný prodej vstupenek na akci, není důvodem ke zrušení akce ze strany pořadatele akce. </w:t>
      </w:r>
      <w:r w:rsidRPr="00443ED3">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43ED3"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443ED3">
        <w:rPr>
          <w:rFonts w:ascii="Calibri" w:hAnsi="Calibri" w:cs="Calibri"/>
          <w:sz w:val="22"/>
          <w:szCs w:val="22"/>
        </w:rPr>
        <w:t xml:space="preserve"> Smluvní strany se dohodly, že v případě, že se akce neuskuteční, MBP vrací držitelům vstupenek vstupné </w:t>
      </w:r>
      <w:r w:rsidRPr="00443ED3">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443ED3"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43ED3">
        <w:rPr>
          <w:rFonts w:ascii="Calibri" w:hAnsi="Calibri" w:cs="Calibri"/>
          <w:sz w:val="22"/>
          <w:szCs w:val="22"/>
        </w:rPr>
        <w:t xml:space="preserve"> Bude-li realizace akce znemožněna v důsledku nepředvídatelné události, ležící mimo smluvní strany </w:t>
      </w:r>
      <w:r w:rsidRPr="00443ED3">
        <w:rPr>
          <w:rFonts w:ascii="Calibri" w:hAnsi="Calibri" w:cs="Calibri"/>
          <w:sz w:val="22"/>
          <w:szCs w:val="22"/>
        </w:rPr>
        <w:br/>
        <w:t xml:space="preserve">(tzv. „vyšší moc“), například přírodní katastrofa, epidemie, úřední zákaz apod. nebo z důvodu </w:t>
      </w:r>
      <w:r w:rsidRPr="00443ED3">
        <w:rPr>
          <w:rFonts w:ascii="Calibri" w:hAnsi="Calibri" w:cs="Calibri"/>
          <w:sz w:val="22"/>
          <w:szCs w:val="22"/>
        </w:rPr>
        <w:br/>
        <w:t>ne</w:t>
      </w:r>
      <w:r w:rsidRPr="00443ED3">
        <w:rPr>
          <w:rFonts w:ascii="Calibri" w:hAnsi="Calibri" w:cs="Calibri"/>
          <w:sz w:val="22"/>
          <w:szCs w:val="22"/>
        </w:rPr>
        <w:softHyphen/>
        <w:t>předvídatelné a neodvratitelné události na straně vystupu</w:t>
      </w:r>
      <w:r w:rsidRPr="00443ED3">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43ED3" w:rsidRDefault="00092329" w:rsidP="00092329">
      <w:pPr>
        <w:jc w:val="center"/>
        <w:rPr>
          <w:rFonts w:ascii="Calibri" w:hAnsi="Calibri" w:cs="Calibri"/>
          <w:b/>
          <w:sz w:val="22"/>
          <w:szCs w:val="22"/>
        </w:rPr>
      </w:pPr>
      <w:r w:rsidRPr="00443ED3">
        <w:rPr>
          <w:rFonts w:ascii="Calibri" w:hAnsi="Calibri" w:cs="Calibri"/>
          <w:b/>
          <w:sz w:val="22"/>
          <w:szCs w:val="22"/>
        </w:rPr>
        <w:t>XVI.</w:t>
      </w:r>
    </w:p>
    <w:p w:rsidR="00092329" w:rsidRPr="00443ED3" w:rsidRDefault="00092329" w:rsidP="00092329">
      <w:pPr>
        <w:spacing w:after="120"/>
        <w:jc w:val="center"/>
        <w:rPr>
          <w:rFonts w:ascii="Calibri" w:hAnsi="Calibri" w:cs="Calibri"/>
          <w:b/>
          <w:sz w:val="22"/>
          <w:u w:val="single"/>
        </w:rPr>
      </w:pPr>
      <w:r w:rsidRPr="00443ED3">
        <w:rPr>
          <w:rFonts w:ascii="Calibri" w:hAnsi="Calibri" w:cs="Calibri"/>
          <w:b/>
          <w:sz w:val="22"/>
          <w:u w:val="single"/>
        </w:rPr>
        <w:t>Ostatní ujednání</w:t>
      </w:r>
    </w:p>
    <w:p w:rsidR="00092329" w:rsidRPr="00443ED3"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443ED3">
        <w:rPr>
          <w:rFonts w:ascii="Calibri" w:hAnsi="Calibri" w:cs="Calibri"/>
          <w:color w:val="000000"/>
          <w:sz w:val="22"/>
          <w:szCs w:val="22"/>
        </w:rPr>
        <w:t xml:space="preserve">MBP se zavazuje, s ohledem na povinnosti vyplývající ze zákona č. 340/2015 Sb., o registru smluv („Zákon </w:t>
      </w:r>
      <w:r w:rsidRPr="00443ED3">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443ED3">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443ED3">
        <w:rPr>
          <w:rFonts w:ascii="Calibri" w:hAnsi="Calibri" w:cs="Calibri"/>
          <w:color w:val="000000"/>
          <w:sz w:val="22"/>
          <w:szCs w:val="22"/>
        </w:rPr>
        <w:t xml:space="preserve"> Smluvní strany se shodly na tom, že přílohy této smlouvy obsahují obchodní tajemství.</w:t>
      </w:r>
    </w:p>
    <w:p w:rsidR="00092329" w:rsidRPr="00443ED3"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443ED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443ED3" w:rsidRDefault="00092329" w:rsidP="00092329">
      <w:pPr>
        <w:tabs>
          <w:tab w:val="left" w:pos="357"/>
          <w:tab w:val="num" w:pos="426"/>
        </w:tabs>
        <w:spacing w:after="120"/>
        <w:ind w:left="426" w:hanging="426"/>
        <w:jc w:val="both"/>
        <w:rPr>
          <w:rFonts w:ascii="Calibri" w:hAnsi="Calibri" w:cs="Calibri"/>
          <w:sz w:val="22"/>
          <w:szCs w:val="22"/>
        </w:rPr>
      </w:pPr>
      <w:r w:rsidRPr="00443ED3">
        <w:rPr>
          <w:rFonts w:ascii="Calibri" w:hAnsi="Calibri" w:cs="Calibri"/>
          <w:sz w:val="22"/>
          <w:szCs w:val="22"/>
        </w:rPr>
        <w:t>3.  Veškerá korespondence a dokumenty budou v rámci plnění předmětu smlouvy předávány osobně, elektronickou poštou nebo poštovní zásilkou.</w:t>
      </w:r>
    </w:p>
    <w:p w:rsidR="00A20D7A" w:rsidRPr="00443ED3" w:rsidRDefault="00092329" w:rsidP="009D2C55">
      <w:pPr>
        <w:tabs>
          <w:tab w:val="left" w:pos="357"/>
          <w:tab w:val="num" w:pos="426"/>
        </w:tabs>
        <w:spacing w:after="120"/>
        <w:ind w:left="426" w:hanging="426"/>
        <w:jc w:val="both"/>
        <w:rPr>
          <w:rFonts w:ascii="Calibri" w:hAnsi="Calibri" w:cs="Calibri"/>
          <w:sz w:val="22"/>
          <w:szCs w:val="22"/>
        </w:rPr>
      </w:pPr>
      <w:r w:rsidRPr="00443ED3">
        <w:rPr>
          <w:rFonts w:ascii="Calibri" w:hAnsi="Calibri" w:cs="Calibri"/>
          <w:sz w:val="22"/>
          <w:szCs w:val="22"/>
        </w:rPr>
        <w:t xml:space="preserve">4.  </w:t>
      </w:r>
      <w:r w:rsidR="00A20D7A" w:rsidRPr="00443ED3">
        <w:rPr>
          <w:rFonts w:ascii="Calibri" w:hAnsi="Calibri" w:cs="Calibri"/>
          <w:sz w:val="22"/>
          <w:szCs w:val="22"/>
        </w:rPr>
        <w:t xml:space="preserve">  Smluvní strany se </w:t>
      </w:r>
      <w:r w:rsidR="00444042" w:rsidRPr="00443ED3">
        <w:rPr>
          <w:rFonts w:ascii="Calibri" w:hAnsi="Calibri" w:cs="Calibri"/>
          <w:sz w:val="22"/>
          <w:szCs w:val="22"/>
        </w:rPr>
        <w:t xml:space="preserve">dohodly a </w:t>
      </w:r>
      <w:r w:rsidR="00A20D7A" w:rsidRPr="00443ED3">
        <w:rPr>
          <w:rFonts w:ascii="Calibri" w:hAnsi="Calibri" w:cs="Calibri"/>
          <w:sz w:val="22"/>
          <w:szCs w:val="22"/>
        </w:rPr>
        <w:t xml:space="preserve">zavazují </w:t>
      </w:r>
      <w:r w:rsidR="00444042" w:rsidRPr="00443ED3">
        <w:rPr>
          <w:rFonts w:ascii="Calibri" w:hAnsi="Calibri" w:cs="Calibri"/>
          <w:sz w:val="22"/>
          <w:szCs w:val="22"/>
        </w:rPr>
        <w:t xml:space="preserve">se </w:t>
      </w:r>
      <w:r w:rsidR="00A20D7A" w:rsidRPr="00443ED3">
        <w:rPr>
          <w:rFonts w:ascii="Calibri" w:hAnsi="Calibri" w:cs="Calibri"/>
          <w:sz w:val="22"/>
          <w:szCs w:val="22"/>
        </w:rPr>
        <w:t>po celou dobu platnosti této smlouvy a po dobu pěti (5) let po datu uskutečnění akce zachovávat mlčenlivost o těchto obchodních tajemství</w:t>
      </w:r>
      <w:r w:rsidR="00444042" w:rsidRPr="00443ED3">
        <w:rPr>
          <w:rFonts w:ascii="Calibri" w:hAnsi="Calibri" w:cs="Calibri"/>
          <w:sz w:val="22"/>
          <w:szCs w:val="22"/>
        </w:rPr>
        <w:t xml:space="preserve">ch: </w:t>
      </w:r>
    </w:p>
    <w:p w:rsidR="00A20D7A" w:rsidRPr="00443ED3" w:rsidRDefault="00A20D7A" w:rsidP="00A20D7A">
      <w:pPr>
        <w:tabs>
          <w:tab w:val="left" w:pos="357"/>
          <w:tab w:val="num" w:pos="426"/>
        </w:tabs>
        <w:ind w:left="426" w:hanging="426"/>
        <w:jc w:val="both"/>
        <w:rPr>
          <w:rFonts w:ascii="Calibri" w:hAnsi="Calibri" w:cs="Calibri"/>
          <w:sz w:val="22"/>
          <w:szCs w:val="22"/>
        </w:rPr>
      </w:pPr>
      <w:r w:rsidRPr="00443ED3">
        <w:rPr>
          <w:rFonts w:ascii="Calibri" w:hAnsi="Calibri" w:cs="Calibri"/>
          <w:sz w:val="22"/>
          <w:szCs w:val="22"/>
        </w:rPr>
        <w:tab/>
      </w:r>
      <w:r w:rsidR="00444042" w:rsidRPr="00443ED3">
        <w:rPr>
          <w:rFonts w:ascii="Calibri" w:hAnsi="Calibri" w:cs="Calibri"/>
          <w:sz w:val="22"/>
          <w:szCs w:val="22"/>
        </w:rPr>
        <w:t xml:space="preserve"> </w:t>
      </w:r>
      <w:r w:rsidRPr="00443ED3">
        <w:rPr>
          <w:rFonts w:ascii="Calibri" w:hAnsi="Calibri" w:cs="Calibri"/>
          <w:sz w:val="22"/>
          <w:szCs w:val="22"/>
        </w:rPr>
        <w:t xml:space="preserve">(a) </w:t>
      </w:r>
      <w:r w:rsidR="00444042" w:rsidRPr="00443ED3">
        <w:rPr>
          <w:rFonts w:ascii="Calibri" w:hAnsi="Calibri" w:cs="Calibri"/>
          <w:sz w:val="22"/>
          <w:szCs w:val="22"/>
        </w:rPr>
        <w:t xml:space="preserve">informace </w:t>
      </w:r>
      <w:r w:rsidRPr="00443ED3">
        <w:rPr>
          <w:rFonts w:ascii="Calibri" w:hAnsi="Calibri" w:cs="Calibri"/>
          <w:sz w:val="22"/>
          <w:szCs w:val="22"/>
        </w:rPr>
        <w:t>uvedené v přílohách této smlouvy;</w:t>
      </w:r>
    </w:p>
    <w:p w:rsidR="00A20D7A" w:rsidRPr="00443ED3" w:rsidRDefault="00A20D7A" w:rsidP="00A20D7A">
      <w:pPr>
        <w:tabs>
          <w:tab w:val="left" w:pos="357"/>
          <w:tab w:val="num" w:pos="426"/>
        </w:tabs>
        <w:ind w:left="426" w:hanging="426"/>
        <w:jc w:val="both"/>
        <w:rPr>
          <w:rFonts w:ascii="Calibri" w:hAnsi="Calibri" w:cs="Calibri"/>
          <w:sz w:val="22"/>
          <w:szCs w:val="22"/>
        </w:rPr>
      </w:pPr>
      <w:r w:rsidRPr="00443ED3">
        <w:rPr>
          <w:rFonts w:ascii="Calibri" w:hAnsi="Calibri" w:cs="Calibri"/>
          <w:sz w:val="22"/>
          <w:szCs w:val="22"/>
        </w:rPr>
        <w:tab/>
      </w:r>
      <w:r w:rsidR="00444042" w:rsidRPr="00443ED3">
        <w:rPr>
          <w:rFonts w:ascii="Calibri" w:hAnsi="Calibri" w:cs="Calibri"/>
          <w:sz w:val="22"/>
          <w:szCs w:val="22"/>
        </w:rPr>
        <w:t xml:space="preserve"> </w:t>
      </w:r>
      <w:r w:rsidRPr="00443ED3">
        <w:rPr>
          <w:rFonts w:ascii="Calibri" w:hAnsi="Calibri" w:cs="Calibri"/>
          <w:sz w:val="22"/>
          <w:szCs w:val="22"/>
        </w:rPr>
        <w:t xml:space="preserve">(b) </w:t>
      </w:r>
      <w:proofErr w:type="spellStart"/>
      <w:r w:rsidRPr="00443ED3">
        <w:rPr>
          <w:rFonts w:ascii="Calibri" w:hAnsi="Calibri" w:cs="Calibri"/>
          <w:sz w:val="22"/>
          <w:szCs w:val="22"/>
        </w:rPr>
        <w:t>ticketingové</w:t>
      </w:r>
      <w:proofErr w:type="spellEnd"/>
      <w:r w:rsidRPr="00443ED3">
        <w:rPr>
          <w:rFonts w:ascii="Calibri" w:hAnsi="Calibri" w:cs="Calibri"/>
          <w:sz w:val="22"/>
          <w:szCs w:val="22"/>
        </w:rPr>
        <w:t xml:space="preserve"> reporty (počty prodaných vstupenek a výš</w:t>
      </w:r>
      <w:r w:rsidR="00444042" w:rsidRPr="00443ED3">
        <w:rPr>
          <w:rFonts w:ascii="Calibri" w:hAnsi="Calibri" w:cs="Calibri"/>
          <w:sz w:val="22"/>
          <w:szCs w:val="22"/>
        </w:rPr>
        <w:t>e</w:t>
      </w:r>
      <w:r w:rsidRPr="00443ED3">
        <w:rPr>
          <w:rFonts w:ascii="Calibri" w:hAnsi="Calibri" w:cs="Calibri"/>
          <w:sz w:val="22"/>
          <w:szCs w:val="22"/>
        </w:rPr>
        <w:t xml:space="preserve"> tržeb za prodané vstupenky);</w:t>
      </w:r>
    </w:p>
    <w:p w:rsidR="00A20D7A" w:rsidRPr="00443ED3" w:rsidRDefault="00A20D7A" w:rsidP="009D2C55">
      <w:pPr>
        <w:tabs>
          <w:tab w:val="left" w:pos="357"/>
          <w:tab w:val="num" w:pos="426"/>
        </w:tabs>
        <w:spacing w:after="120"/>
        <w:ind w:left="426" w:hanging="426"/>
        <w:jc w:val="both"/>
        <w:rPr>
          <w:rFonts w:ascii="Calibri" w:hAnsi="Calibri" w:cs="Calibri"/>
          <w:sz w:val="22"/>
          <w:szCs w:val="22"/>
        </w:rPr>
      </w:pPr>
      <w:r w:rsidRPr="00443ED3">
        <w:rPr>
          <w:rFonts w:ascii="Calibri" w:hAnsi="Calibri" w:cs="Calibri"/>
          <w:sz w:val="22"/>
          <w:szCs w:val="22"/>
        </w:rPr>
        <w:tab/>
      </w:r>
      <w:r w:rsidR="00444042" w:rsidRPr="00443ED3">
        <w:rPr>
          <w:rFonts w:ascii="Calibri" w:hAnsi="Calibri" w:cs="Calibri"/>
          <w:sz w:val="22"/>
          <w:szCs w:val="22"/>
        </w:rPr>
        <w:t xml:space="preserve"> </w:t>
      </w:r>
      <w:r w:rsidRPr="00443ED3">
        <w:rPr>
          <w:rFonts w:ascii="Calibri" w:hAnsi="Calibri" w:cs="Calibri"/>
          <w:sz w:val="22"/>
          <w:szCs w:val="22"/>
        </w:rPr>
        <w:t xml:space="preserve">(c) </w:t>
      </w:r>
      <w:r w:rsidR="004F266B" w:rsidRPr="00443ED3">
        <w:rPr>
          <w:rFonts w:ascii="Calibri" w:hAnsi="Calibri" w:cs="Calibri"/>
          <w:sz w:val="22"/>
          <w:szCs w:val="22"/>
        </w:rPr>
        <w:t xml:space="preserve">vydané a přijaté daňové doklady a </w:t>
      </w:r>
      <w:r w:rsidRPr="00443ED3">
        <w:rPr>
          <w:rFonts w:ascii="Calibri" w:hAnsi="Calibri" w:cs="Calibri"/>
          <w:sz w:val="22"/>
          <w:szCs w:val="22"/>
        </w:rPr>
        <w:t>informace o veškerých finančních transakcích mezi smluvními stranami.</w:t>
      </w:r>
    </w:p>
    <w:p w:rsidR="005452B7" w:rsidRPr="00443ED3" w:rsidRDefault="00444042" w:rsidP="009D2C55">
      <w:pPr>
        <w:tabs>
          <w:tab w:val="left" w:pos="357"/>
          <w:tab w:val="num" w:pos="426"/>
        </w:tabs>
        <w:spacing w:after="120"/>
        <w:ind w:left="426" w:hanging="426"/>
        <w:jc w:val="both"/>
        <w:rPr>
          <w:rFonts w:ascii="Calibri" w:hAnsi="Calibri" w:cs="Calibri"/>
          <w:sz w:val="22"/>
          <w:szCs w:val="22"/>
        </w:rPr>
      </w:pPr>
      <w:r w:rsidRPr="00443ED3">
        <w:rPr>
          <w:rFonts w:ascii="Calibri" w:hAnsi="Calibri" w:cs="Calibri"/>
          <w:sz w:val="22"/>
          <w:szCs w:val="22"/>
        </w:rPr>
        <w:lastRenderedPageBreak/>
        <w:tab/>
        <w:t xml:space="preserve"> </w:t>
      </w:r>
      <w:r w:rsidR="00092329" w:rsidRPr="00443ED3">
        <w:rPr>
          <w:rFonts w:ascii="Calibri" w:hAnsi="Calibri" w:cs="Calibri"/>
          <w:sz w:val="22"/>
          <w:szCs w:val="22"/>
        </w:rPr>
        <w:t xml:space="preserve">V případě porušení povinnosti mlčenlivosti </w:t>
      </w:r>
      <w:r w:rsidRPr="00443ED3">
        <w:rPr>
          <w:rFonts w:ascii="Calibri" w:hAnsi="Calibri" w:cs="Calibri"/>
          <w:sz w:val="22"/>
          <w:szCs w:val="22"/>
        </w:rPr>
        <w:t>kterékoliv smluvní strany, má druhá smluvní strana n</w:t>
      </w:r>
      <w:r w:rsidR="00092329" w:rsidRPr="00443ED3">
        <w:rPr>
          <w:rFonts w:ascii="Calibri" w:hAnsi="Calibri" w:cs="Calibri"/>
          <w:sz w:val="22"/>
          <w:szCs w:val="22"/>
        </w:rPr>
        <w:t>árok na zaplacení smluvní pokuty ve výši 1</w:t>
      </w:r>
      <w:r w:rsidR="004F266B" w:rsidRPr="00443ED3">
        <w:rPr>
          <w:rFonts w:ascii="Calibri" w:hAnsi="Calibri" w:cs="Calibri"/>
          <w:sz w:val="22"/>
          <w:szCs w:val="22"/>
        </w:rPr>
        <w:t>5</w:t>
      </w:r>
      <w:r w:rsidR="00092329" w:rsidRPr="00443ED3">
        <w:rPr>
          <w:rFonts w:ascii="Calibri" w:hAnsi="Calibri" w:cs="Calibri"/>
          <w:sz w:val="22"/>
          <w:szCs w:val="22"/>
        </w:rPr>
        <w:t xml:space="preserve">.000,- Kč (slovy: </w:t>
      </w:r>
      <w:proofErr w:type="spellStart"/>
      <w:r w:rsidR="004F266B" w:rsidRPr="00443ED3">
        <w:rPr>
          <w:rFonts w:ascii="Calibri" w:hAnsi="Calibri" w:cs="Calibri"/>
          <w:sz w:val="22"/>
          <w:szCs w:val="22"/>
        </w:rPr>
        <w:t>patnáct</w:t>
      </w:r>
      <w:r w:rsidR="00092329" w:rsidRPr="00443ED3">
        <w:rPr>
          <w:rFonts w:ascii="Calibri" w:hAnsi="Calibri" w:cs="Calibri"/>
          <w:sz w:val="22"/>
          <w:szCs w:val="22"/>
        </w:rPr>
        <w:t>tisíc</w:t>
      </w:r>
      <w:proofErr w:type="spellEnd"/>
      <w:r w:rsidR="00092329" w:rsidRPr="00443ED3">
        <w:rPr>
          <w:rFonts w:ascii="Calibri" w:hAnsi="Calibri" w:cs="Calibri"/>
          <w:sz w:val="22"/>
          <w:szCs w:val="22"/>
        </w:rPr>
        <w:t xml:space="preserve"> korun českých) za každé i jednotlivé porušení uvedené povinnosti. Smluvní pokuta je splatná </w:t>
      </w:r>
      <w:r w:rsidR="008208D1" w:rsidRPr="00443ED3">
        <w:rPr>
          <w:rFonts w:ascii="Calibri" w:hAnsi="Calibri" w:cs="Calibri"/>
          <w:sz w:val="22"/>
          <w:szCs w:val="22"/>
        </w:rPr>
        <w:t>do čtrnácti (14)</w:t>
      </w:r>
      <w:r w:rsidRPr="00443ED3">
        <w:rPr>
          <w:rFonts w:ascii="Calibri" w:hAnsi="Calibri" w:cs="Calibri"/>
          <w:sz w:val="22"/>
          <w:szCs w:val="22"/>
        </w:rPr>
        <w:t xml:space="preserve"> dnů od jejího vyúčtování oprávněnou smluvní stranou</w:t>
      </w:r>
      <w:r w:rsidR="00092329" w:rsidRPr="00443ED3">
        <w:rPr>
          <w:rFonts w:ascii="Calibri" w:hAnsi="Calibri" w:cs="Calibri"/>
          <w:sz w:val="22"/>
          <w:szCs w:val="22"/>
        </w:rPr>
        <w:t xml:space="preserve"> a jejím zaplacením není dotčen případný nárok na náhradu škody.</w:t>
      </w:r>
      <w:r w:rsidRPr="00443ED3">
        <w:rPr>
          <w:rFonts w:ascii="Calibri" w:hAnsi="Calibri" w:cs="Calibri"/>
          <w:sz w:val="22"/>
          <w:szCs w:val="22"/>
        </w:rPr>
        <w:t xml:space="preserve"> </w:t>
      </w:r>
    </w:p>
    <w:p w:rsidR="00092329" w:rsidRPr="00443ED3" w:rsidRDefault="005452B7" w:rsidP="00092329">
      <w:pPr>
        <w:tabs>
          <w:tab w:val="left" w:pos="357"/>
          <w:tab w:val="num" w:pos="426"/>
        </w:tabs>
        <w:spacing w:after="120"/>
        <w:ind w:left="426" w:hanging="426"/>
        <w:jc w:val="both"/>
        <w:rPr>
          <w:rFonts w:ascii="Calibri" w:hAnsi="Calibri" w:cs="Calibri"/>
          <w:sz w:val="22"/>
          <w:szCs w:val="22"/>
        </w:rPr>
      </w:pPr>
      <w:r w:rsidRPr="00443ED3">
        <w:rPr>
          <w:rFonts w:ascii="Calibri" w:hAnsi="Calibri" w:cs="Calibri"/>
          <w:sz w:val="22"/>
          <w:szCs w:val="22"/>
        </w:rPr>
        <w:tab/>
        <w:t xml:space="preserve"> </w:t>
      </w:r>
      <w:r w:rsidR="00444042" w:rsidRPr="00443ED3">
        <w:rPr>
          <w:rFonts w:ascii="Calibri" w:hAnsi="Calibri" w:cs="Calibri"/>
          <w:sz w:val="22"/>
          <w:szCs w:val="22"/>
        </w:rPr>
        <w:t>Po</w:t>
      </w:r>
      <w:r w:rsidRPr="00443ED3">
        <w:rPr>
          <w:rFonts w:ascii="Calibri" w:hAnsi="Calibri" w:cs="Calibri"/>
          <w:sz w:val="22"/>
          <w:szCs w:val="22"/>
        </w:rPr>
        <w:t xml:space="preserve">řadatel akce </w:t>
      </w:r>
      <w:r w:rsidR="00444042" w:rsidRPr="00443ED3">
        <w:rPr>
          <w:rFonts w:ascii="Calibri" w:hAnsi="Calibri" w:cs="Calibri"/>
          <w:sz w:val="22"/>
          <w:szCs w:val="22"/>
        </w:rPr>
        <w:t xml:space="preserve">bere na vědomí, že </w:t>
      </w:r>
      <w:r w:rsidRPr="00443ED3">
        <w:rPr>
          <w:rFonts w:ascii="Calibri" w:hAnsi="Calibri" w:cs="Calibri"/>
          <w:sz w:val="22"/>
          <w:szCs w:val="22"/>
        </w:rPr>
        <w:t xml:space="preserve">nájemce </w:t>
      </w:r>
      <w:r w:rsidR="00444042" w:rsidRPr="00443ED3">
        <w:rPr>
          <w:rFonts w:ascii="Calibri" w:hAnsi="Calibri" w:cs="Calibri"/>
          <w:sz w:val="22"/>
          <w:szCs w:val="22"/>
        </w:rPr>
        <w:t>je povinen na žádost příslušného finančního orgánu (podle článků 57 a 58 zákona č. 280/2009 Sb., daňový řád)</w:t>
      </w:r>
      <w:r w:rsidRPr="00443ED3">
        <w:rPr>
          <w:rFonts w:ascii="Calibri" w:hAnsi="Calibri" w:cs="Calibri"/>
          <w:sz w:val="22"/>
          <w:szCs w:val="22"/>
        </w:rPr>
        <w:t>, nebo Policie ČR</w:t>
      </w:r>
      <w:r w:rsidR="00444042" w:rsidRPr="00443ED3">
        <w:rPr>
          <w:rFonts w:ascii="Calibri" w:hAnsi="Calibri" w:cs="Calibri"/>
          <w:sz w:val="22"/>
          <w:szCs w:val="22"/>
        </w:rPr>
        <w:t xml:space="preserve"> poskytnout </w:t>
      </w:r>
      <w:r w:rsidRPr="00443ED3">
        <w:rPr>
          <w:rFonts w:ascii="Calibri" w:hAnsi="Calibri" w:cs="Calibri"/>
          <w:sz w:val="22"/>
          <w:szCs w:val="22"/>
        </w:rPr>
        <w:t>vyžádané</w:t>
      </w:r>
      <w:r w:rsidR="00444042" w:rsidRPr="00443ED3">
        <w:rPr>
          <w:rFonts w:ascii="Calibri" w:hAnsi="Calibri" w:cs="Calibri"/>
          <w:sz w:val="22"/>
          <w:szCs w:val="22"/>
        </w:rPr>
        <w:t xml:space="preserve"> informace </w:t>
      </w:r>
      <w:r w:rsidRPr="00443ED3">
        <w:rPr>
          <w:rFonts w:ascii="Calibri" w:hAnsi="Calibri" w:cs="Calibri"/>
          <w:sz w:val="22"/>
          <w:szCs w:val="22"/>
        </w:rPr>
        <w:t xml:space="preserve">(tedy i ty, které smluvní strany považují za obchodní tajemství) </w:t>
      </w:r>
      <w:r w:rsidR="00444042" w:rsidRPr="00443ED3">
        <w:rPr>
          <w:rFonts w:ascii="Calibri" w:hAnsi="Calibri" w:cs="Calibri"/>
          <w:sz w:val="22"/>
          <w:szCs w:val="22"/>
        </w:rPr>
        <w:t xml:space="preserve">o </w:t>
      </w:r>
      <w:r w:rsidRPr="00443ED3">
        <w:rPr>
          <w:rFonts w:ascii="Calibri" w:hAnsi="Calibri" w:cs="Calibri"/>
          <w:sz w:val="22"/>
          <w:szCs w:val="22"/>
        </w:rPr>
        <w:t xml:space="preserve">pořadateli akce </w:t>
      </w:r>
      <w:r w:rsidR="00444042" w:rsidRPr="00443ED3">
        <w:rPr>
          <w:rFonts w:ascii="Calibri" w:hAnsi="Calibri" w:cs="Calibri"/>
          <w:sz w:val="22"/>
          <w:szCs w:val="22"/>
        </w:rPr>
        <w:t xml:space="preserve">nebo </w:t>
      </w:r>
      <w:r w:rsidRPr="00443ED3">
        <w:rPr>
          <w:rFonts w:ascii="Calibri" w:hAnsi="Calibri" w:cs="Calibri"/>
          <w:sz w:val="22"/>
          <w:szCs w:val="22"/>
        </w:rPr>
        <w:t>o a</w:t>
      </w:r>
      <w:r w:rsidR="00444042" w:rsidRPr="00443ED3">
        <w:rPr>
          <w:rFonts w:ascii="Calibri" w:hAnsi="Calibri" w:cs="Calibri"/>
          <w:sz w:val="22"/>
          <w:szCs w:val="22"/>
        </w:rPr>
        <w:t>kci.</w:t>
      </w:r>
      <w:r w:rsidR="00286EF5" w:rsidRPr="00443ED3">
        <w:rPr>
          <w:rFonts w:ascii="Calibri" w:hAnsi="Calibri" w:cs="Calibri"/>
          <w:sz w:val="22"/>
          <w:szCs w:val="22"/>
        </w:rPr>
        <w:t xml:space="preserve"> Smluvní strany se dohodly, že v případě dotazu oprávněného státního orgánu není nájemce vázán mlčenlivostí.</w:t>
      </w:r>
    </w:p>
    <w:p w:rsidR="00092329" w:rsidRPr="00443ED3" w:rsidRDefault="00092329" w:rsidP="007C3F80">
      <w:pPr>
        <w:tabs>
          <w:tab w:val="left" w:pos="357"/>
          <w:tab w:val="num" w:pos="426"/>
        </w:tabs>
        <w:spacing w:after="240"/>
        <w:ind w:left="426" w:hanging="426"/>
        <w:jc w:val="both"/>
        <w:rPr>
          <w:rFonts w:ascii="Calibri" w:hAnsi="Calibri" w:cs="Calibri"/>
          <w:sz w:val="22"/>
          <w:szCs w:val="22"/>
        </w:rPr>
      </w:pPr>
      <w:r w:rsidRPr="00443ED3">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43ED3">
        <w:rPr>
          <w:rFonts w:ascii="Calibri" w:hAnsi="Calibri" w:cs="Calibri"/>
          <w:sz w:val="22"/>
          <w:szCs w:val="22"/>
        </w:rPr>
        <w:br/>
        <w:t>a pořadatel akce s výše uvedeným souhlasí.</w:t>
      </w:r>
    </w:p>
    <w:p w:rsidR="00451D74" w:rsidRPr="00443ED3" w:rsidRDefault="00451D74" w:rsidP="00451D74">
      <w:pPr>
        <w:jc w:val="center"/>
        <w:rPr>
          <w:rFonts w:ascii="Calibri" w:hAnsi="Calibri" w:cs="Calibri"/>
          <w:b/>
          <w:bCs/>
          <w:sz w:val="22"/>
        </w:rPr>
      </w:pPr>
      <w:r w:rsidRPr="00443ED3">
        <w:rPr>
          <w:rFonts w:ascii="Calibri" w:hAnsi="Calibri" w:cs="Calibri"/>
          <w:b/>
          <w:bCs/>
          <w:sz w:val="22"/>
        </w:rPr>
        <w:t>XVII.</w:t>
      </w:r>
    </w:p>
    <w:p w:rsidR="00451D74" w:rsidRPr="00443ED3" w:rsidRDefault="00451D74" w:rsidP="00451D74">
      <w:pPr>
        <w:spacing w:after="120"/>
        <w:jc w:val="center"/>
        <w:rPr>
          <w:rFonts w:ascii="Calibri" w:hAnsi="Calibri" w:cs="Calibri"/>
          <w:b/>
          <w:bCs/>
          <w:sz w:val="22"/>
          <w:u w:val="single"/>
        </w:rPr>
      </w:pPr>
      <w:r w:rsidRPr="00443ED3">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43ED3">
        <w:rPr>
          <w:rFonts w:ascii="Calibri" w:hAnsi="Calibri" w:cs="Calibri"/>
          <w:szCs w:val="22"/>
        </w:rPr>
        <w:t>Tato Smlouva se uzavírá na dobu určitou a trvá až do vyúčtování akce podle ustanovení čl. XIII této smlouvy. Smlouva nabývá platnosti dnem jejího podpisu oběma smluvními stranami a účinnosti v okamžiku jejího</w:t>
      </w:r>
      <w:r w:rsidRPr="00415479">
        <w:rPr>
          <w:rFonts w:ascii="Calibri" w:hAnsi="Calibri" w:cs="Calibri"/>
          <w:szCs w:val="22"/>
        </w:rPr>
        <w:t xml:space="preserve">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CE2956" w:rsidRPr="00415479" w:rsidRDefault="00451D74" w:rsidP="007B753C">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bookmarkStart w:id="0" w:name="_GoBack"/>
      <w:bookmarkEnd w:id="0"/>
    </w:p>
    <w:sectPr w:rsidR="00CE2956" w:rsidRPr="00415479" w:rsidSect="007B753C">
      <w:footerReference w:type="default" r:id="rId10"/>
      <w:pgSz w:w="11906" w:h="16838"/>
      <w:pgMar w:top="79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8AB" w:rsidRDefault="00A818AB" w:rsidP="00241ED9">
      <w:r>
        <w:separator/>
      </w:r>
    </w:p>
  </w:endnote>
  <w:endnote w:type="continuationSeparator" w:id="0">
    <w:p w:rsidR="00A818AB" w:rsidRDefault="00A818AB"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B753C">
      <w:rPr>
        <w:rFonts w:ascii="Calibri Light" w:hAnsi="Calibri Light" w:cs="Calibri Light"/>
        <w:noProof/>
        <w:sz w:val="20"/>
        <w:szCs w:val="20"/>
      </w:rPr>
      <w:t>1</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8AB" w:rsidRDefault="00A818AB" w:rsidP="00241ED9">
      <w:r>
        <w:separator/>
      </w:r>
    </w:p>
  </w:footnote>
  <w:footnote w:type="continuationSeparator" w:id="0">
    <w:p w:rsidR="00A818AB" w:rsidRDefault="00A818AB"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61C9B"/>
    <w:rsid w:val="00362054"/>
    <w:rsid w:val="00364CAC"/>
    <w:rsid w:val="003664C3"/>
    <w:rsid w:val="003721E3"/>
    <w:rsid w:val="00373921"/>
    <w:rsid w:val="0037420A"/>
    <w:rsid w:val="0037636E"/>
    <w:rsid w:val="00380AF9"/>
    <w:rsid w:val="0038386D"/>
    <w:rsid w:val="00393884"/>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3ED3"/>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753C"/>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18AB"/>
    <w:rsid w:val="00A85FA7"/>
    <w:rsid w:val="00A93E06"/>
    <w:rsid w:val="00A9678D"/>
    <w:rsid w:val="00AA0553"/>
    <w:rsid w:val="00AA4CC8"/>
    <w:rsid w:val="00AB57A9"/>
    <w:rsid w:val="00AB5B12"/>
    <w:rsid w:val="00AC096D"/>
    <w:rsid w:val="00AC1A94"/>
    <w:rsid w:val="00AE2258"/>
    <w:rsid w:val="00AE4956"/>
    <w:rsid w:val="00AF0238"/>
    <w:rsid w:val="00AF09EC"/>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3BBD"/>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83A30"/>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EF70AE-12C4-4B16-BA12-3DAAB808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A96C-A7B4-45C0-9A23-35A1FC32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5048</Words>
  <Characters>29784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34763</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2025-11-13T12:02:00Z</dcterms:created>
  <dcterms:modified xsi:type="dcterms:W3CDTF">2025-11-13T12:12:00Z</dcterms:modified>
</cp:coreProperties>
</file>