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uzavřená ve smyslu ust.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Pr="00A512C2"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A512C2">
        <w:rPr>
          <w:rFonts w:ascii="Arial" w:hAnsi="Arial" w:cs="Arial"/>
          <w:b/>
          <w:bCs/>
          <w:sz w:val="22"/>
          <w:szCs w:val="22"/>
        </w:rPr>
        <w:t xml:space="preserve">Městská zeleň </w:t>
      </w:r>
      <w:r w:rsidR="00913A8F" w:rsidRPr="00913A8F">
        <w:rPr>
          <w:rFonts w:ascii="Arial" w:hAnsi="Arial" w:cs="Arial"/>
          <w:b/>
          <w:bCs/>
          <w:sz w:val="22"/>
          <w:szCs w:val="22"/>
        </w:rPr>
        <w:t>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pří</w:t>
      </w:r>
      <w:r w:rsidR="00BC2B08">
        <w:rPr>
          <w:rFonts w:ascii="Arial" w:hAnsi="Arial" w:cs="Arial"/>
          <w:sz w:val="22"/>
          <w:szCs w:val="22"/>
        </w:rPr>
        <w:t>spěvková organizace</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Radoslavem Habrdlem,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Krajským soudem v Brně, oddíl Pr,</w:t>
      </w:r>
      <w:r w:rsidR="00FF777E">
        <w:rPr>
          <w:rFonts w:ascii="Arial" w:hAnsi="Arial"/>
          <w:szCs w:val="22"/>
        </w:rPr>
        <w:t>,</w:t>
      </w:r>
      <w:r>
        <w:rPr>
          <w:rFonts w:ascii="Arial" w:hAnsi="Arial"/>
          <w:szCs w:val="22"/>
        </w:rPr>
        <w:t xml:space="preserve"> vložka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8220A4" w:rsidRP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DA49EE" w:rsidRPr="00DA49EE">
        <w:rPr>
          <w:rFonts w:ascii="Arial" w:hAnsi="Arial" w:cs="Arial"/>
          <w:b/>
          <w:bCs/>
          <w:sz w:val="22"/>
          <w:szCs w:val="22"/>
        </w:rPr>
        <w:t>GRAMOFLOR GMBH CO.KG</w:t>
      </w:r>
    </w:p>
    <w:p w:rsidR="008220A4" w:rsidRPr="00913A8F" w:rsidRDefault="008220A4" w:rsidP="00FF777E">
      <w:pPr>
        <w:pStyle w:val="cotext"/>
        <w:spacing w:before="60" w:after="6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DA49EE">
        <w:rPr>
          <w:rFonts w:ascii="Arial" w:hAnsi="Arial"/>
          <w:szCs w:val="22"/>
        </w:rPr>
        <w:t>Diepholzer str. 173, 493 77 Vechta (SRN)</w:t>
      </w:r>
    </w:p>
    <w:p w:rsidR="008220A4" w:rsidRPr="00913A8F" w:rsidRDefault="008220A4" w:rsidP="00FF777E">
      <w:pPr>
        <w:pStyle w:val="cotext"/>
        <w:spacing w:before="60" w:after="60"/>
        <w:ind w:left="426"/>
        <w:rPr>
          <w:rFonts w:ascii="Arial" w:hAnsi="Arial"/>
          <w:szCs w:val="22"/>
        </w:rPr>
      </w:pPr>
      <w:r w:rsidRPr="00913A8F">
        <w:rPr>
          <w:rFonts w:ascii="Arial" w:hAnsi="Arial"/>
          <w:szCs w:val="22"/>
        </w:rPr>
        <w:t xml:space="preserve">IČO: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DA49EE">
        <w:rPr>
          <w:rFonts w:ascii="Arial" w:hAnsi="Arial"/>
          <w:szCs w:val="22"/>
        </w:rPr>
        <w:t>6820310394</w:t>
      </w:r>
    </w:p>
    <w:p w:rsidR="008220A4" w:rsidRDefault="00831645" w:rsidP="00831645">
      <w:pPr>
        <w:pStyle w:val="cotext"/>
        <w:spacing w:before="60" w:after="60"/>
        <w:ind w:left="4253" w:hanging="4253"/>
        <w:rPr>
          <w:rStyle w:val="platne"/>
          <w:rFonts w:ascii="Arial" w:hAnsi="Arial"/>
          <w:szCs w:val="22"/>
        </w:rPr>
      </w:pPr>
      <w:r>
        <w:rPr>
          <w:rFonts w:ascii="Arial" w:hAnsi="Arial"/>
          <w:szCs w:val="22"/>
        </w:rPr>
        <w:t xml:space="preserve">       </w:t>
      </w:r>
      <w:r w:rsidR="008220A4" w:rsidRPr="00FF777E">
        <w:rPr>
          <w:rFonts w:ascii="Arial" w:hAnsi="Arial"/>
          <w:szCs w:val="22"/>
        </w:rPr>
        <w:t>zastoupena</w:t>
      </w:r>
      <w:r w:rsidR="008220A4" w:rsidRPr="00913A8F">
        <w:rPr>
          <w:rFonts w:ascii="Arial" w:hAnsi="Arial"/>
          <w:szCs w:val="22"/>
        </w:rPr>
        <w:t xml:space="preserve">: </w:t>
      </w:r>
      <w:r>
        <w:rPr>
          <w:rFonts w:ascii="Arial" w:hAnsi="Arial"/>
          <w:szCs w:val="22"/>
        </w:rPr>
        <w:t xml:space="preserve">  </w:t>
      </w:r>
      <w:r>
        <w:rPr>
          <w:rFonts w:ascii="Arial" w:hAnsi="Arial"/>
          <w:szCs w:val="22"/>
        </w:rPr>
        <w:tab/>
      </w:r>
      <w:r>
        <w:rPr>
          <w:rStyle w:val="platne"/>
          <w:rFonts w:ascii="Arial" w:hAnsi="Arial"/>
          <w:szCs w:val="22"/>
        </w:rPr>
        <w:t>Ing.</w:t>
      </w:r>
      <w:r w:rsidR="00FF777E">
        <w:rPr>
          <w:rStyle w:val="platne"/>
          <w:rFonts w:ascii="Arial" w:hAnsi="Arial"/>
          <w:szCs w:val="22"/>
        </w:rPr>
        <w:t xml:space="preserve">Zbyňkem Slezáčkem, MSc., obchodním                            </w:t>
      </w:r>
      <w:r w:rsidR="003E1069">
        <w:rPr>
          <w:rStyle w:val="platne"/>
          <w:rFonts w:ascii="Arial" w:hAnsi="Arial"/>
          <w:szCs w:val="22"/>
        </w:rPr>
        <w:t xml:space="preserve">  </w:t>
      </w:r>
      <w:r w:rsidR="00AD114D">
        <w:rPr>
          <w:rStyle w:val="platne"/>
          <w:rFonts w:ascii="Arial" w:hAnsi="Arial"/>
          <w:szCs w:val="22"/>
        </w:rPr>
        <w:t xml:space="preserve">     </w:t>
      </w:r>
      <w:r>
        <w:rPr>
          <w:rStyle w:val="platne"/>
          <w:rFonts w:ascii="Arial" w:hAnsi="Arial"/>
          <w:szCs w:val="22"/>
        </w:rPr>
        <w:t xml:space="preserve">        </w:t>
      </w:r>
      <w:r w:rsidR="00FF777E">
        <w:rPr>
          <w:rStyle w:val="platne"/>
          <w:rFonts w:ascii="Arial" w:hAnsi="Arial"/>
          <w:szCs w:val="22"/>
        </w:rPr>
        <w:t>zástupcem</w:t>
      </w:r>
    </w:p>
    <w:p w:rsidR="00FF777E" w:rsidRPr="00913A8F" w:rsidRDefault="00FF777E" w:rsidP="00FF777E">
      <w:pPr>
        <w:pStyle w:val="cotext"/>
        <w:spacing w:before="60" w:after="60"/>
        <w:ind w:left="3540" w:hanging="3114"/>
        <w:rPr>
          <w:rFonts w:ascii="Arial" w:hAnsi="Arial"/>
          <w:szCs w:val="22"/>
        </w:rPr>
      </w:pP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t>KB Prostějov</w:t>
      </w:r>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t>86-7273890207/0100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724 340 615</w:t>
      </w:r>
    </w:p>
    <w:p w:rsidR="00FF777E" w:rsidRDefault="00FF777E" w:rsidP="00FF777E">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hyperlink r:id="rId7" w:history="1">
        <w:r w:rsidRPr="00AC0598">
          <w:rPr>
            <w:rStyle w:val="Hypertextovodkaz"/>
            <w:rFonts w:ascii="Arial" w:hAnsi="Arial"/>
            <w:szCs w:val="22"/>
          </w:rPr>
          <w:t>zbynek.slezacek@substraty.info</w:t>
        </w:r>
      </w:hyperlink>
    </w:p>
    <w:p w:rsidR="00FF777E" w:rsidRPr="00913A8F" w:rsidRDefault="00FF777E" w:rsidP="00FF777E">
      <w:pPr>
        <w:pStyle w:val="cotext"/>
        <w:spacing w:before="60" w:after="60"/>
        <w:ind w:left="426"/>
        <w:rPr>
          <w:rFonts w:ascii="Arial" w:hAnsi="Arial"/>
          <w:szCs w:val="22"/>
        </w:rPr>
      </w:pPr>
    </w:p>
    <w:p w:rsidR="00E5288B"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E5288B" w:rsidRPr="00913A8F">
        <w:rPr>
          <w:rFonts w:ascii="Arial" w:hAnsi="Arial" w:cs="Arial"/>
        </w:rPr>
        <w:t>dále jen „</w:t>
      </w:r>
      <w:r w:rsidR="00DA49EE">
        <w:rPr>
          <w:rFonts w:ascii="Arial" w:hAnsi="Arial" w:cs="Arial"/>
          <w:b/>
        </w:rPr>
        <w:t>prodávající</w:t>
      </w:r>
      <w:r w:rsidR="00E5288B" w:rsidRPr="00913A8F">
        <w:rPr>
          <w:rFonts w:ascii="Arial" w:hAnsi="Arial" w:cs="Arial"/>
        </w:rPr>
        <w:t>“</w:t>
      </w:r>
      <w:r w:rsidRPr="00913A8F">
        <w:rPr>
          <w:rFonts w:ascii="Arial" w:hAnsi="Arial" w:cs="Arial"/>
        </w:rPr>
        <w:t xml:space="preserve">) </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 </w:t>
      </w:r>
      <w:r w:rsidR="00C5254E" w:rsidRPr="00C5254E">
        <w:rPr>
          <w:rFonts w:ascii="Arial" w:hAnsi="Arial" w:cs="Arial"/>
          <w:b/>
          <w:bCs/>
          <w:i/>
          <w:iCs/>
          <w:sz w:val="22"/>
          <w:szCs w:val="22"/>
        </w:rPr>
        <w:t>pěstebních substrátů a rašeliny</w:t>
      </w:r>
      <w:r w:rsidR="00C5254E" w:rsidRPr="00C5254E">
        <w:rPr>
          <w:rFonts w:ascii="Arial" w:hAnsi="Arial" w:cs="Arial"/>
          <w:sz w:val="22"/>
          <w:szCs w:val="22"/>
        </w:rPr>
        <w:t>,</w:t>
      </w:r>
      <w:r w:rsidR="00C5254E" w:rsidRPr="00C5254E">
        <w:rPr>
          <w:rFonts w:ascii="Arial" w:hAnsi="Arial" w:cs="Arial"/>
          <w:i/>
          <w:iCs/>
          <w:sz w:val="22"/>
          <w:szCs w:val="22"/>
        </w:rPr>
        <w:t xml:space="preserve"> </w:t>
      </w:r>
      <w:r w:rsidR="00C5254E" w:rsidRPr="00C5254E">
        <w:rPr>
          <w:rFonts w:ascii="Arial" w:hAnsi="Arial" w:cs="Arial"/>
          <w:sz w:val="22"/>
          <w:szCs w:val="22"/>
        </w:rPr>
        <w:t>jejichž podrobná specifikace a množství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Kupující i prodávající souhlasně prohlašují, že je předmět koupě v příloze této smlouvy dostatečně a srozumitelně určen, zejména co do množství, druhu a kvality.</w:t>
      </w:r>
    </w:p>
    <w:p w:rsidR="000A6E72" w:rsidRPr="00913A8F" w:rsidRDefault="000A6E72"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r w:rsidR="006D381B">
        <w:rPr>
          <w:rFonts w:ascii="Arial" w:hAnsi="Arial" w:cs="Arial"/>
          <w:sz w:val="22"/>
          <w:szCs w:val="22"/>
        </w:rPr>
        <w:t xml:space="preserve">celkem </w:t>
      </w:r>
      <w:r w:rsidR="004C2612">
        <w:rPr>
          <w:rFonts w:ascii="Arial" w:hAnsi="Arial" w:cs="Arial"/>
          <w:b/>
          <w:bCs/>
          <w:sz w:val="22"/>
          <w:szCs w:val="22"/>
        </w:rPr>
        <w:t>2</w:t>
      </w:r>
      <w:r w:rsidR="00F8270C">
        <w:rPr>
          <w:rFonts w:ascii="Arial" w:hAnsi="Arial" w:cs="Arial"/>
          <w:b/>
          <w:bCs/>
          <w:sz w:val="22"/>
          <w:szCs w:val="22"/>
        </w:rPr>
        <w:t xml:space="preserve">93 </w:t>
      </w:r>
      <w:r w:rsidR="004C2612">
        <w:rPr>
          <w:rFonts w:ascii="Arial" w:hAnsi="Arial" w:cs="Arial"/>
          <w:b/>
          <w:bCs/>
          <w:sz w:val="22"/>
          <w:szCs w:val="22"/>
        </w:rPr>
        <w:t>8</w:t>
      </w:r>
      <w:r w:rsidR="00F8270C">
        <w:rPr>
          <w:rFonts w:ascii="Arial" w:hAnsi="Arial" w:cs="Arial"/>
          <w:b/>
          <w:bCs/>
          <w:sz w:val="22"/>
          <w:szCs w:val="22"/>
        </w:rPr>
        <w:t>08</w:t>
      </w:r>
      <w:r w:rsidR="004C2612">
        <w:rPr>
          <w:rFonts w:ascii="Arial" w:hAnsi="Arial" w:cs="Arial"/>
          <w:b/>
          <w:bCs/>
          <w:sz w:val="22"/>
          <w:szCs w:val="22"/>
        </w:rPr>
        <w:t>,-</w:t>
      </w:r>
      <w:r w:rsidR="005F7D99" w:rsidRPr="00C5254E">
        <w:rPr>
          <w:rFonts w:ascii="Arial" w:hAnsi="Arial" w:cs="Arial"/>
          <w:b/>
          <w:bCs/>
          <w:sz w:val="22"/>
          <w:szCs w:val="22"/>
        </w:rPr>
        <w:t xml:space="preserve"> 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 xml:space="preserve">(slovy: </w:t>
      </w:r>
      <w:r w:rsidR="00F8270C">
        <w:rPr>
          <w:rFonts w:ascii="Arial" w:hAnsi="Arial" w:cs="Arial"/>
          <w:sz w:val="22"/>
          <w:szCs w:val="22"/>
        </w:rPr>
        <w:t>dvěstědevadesáttři</w:t>
      </w:r>
      <w:r w:rsidR="00FB37F2">
        <w:rPr>
          <w:rFonts w:ascii="Arial" w:hAnsi="Arial" w:cs="Arial"/>
          <w:sz w:val="22"/>
          <w:szCs w:val="22"/>
        </w:rPr>
        <w:t xml:space="preserve"> </w:t>
      </w:r>
      <w:r w:rsidR="00C5254E">
        <w:rPr>
          <w:rFonts w:ascii="Arial" w:hAnsi="Arial" w:cs="Arial"/>
          <w:sz w:val="22"/>
          <w:szCs w:val="22"/>
        </w:rPr>
        <w:t xml:space="preserve">tisíc </w:t>
      </w:r>
      <w:r w:rsidR="00F8270C">
        <w:rPr>
          <w:rFonts w:ascii="Arial" w:hAnsi="Arial" w:cs="Arial"/>
          <w:sz w:val="22"/>
          <w:szCs w:val="22"/>
        </w:rPr>
        <w:t>osum</w:t>
      </w:r>
      <w:r w:rsidR="004C2612">
        <w:rPr>
          <w:rFonts w:ascii="Arial" w:hAnsi="Arial" w:cs="Arial"/>
          <w:sz w:val="22"/>
          <w:szCs w:val="22"/>
        </w:rPr>
        <w:t>setosum</w:t>
      </w:r>
      <w:r w:rsidR="00831645">
        <w:rPr>
          <w:rFonts w:ascii="Arial" w:hAnsi="Arial" w:cs="Arial"/>
          <w:sz w:val="22"/>
          <w:szCs w:val="22"/>
        </w:rPr>
        <w:t xml:space="preserve"> </w:t>
      </w:r>
      <w:r w:rsidR="005F7D99" w:rsidRPr="00913A8F">
        <w:rPr>
          <w:rFonts w:ascii="Arial" w:hAnsi="Arial" w:cs="Arial"/>
          <w:sz w:val="22"/>
          <w:szCs w:val="22"/>
        </w:rPr>
        <w:t>korun českých).</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 xml:space="preserve">nejpozději do </w:t>
      </w:r>
      <w:r w:rsidR="004C4CC0">
        <w:rPr>
          <w:rFonts w:ascii="Arial" w:hAnsi="Arial" w:cs="Arial"/>
          <w:sz w:val="22"/>
          <w:szCs w:val="22"/>
        </w:rPr>
        <w:t>15</w:t>
      </w:r>
      <w:r w:rsidR="00C5254E">
        <w:rPr>
          <w:rFonts w:ascii="Arial" w:hAnsi="Arial" w:cs="Arial"/>
          <w:sz w:val="22"/>
          <w:szCs w:val="22"/>
        </w:rPr>
        <w:t>.</w:t>
      </w:r>
      <w:r w:rsidR="00F8270C">
        <w:rPr>
          <w:rFonts w:ascii="Arial" w:hAnsi="Arial" w:cs="Arial"/>
          <w:sz w:val="22"/>
          <w:szCs w:val="22"/>
        </w:rPr>
        <w:t>1</w:t>
      </w:r>
      <w:r w:rsidR="004C4CC0">
        <w:rPr>
          <w:rFonts w:ascii="Arial" w:hAnsi="Arial" w:cs="Arial"/>
          <w:sz w:val="22"/>
          <w:szCs w:val="22"/>
        </w:rPr>
        <w:t>2</w:t>
      </w:r>
      <w:r w:rsidR="00C5254E">
        <w:rPr>
          <w:rFonts w:ascii="Arial" w:hAnsi="Arial" w:cs="Arial"/>
          <w:sz w:val="22"/>
          <w:szCs w:val="22"/>
        </w:rPr>
        <w:t>.20</w:t>
      </w:r>
      <w:r w:rsidR="00FB37F2">
        <w:rPr>
          <w:rFonts w:ascii="Arial" w:hAnsi="Arial" w:cs="Arial"/>
          <w:sz w:val="22"/>
          <w:szCs w:val="22"/>
        </w:rPr>
        <w:t>2</w:t>
      </w:r>
      <w:r w:rsidR="004C2612">
        <w:rPr>
          <w:rFonts w:ascii="Arial" w:hAnsi="Arial" w:cs="Arial"/>
          <w:sz w:val="22"/>
          <w:szCs w:val="22"/>
        </w:rPr>
        <w:t>5</w:t>
      </w:r>
      <w:r w:rsidRPr="00913A8F">
        <w:rPr>
          <w:rFonts w:ascii="Arial" w:hAnsi="Arial" w:cs="Arial"/>
          <w:sz w:val="22"/>
          <w:szCs w:val="22"/>
        </w:rPr>
        <w:t xml:space="preserve"> na adres</w:t>
      </w:r>
      <w:r w:rsidR="006D381B">
        <w:rPr>
          <w:rFonts w:ascii="Arial" w:hAnsi="Arial" w:cs="Arial"/>
          <w:sz w:val="22"/>
          <w:szCs w:val="22"/>
        </w:rPr>
        <w:t>u zahradnictví MZ Znojmo, Kuchařovická 29, 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ust.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právním </w:t>
      </w:r>
      <w:r w:rsidR="00AD114D">
        <w:rPr>
          <w:rFonts w:ascii="Arial" w:hAnsi="Arial" w:cs="Arial"/>
          <w:sz w:val="22"/>
          <w:szCs w:val="22"/>
        </w:rPr>
        <w:t xml:space="preserve">        </w:t>
      </w:r>
      <w:r w:rsidR="0080568A" w:rsidRPr="00913A8F">
        <w:rPr>
          <w:rFonts w:ascii="Arial" w:hAnsi="Arial" w:cs="Arial"/>
          <w:sz w:val="22"/>
          <w:szCs w:val="22"/>
        </w:rPr>
        <w:t xml:space="preserve">řádem, zejména </w:t>
      </w:r>
      <w:r w:rsidR="003E1069">
        <w:rPr>
          <w:rFonts w:ascii="Arial" w:hAnsi="Arial" w:cs="Arial"/>
          <w:sz w:val="22"/>
          <w:szCs w:val="22"/>
        </w:rPr>
        <w:t>občanským zákoníkem.</w:t>
      </w:r>
    </w:p>
    <w:p w:rsidR="005F7D99" w:rsidRPr="00913A8F" w:rsidRDefault="005F7D99"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5F7D99" w:rsidRPr="00913A8F" w:rsidRDefault="005F7D99" w:rsidP="00FF777E">
      <w:pPr>
        <w:pStyle w:val="Normlnweb"/>
        <w:shd w:val="clear" w:color="auto" w:fill="FFFFFF"/>
        <w:spacing w:before="60" w:beforeAutospacing="0" w:after="60" w:afterAutospacing="0"/>
        <w:jc w:val="both"/>
        <w:rPr>
          <w:rFonts w:ascii="Arial" w:hAnsi="Arial" w:cs="Arial"/>
          <w:sz w:val="22"/>
          <w:szCs w:val="22"/>
        </w:rPr>
      </w:pPr>
    </w:p>
    <w:p w:rsidR="00474293" w:rsidRDefault="00474293"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Default="00AD114D" w:rsidP="00FF777E">
      <w:pPr>
        <w:widowControl w:val="0"/>
        <w:spacing w:before="60" w:after="60" w:line="240" w:lineRule="auto"/>
        <w:jc w:val="both"/>
        <w:rPr>
          <w:rFonts w:ascii="Arial" w:hAnsi="Arial" w:cs="Arial"/>
        </w:rPr>
      </w:pPr>
      <w:r>
        <w:rPr>
          <w:rFonts w:ascii="Arial" w:hAnsi="Arial" w:cs="Arial"/>
        </w:rPr>
        <w:t xml:space="preserve">Ve   Smržicích  dne </w:t>
      </w:r>
      <w:r w:rsidR="00831645">
        <w:rPr>
          <w:rFonts w:ascii="Arial" w:hAnsi="Arial" w:cs="Arial"/>
        </w:rPr>
        <w:t xml:space="preserve"> </w:t>
      </w:r>
      <w:r w:rsidR="004C2612">
        <w:rPr>
          <w:rFonts w:ascii="Arial" w:hAnsi="Arial" w:cs="Arial"/>
        </w:rPr>
        <w:t>1</w:t>
      </w:r>
      <w:r w:rsidR="00F8270C">
        <w:rPr>
          <w:rFonts w:ascii="Arial" w:hAnsi="Arial" w:cs="Arial"/>
        </w:rPr>
        <w:t>8</w:t>
      </w:r>
      <w:r>
        <w:rPr>
          <w:rFonts w:ascii="Arial" w:hAnsi="Arial" w:cs="Arial"/>
        </w:rPr>
        <w:t>.1</w:t>
      </w:r>
      <w:r w:rsidR="00F8270C">
        <w:rPr>
          <w:rFonts w:ascii="Arial" w:hAnsi="Arial" w:cs="Arial"/>
        </w:rPr>
        <w:t>0</w:t>
      </w:r>
      <w:r>
        <w:rPr>
          <w:rFonts w:ascii="Arial" w:hAnsi="Arial" w:cs="Arial"/>
        </w:rPr>
        <w:t>.20</w:t>
      </w:r>
      <w:r w:rsidR="00831645">
        <w:rPr>
          <w:rFonts w:ascii="Arial" w:hAnsi="Arial" w:cs="Arial"/>
        </w:rPr>
        <w:t>2</w:t>
      </w:r>
      <w:r w:rsidR="00F8270C">
        <w:rPr>
          <w:rFonts w:ascii="Arial" w:hAnsi="Arial" w:cs="Arial"/>
        </w:rPr>
        <w:t>5</w:t>
      </w:r>
      <w:r>
        <w:rPr>
          <w:rFonts w:ascii="Arial" w:hAnsi="Arial" w:cs="Arial"/>
        </w:rPr>
        <w:t xml:space="preserve"> </w:t>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t>V</w:t>
      </w:r>
      <w:r w:rsidR="00902C19">
        <w:rPr>
          <w:rFonts w:ascii="Arial" w:hAnsi="Arial" w:cs="Arial"/>
        </w:rPr>
        <w:t>e Znojmě</w:t>
      </w:r>
      <w:r w:rsidR="00C36AF2" w:rsidRPr="00913A8F">
        <w:rPr>
          <w:rFonts w:ascii="Arial" w:hAnsi="Arial" w:cs="Arial"/>
        </w:rPr>
        <w:t xml:space="preserve"> dne</w:t>
      </w:r>
      <w:r w:rsidR="00A24C0E">
        <w:rPr>
          <w:rFonts w:ascii="Arial" w:hAnsi="Arial" w:cs="Arial"/>
        </w:rPr>
        <w:t xml:space="preserve"> </w:t>
      </w:r>
      <w:r w:rsidR="004C2612">
        <w:rPr>
          <w:rFonts w:ascii="Arial" w:hAnsi="Arial" w:cs="Arial"/>
        </w:rPr>
        <w:t>19.1</w:t>
      </w:r>
      <w:r w:rsidR="00F8270C">
        <w:rPr>
          <w:rFonts w:ascii="Arial" w:hAnsi="Arial" w:cs="Arial"/>
        </w:rPr>
        <w:t>0</w:t>
      </w:r>
      <w:r>
        <w:rPr>
          <w:rFonts w:ascii="Arial" w:hAnsi="Arial" w:cs="Arial"/>
        </w:rPr>
        <w:t>.20</w:t>
      </w:r>
      <w:r w:rsidR="00831645">
        <w:rPr>
          <w:rFonts w:ascii="Arial" w:hAnsi="Arial" w:cs="Arial"/>
        </w:rPr>
        <w:t>2</w:t>
      </w:r>
      <w:r w:rsidR="00F8270C">
        <w:rPr>
          <w:rFonts w:ascii="Arial" w:hAnsi="Arial" w:cs="Arial"/>
        </w:rPr>
        <w:t>5</w:t>
      </w:r>
      <w:bookmarkStart w:id="0" w:name="_GoBack"/>
      <w:bookmarkEnd w:id="0"/>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5571B9" w:rsidRDefault="005571B9" w:rsidP="005571B9">
      <w:pPr>
        <w:widowControl w:val="0"/>
        <w:spacing w:after="0" w:line="240" w:lineRule="auto"/>
        <w:jc w:val="both"/>
        <w:rPr>
          <w:rFonts w:ascii="Arial" w:hAnsi="Arial" w:cs="Arial"/>
        </w:rPr>
      </w:pPr>
      <w:r>
        <w:rPr>
          <w:rFonts w:ascii="Arial" w:hAnsi="Arial" w:cs="Arial"/>
        </w:rPr>
        <w:t xml:space="preserve">      Ing. Zbyněk Slezáček, MSc.  </w:t>
      </w:r>
      <w:r>
        <w:rPr>
          <w:rFonts w:ascii="Arial" w:hAnsi="Arial" w:cs="Arial"/>
        </w:rPr>
        <w:tab/>
      </w:r>
      <w:r>
        <w:rPr>
          <w:rFonts w:ascii="Arial" w:hAnsi="Arial" w:cs="Arial"/>
        </w:rPr>
        <w:tab/>
      </w:r>
      <w:r>
        <w:rPr>
          <w:rFonts w:ascii="Arial" w:hAnsi="Arial" w:cs="Arial"/>
        </w:rPr>
        <w:tab/>
      </w:r>
      <w:r>
        <w:rPr>
          <w:rFonts w:ascii="Arial" w:hAnsi="Arial" w:cs="Arial"/>
        </w:rPr>
        <w:tab/>
        <w:t xml:space="preserve">          Ing. Radoslav Habrdle</w:t>
      </w:r>
    </w:p>
    <w:p w:rsidR="00C36AF2" w:rsidRPr="00913A8F" w:rsidRDefault="003E1069" w:rsidP="00FF777E">
      <w:pPr>
        <w:widowControl w:val="0"/>
        <w:spacing w:after="0" w:line="240" w:lineRule="auto"/>
        <w:ind w:firstLine="708"/>
        <w:jc w:val="both"/>
        <w:rPr>
          <w:rFonts w:ascii="Arial" w:hAnsi="Arial" w:cs="Arial"/>
        </w:rPr>
      </w:pPr>
      <w:r>
        <w:rPr>
          <w:rFonts w:ascii="Arial" w:hAnsi="Arial" w:cs="Arial"/>
        </w:rPr>
        <w:t xml:space="preserve"> </w:t>
      </w:r>
      <w:r w:rsidR="00C71CB8" w:rsidRPr="00913A8F">
        <w:rPr>
          <w:rFonts w:ascii="Arial" w:hAnsi="Arial" w:cs="Arial"/>
        </w:rPr>
        <w:t>za prodávající</w:t>
      </w:r>
      <w:r w:rsidR="005571B9">
        <w:rPr>
          <w:rFonts w:ascii="Arial" w:hAnsi="Arial" w:cs="Arial"/>
        </w:rPr>
        <w:t>ho</w:t>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5571B9">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Pr="00913A8F" w:rsidRDefault="003E1069" w:rsidP="00FF777E">
      <w:pPr>
        <w:widowControl w:val="0"/>
        <w:spacing w:line="240" w:lineRule="auto"/>
        <w:rPr>
          <w:rFonts w:ascii="Arial" w:hAnsi="Arial" w:cs="Arial"/>
          <w:b/>
          <w:color w:val="365F91" w:themeColor="accent1" w:themeShade="BF"/>
        </w:rPr>
      </w:pPr>
    </w:p>
    <w:p w:rsidR="00FA4DD0" w:rsidRPr="005571B9" w:rsidRDefault="005571B9" w:rsidP="00FF777E">
      <w:pPr>
        <w:widowControl w:val="0"/>
        <w:spacing w:before="60" w:after="60" w:line="240" w:lineRule="auto"/>
        <w:jc w:val="both"/>
        <w:rPr>
          <w:rFonts w:ascii="Arial" w:hAnsi="Arial" w:cs="Arial"/>
          <w:b/>
          <w:bCs/>
        </w:rPr>
      </w:pPr>
      <w:r w:rsidRPr="005571B9">
        <w:rPr>
          <w:rFonts w:ascii="Arial" w:hAnsi="Arial" w:cs="Arial"/>
          <w:b/>
          <w:bCs/>
        </w:rPr>
        <w:t>Příloha:</w:t>
      </w:r>
    </w:p>
    <w:p w:rsidR="005571B9" w:rsidRPr="00913A8F" w:rsidRDefault="005571B9" w:rsidP="00FF777E">
      <w:pPr>
        <w:widowControl w:val="0"/>
        <w:spacing w:before="60" w:after="60" w:line="240" w:lineRule="auto"/>
        <w:jc w:val="both"/>
        <w:rPr>
          <w:rFonts w:ascii="Arial" w:hAnsi="Arial" w:cs="Arial"/>
        </w:rPr>
      </w:pPr>
      <w:r>
        <w:rPr>
          <w:rFonts w:ascii="Arial" w:hAnsi="Arial" w:cs="Arial"/>
        </w:rPr>
        <w:t>Specifikace a množství poptávaného zboží (předmětu koupě)</w:t>
      </w:r>
    </w:p>
    <w:sectPr w:rsidR="005571B9" w:rsidRPr="00913A8F" w:rsidSect="003E10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772" w:rsidRDefault="00C57772" w:rsidP="003B6500">
      <w:pPr>
        <w:spacing w:after="0" w:line="240" w:lineRule="auto"/>
      </w:pPr>
      <w:r>
        <w:separator/>
      </w:r>
    </w:p>
  </w:endnote>
  <w:endnote w:type="continuationSeparator" w:id="0">
    <w:p w:rsidR="00C57772" w:rsidRDefault="00C57772"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F8270C">
          <w:rPr>
            <w:rFonts w:ascii="Arial" w:hAnsi="Arial" w:cs="Arial"/>
            <w:noProof/>
            <w:sz w:val="20"/>
            <w:szCs w:val="20"/>
          </w:rPr>
          <w:t>3</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772" w:rsidRDefault="00C57772" w:rsidP="003B6500">
      <w:pPr>
        <w:spacing w:after="0" w:line="240" w:lineRule="auto"/>
      </w:pPr>
      <w:r>
        <w:separator/>
      </w:r>
    </w:p>
  </w:footnote>
  <w:footnote w:type="continuationSeparator" w:id="0">
    <w:p w:rsidR="00C57772" w:rsidRDefault="00C57772"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243C"/>
    <w:rsid w:val="00015CD2"/>
    <w:rsid w:val="00017E80"/>
    <w:rsid w:val="00041C34"/>
    <w:rsid w:val="00052516"/>
    <w:rsid w:val="000563D5"/>
    <w:rsid w:val="000578B6"/>
    <w:rsid w:val="00060769"/>
    <w:rsid w:val="000841E9"/>
    <w:rsid w:val="000A6E72"/>
    <w:rsid w:val="000C3A11"/>
    <w:rsid w:val="000D5B79"/>
    <w:rsid w:val="000D76B2"/>
    <w:rsid w:val="001511EB"/>
    <w:rsid w:val="00170448"/>
    <w:rsid w:val="00183E4E"/>
    <w:rsid w:val="001A34BF"/>
    <w:rsid w:val="001A657A"/>
    <w:rsid w:val="001B34ED"/>
    <w:rsid w:val="0023559D"/>
    <w:rsid w:val="00266ADA"/>
    <w:rsid w:val="002879FF"/>
    <w:rsid w:val="00295B5E"/>
    <w:rsid w:val="002A14AD"/>
    <w:rsid w:val="002C264C"/>
    <w:rsid w:val="002C5DC9"/>
    <w:rsid w:val="002D119A"/>
    <w:rsid w:val="002E4014"/>
    <w:rsid w:val="002E4F06"/>
    <w:rsid w:val="00304121"/>
    <w:rsid w:val="00327225"/>
    <w:rsid w:val="00357FB7"/>
    <w:rsid w:val="0037383D"/>
    <w:rsid w:val="003759BB"/>
    <w:rsid w:val="003B6500"/>
    <w:rsid w:val="003E1069"/>
    <w:rsid w:val="004047D6"/>
    <w:rsid w:val="00413CE8"/>
    <w:rsid w:val="0042365E"/>
    <w:rsid w:val="00457404"/>
    <w:rsid w:val="00474293"/>
    <w:rsid w:val="00482446"/>
    <w:rsid w:val="004A0958"/>
    <w:rsid w:val="004B0F7E"/>
    <w:rsid w:val="004C2612"/>
    <w:rsid w:val="004C4CC0"/>
    <w:rsid w:val="004C79F9"/>
    <w:rsid w:val="004F022B"/>
    <w:rsid w:val="004F19A7"/>
    <w:rsid w:val="0051210B"/>
    <w:rsid w:val="005571B9"/>
    <w:rsid w:val="005B3A73"/>
    <w:rsid w:val="005C7A3A"/>
    <w:rsid w:val="005F6F5D"/>
    <w:rsid w:val="005F7D99"/>
    <w:rsid w:val="00641A88"/>
    <w:rsid w:val="00657650"/>
    <w:rsid w:val="006B78FF"/>
    <w:rsid w:val="006D381B"/>
    <w:rsid w:val="006F4C4F"/>
    <w:rsid w:val="00716B20"/>
    <w:rsid w:val="007441E8"/>
    <w:rsid w:val="0075192D"/>
    <w:rsid w:val="00752631"/>
    <w:rsid w:val="0079092B"/>
    <w:rsid w:val="007938F0"/>
    <w:rsid w:val="00794821"/>
    <w:rsid w:val="007C5684"/>
    <w:rsid w:val="007D3BA1"/>
    <w:rsid w:val="00802DB5"/>
    <w:rsid w:val="0080568A"/>
    <w:rsid w:val="008220A4"/>
    <w:rsid w:val="00831645"/>
    <w:rsid w:val="008C3D38"/>
    <w:rsid w:val="008E7057"/>
    <w:rsid w:val="008F7A72"/>
    <w:rsid w:val="00902C19"/>
    <w:rsid w:val="009032A9"/>
    <w:rsid w:val="00910DDE"/>
    <w:rsid w:val="00913A8F"/>
    <w:rsid w:val="00990AA3"/>
    <w:rsid w:val="009E4812"/>
    <w:rsid w:val="009E4D22"/>
    <w:rsid w:val="009F4E10"/>
    <w:rsid w:val="009F69D2"/>
    <w:rsid w:val="00A01817"/>
    <w:rsid w:val="00A04FA4"/>
    <w:rsid w:val="00A24C0E"/>
    <w:rsid w:val="00A32B1C"/>
    <w:rsid w:val="00A512C2"/>
    <w:rsid w:val="00A72BBF"/>
    <w:rsid w:val="00A8600E"/>
    <w:rsid w:val="00AA2492"/>
    <w:rsid w:val="00AD114D"/>
    <w:rsid w:val="00AF27C1"/>
    <w:rsid w:val="00AF469B"/>
    <w:rsid w:val="00AF49BF"/>
    <w:rsid w:val="00B1645F"/>
    <w:rsid w:val="00B17646"/>
    <w:rsid w:val="00B20475"/>
    <w:rsid w:val="00B53999"/>
    <w:rsid w:val="00B71F28"/>
    <w:rsid w:val="00B93280"/>
    <w:rsid w:val="00BC2B08"/>
    <w:rsid w:val="00BD0E54"/>
    <w:rsid w:val="00BD3D46"/>
    <w:rsid w:val="00C0766C"/>
    <w:rsid w:val="00C36AF2"/>
    <w:rsid w:val="00C5254E"/>
    <w:rsid w:val="00C57772"/>
    <w:rsid w:val="00C60DBE"/>
    <w:rsid w:val="00C645E4"/>
    <w:rsid w:val="00C71CB8"/>
    <w:rsid w:val="00CA3947"/>
    <w:rsid w:val="00CF0AA9"/>
    <w:rsid w:val="00CF6172"/>
    <w:rsid w:val="00D06517"/>
    <w:rsid w:val="00D178C5"/>
    <w:rsid w:val="00D467B5"/>
    <w:rsid w:val="00DA49EE"/>
    <w:rsid w:val="00DA7563"/>
    <w:rsid w:val="00DC5076"/>
    <w:rsid w:val="00DE075E"/>
    <w:rsid w:val="00E319A6"/>
    <w:rsid w:val="00E5288B"/>
    <w:rsid w:val="00E624FE"/>
    <w:rsid w:val="00E63367"/>
    <w:rsid w:val="00E7003B"/>
    <w:rsid w:val="00EC637C"/>
    <w:rsid w:val="00EE034F"/>
    <w:rsid w:val="00EE3BC5"/>
    <w:rsid w:val="00F26ADC"/>
    <w:rsid w:val="00F81D32"/>
    <w:rsid w:val="00F8270C"/>
    <w:rsid w:val="00F9157E"/>
    <w:rsid w:val="00FA4DD0"/>
    <w:rsid w:val="00FB37F2"/>
    <w:rsid w:val="00FD1DF4"/>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AD11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bynek.slezacek@substraty.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4981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2025-11-13T08:21:00Z</dcterms:created>
  <dcterms:modified xsi:type="dcterms:W3CDTF">2025-11-13T08:25:00Z</dcterms:modified>
</cp:coreProperties>
</file>