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9496E" w14:textId="10F88D40" w:rsidR="0071054B" w:rsidRDefault="0071054B" w:rsidP="00D07690">
      <w:pPr>
        <w:spacing w:after="0" w:line="240" w:lineRule="auto"/>
      </w:pPr>
    </w:p>
    <w:p w14:paraId="2A4F9363" w14:textId="446F38C1" w:rsidR="00D07690" w:rsidRDefault="00D07690" w:rsidP="00D07690">
      <w:pPr>
        <w:spacing w:after="0" w:line="240" w:lineRule="auto"/>
      </w:pPr>
    </w:p>
    <w:p w14:paraId="4E9CD06A" w14:textId="77777777" w:rsidR="00D07690" w:rsidRPr="004002C3" w:rsidRDefault="00D07690" w:rsidP="00D0769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</w:p>
    <w:p w14:paraId="70F43EDB" w14:textId="77777777" w:rsidR="00D07690" w:rsidRPr="00E319D9" w:rsidRDefault="00D07690" w:rsidP="00D0769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bookmarkStart w:id="0" w:name="_Hlk213840273"/>
      <w:r w:rsidRPr="00E319D9">
        <w:rPr>
          <w:rFonts w:asciiTheme="minorHAnsi" w:hAnsiTheme="minorHAnsi" w:cstheme="minorHAnsi"/>
          <w:b/>
        </w:rPr>
        <w:t xml:space="preserve">Dodatek č. 1 </w:t>
      </w:r>
    </w:p>
    <w:p w14:paraId="651C5B48" w14:textId="77777777" w:rsidR="00D07690" w:rsidRPr="00E319D9" w:rsidRDefault="00D07690" w:rsidP="00D0769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E319D9">
        <w:rPr>
          <w:rFonts w:asciiTheme="minorHAnsi" w:hAnsiTheme="minorHAnsi" w:cstheme="minorHAnsi"/>
          <w:b/>
        </w:rPr>
        <w:t>ke smlouvě o dílo  č.j. NPU-450/</w:t>
      </w:r>
      <w:r>
        <w:rPr>
          <w:rFonts w:asciiTheme="minorHAnsi" w:hAnsiTheme="minorHAnsi" w:cstheme="minorHAnsi"/>
          <w:b/>
        </w:rPr>
        <w:t>92433</w:t>
      </w:r>
      <w:r w:rsidRPr="00E319D9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 xml:space="preserve">5 </w:t>
      </w:r>
      <w:r w:rsidRPr="00E319D9">
        <w:rPr>
          <w:rFonts w:asciiTheme="minorHAnsi" w:hAnsiTheme="minorHAnsi" w:cstheme="minorHAnsi"/>
          <w:b/>
        </w:rPr>
        <w:t xml:space="preserve">ze dne  </w:t>
      </w:r>
      <w:r>
        <w:rPr>
          <w:rFonts w:asciiTheme="minorHAnsi" w:hAnsiTheme="minorHAnsi" w:cstheme="minorHAnsi"/>
          <w:b/>
        </w:rPr>
        <w:t xml:space="preserve">17. 10. </w:t>
      </w:r>
      <w:r w:rsidRPr="00E319D9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5</w:t>
      </w:r>
    </w:p>
    <w:p w14:paraId="0BE6BF96" w14:textId="77777777" w:rsidR="00D07690" w:rsidRPr="00E319D9" w:rsidRDefault="00D07690" w:rsidP="00D07690">
      <w:pPr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2E509C95" w14:textId="77777777" w:rsidR="00D07690" w:rsidRPr="00E319D9" w:rsidRDefault="00D07690" w:rsidP="00D07690">
      <w:pPr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6593D7B8" w14:textId="77777777" w:rsidR="00D07690" w:rsidRPr="00C01F2E" w:rsidRDefault="00D07690" w:rsidP="00D07690">
      <w:pPr>
        <w:pStyle w:val="Nzev"/>
        <w:ind w:left="360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I. Smluvní strany</w:t>
      </w:r>
    </w:p>
    <w:p w14:paraId="73C794A4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/>
          <w:b/>
          <w:bCs/>
          <w:sz w:val="22"/>
          <w:szCs w:val="22"/>
        </w:rPr>
        <w:t>Objednatel</w:t>
      </w:r>
      <w:r w:rsidRPr="00C01F2E">
        <w:rPr>
          <w:rFonts w:asciiTheme="minorHAnsi" w:hAnsiTheme="minorHAnsi"/>
          <w:b/>
          <w:sz w:val="22"/>
          <w:szCs w:val="22"/>
        </w:rPr>
        <w:t>: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>Národní památkový ústav,</w:t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>státní příspěvková organizace,</w:t>
      </w:r>
    </w:p>
    <w:p w14:paraId="4A9E5FDF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>IČ: 75032333, DIČ: CZ75032333,</w:t>
      </w:r>
    </w:p>
    <w:p w14:paraId="38D0D770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 xml:space="preserve">se sídlem Valdštejnské náměstí  162/3, 118 01 Praha 1 - Malá Strana, </w:t>
      </w:r>
    </w:p>
    <w:p w14:paraId="3EE5ACF8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>jednající generální ředitelkou Ing. arch. Naděždou  Goryczkovou,</w:t>
      </w:r>
    </w:p>
    <w:p w14:paraId="0C29724D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kterou zastupuje: </w:t>
      </w:r>
    </w:p>
    <w:p w14:paraId="2D129D09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  <w:t>Územní památková správa v Kroměříži</w:t>
      </w:r>
    </w:p>
    <w:p w14:paraId="3E1F2A6D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>se sídlem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C01F2E">
        <w:rPr>
          <w:rFonts w:asciiTheme="minorHAnsi" w:hAnsiTheme="minorHAnsi" w:cs="Calibri"/>
          <w:bCs/>
          <w:sz w:val="22"/>
          <w:szCs w:val="22"/>
        </w:rPr>
        <w:t>Sněmovní nám. 1, 767 01 Kroměříž,</w:t>
      </w:r>
    </w:p>
    <w:p w14:paraId="4CAB6E5D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jednající ředitelem 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Ing. </w:t>
      </w:r>
      <w:r>
        <w:rPr>
          <w:rFonts w:asciiTheme="minorHAnsi" w:hAnsiTheme="minorHAnsi" w:cs="Calibri"/>
          <w:b/>
          <w:bCs/>
          <w:sz w:val="22"/>
          <w:szCs w:val="22"/>
        </w:rPr>
        <w:t>Petrem Šubíkem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,                                   </w:t>
      </w:r>
    </w:p>
    <w:p w14:paraId="67B5CCA9" w14:textId="736A3465" w:rsidR="00D07690" w:rsidRDefault="00D07690" w:rsidP="00D07690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zástupce pro věcná jednání: </w:t>
      </w:r>
      <w:r w:rsidR="00780E77">
        <w:rPr>
          <w:rFonts w:asciiTheme="minorHAnsi" w:hAnsiTheme="minorHAnsi" w:cs="Calibri"/>
          <w:bCs/>
          <w:sz w:val="22"/>
          <w:szCs w:val="22"/>
        </w:rPr>
        <w:t>xxxxxxxxxxxxx</w:t>
      </w:r>
      <w:r>
        <w:rPr>
          <w:rFonts w:asciiTheme="minorHAnsi" w:hAnsiTheme="minorHAnsi" w:cs="Calibri"/>
          <w:bCs/>
          <w:sz w:val="22"/>
          <w:szCs w:val="22"/>
        </w:rPr>
        <w:t xml:space="preserve">, tel. </w:t>
      </w:r>
      <w:r w:rsidR="00780E77">
        <w:rPr>
          <w:rFonts w:asciiTheme="minorHAnsi" w:hAnsiTheme="minorHAnsi" w:cs="Calibri"/>
          <w:bCs/>
          <w:sz w:val="22"/>
          <w:szCs w:val="22"/>
        </w:rPr>
        <w:t>xxxxxxxxxxx</w:t>
      </w:r>
    </w:p>
    <w:p w14:paraId="4479584B" w14:textId="4AC18645" w:rsidR="00D07690" w:rsidRDefault="00D07690" w:rsidP="00D07690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 w:rsidRPr="003F1BC5">
        <w:rPr>
          <w:rFonts w:asciiTheme="minorHAnsi" w:hAnsiTheme="minorHAnsi" w:cs="Calibri"/>
          <w:bCs/>
          <w:sz w:val="22"/>
          <w:szCs w:val="22"/>
        </w:rPr>
        <w:t>Autorský dozor</w:t>
      </w:r>
      <w:r w:rsidR="00780E77">
        <w:rPr>
          <w:rFonts w:asciiTheme="minorHAnsi" w:hAnsiTheme="minorHAnsi" w:cs="Calibri"/>
          <w:bCs/>
          <w:sz w:val="22"/>
          <w:szCs w:val="22"/>
        </w:rPr>
        <w:t>: xxxxxxxxxxxx</w:t>
      </w:r>
      <w:r>
        <w:rPr>
          <w:rFonts w:asciiTheme="minorHAnsi" w:hAnsiTheme="minorHAnsi" w:cs="Calibri"/>
          <w:bCs/>
          <w:sz w:val="22"/>
          <w:szCs w:val="22"/>
        </w:rPr>
        <w:t>,</w:t>
      </w:r>
      <w:r w:rsidRPr="003F1BC5">
        <w:rPr>
          <w:rFonts w:asciiTheme="minorHAnsi" w:hAnsiTheme="minorHAnsi" w:cs="Calibri"/>
          <w:bCs/>
          <w:sz w:val="22"/>
          <w:szCs w:val="22"/>
        </w:rPr>
        <w:t xml:space="preserve"> tel</w:t>
      </w:r>
      <w:r>
        <w:rPr>
          <w:rFonts w:asciiTheme="minorHAnsi" w:hAnsiTheme="minorHAnsi" w:cs="Calibri"/>
          <w:bCs/>
          <w:sz w:val="22"/>
          <w:szCs w:val="22"/>
        </w:rPr>
        <w:t xml:space="preserve">. </w:t>
      </w:r>
      <w:r w:rsidR="00780E77">
        <w:rPr>
          <w:rFonts w:asciiTheme="minorHAnsi" w:hAnsiTheme="minorHAnsi" w:cs="Calibri"/>
          <w:bCs/>
          <w:sz w:val="22"/>
          <w:szCs w:val="22"/>
        </w:rPr>
        <w:t>xxxxxxxxxxxxxx</w:t>
      </w:r>
    </w:p>
    <w:p w14:paraId="7E3D1A79" w14:textId="77777777" w:rsidR="00D07690" w:rsidRPr="00C01F2E" w:rsidRDefault="00D07690" w:rsidP="00D07690">
      <w:pPr>
        <w:pStyle w:val="Zkladntext21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                          </w:t>
      </w:r>
      <w:r w:rsidRPr="00C01F2E">
        <w:rPr>
          <w:rFonts w:asciiTheme="minorHAnsi" w:hAnsiTheme="minorHAns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>Bankovní spojení: ČNB 500005-60039011/0710</w:t>
      </w:r>
    </w:p>
    <w:p w14:paraId="092D7D03" w14:textId="77777777" w:rsidR="00D07690" w:rsidRPr="0076699B" w:rsidRDefault="00D07690" w:rsidP="00D07690">
      <w:pPr>
        <w:pStyle w:val="Zkladntext21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ab/>
      </w:r>
      <w:r w:rsidRPr="00C01F2E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C01F2E">
        <w:rPr>
          <w:rFonts w:asciiTheme="minorHAnsi" w:eastAsia="MS Mincho" w:hAnsiTheme="minorHAnsi" w:cs="Calibri"/>
          <w:bCs/>
          <w:sz w:val="22"/>
          <w:szCs w:val="22"/>
        </w:rPr>
        <w:t>„</w:t>
      </w:r>
      <w:r w:rsidRPr="0076699B">
        <w:rPr>
          <w:rFonts w:asciiTheme="minorHAnsi" w:eastAsia="MS Mincho" w:hAnsiTheme="minorHAnsi" w:cs="Calibri"/>
          <w:b/>
          <w:bCs/>
          <w:sz w:val="22"/>
          <w:szCs w:val="22"/>
        </w:rPr>
        <w:t>objednatel</w:t>
      </w:r>
      <w:r w:rsidRPr="0076699B">
        <w:rPr>
          <w:rFonts w:asciiTheme="minorHAnsi" w:eastAsia="MS Mincho" w:hAnsiTheme="minorHAnsi" w:cs="Calibri"/>
          <w:bCs/>
          <w:sz w:val="22"/>
          <w:szCs w:val="22"/>
        </w:rPr>
        <w:t>“)</w:t>
      </w:r>
      <w:r w:rsidRPr="0076699B">
        <w:rPr>
          <w:rFonts w:asciiTheme="minorHAnsi" w:eastAsia="MS Mincho" w:hAnsiTheme="minorHAnsi" w:cs="Calibri"/>
          <w:b/>
          <w:bCs/>
          <w:sz w:val="22"/>
          <w:szCs w:val="22"/>
        </w:rPr>
        <w:t xml:space="preserve"> </w:t>
      </w:r>
    </w:p>
    <w:p w14:paraId="312182AE" w14:textId="77777777" w:rsidR="00D07690" w:rsidRPr="0076699B" w:rsidRDefault="00D07690" w:rsidP="00D07690">
      <w:pPr>
        <w:spacing w:after="0" w:line="240" w:lineRule="auto"/>
        <w:ind w:left="519" w:firstLine="48"/>
        <w:rPr>
          <w:rFonts w:asciiTheme="minorHAnsi" w:hAnsiTheme="minorHAnsi"/>
        </w:rPr>
      </w:pPr>
      <w:r w:rsidRPr="0076699B">
        <w:rPr>
          <w:rFonts w:asciiTheme="minorHAnsi" w:hAnsiTheme="minorHAnsi"/>
        </w:rPr>
        <w:t>a</w:t>
      </w:r>
    </w:p>
    <w:p w14:paraId="6D9F1597" w14:textId="77777777" w:rsidR="00D07690" w:rsidRPr="0076699B" w:rsidRDefault="00D07690" w:rsidP="00D07690">
      <w:pPr>
        <w:tabs>
          <w:tab w:val="left" w:pos="1418"/>
        </w:tabs>
        <w:spacing w:after="0" w:line="240" w:lineRule="auto"/>
        <w:rPr>
          <w:rFonts w:asciiTheme="minorHAnsi" w:hAnsiTheme="minorHAnsi"/>
          <w:b/>
        </w:rPr>
      </w:pPr>
      <w:r w:rsidRPr="0076699B">
        <w:rPr>
          <w:rFonts w:asciiTheme="minorHAnsi" w:hAnsiTheme="minorHAnsi"/>
          <w:b/>
        </w:rPr>
        <w:t>Zhotovitel:</w:t>
      </w:r>
      <w:r w:rsidRPr="0076699B">
        <w:rPr>
          <w:rFonts w:asciiTheme="minorHAnsi" w:hAnsiTheme="minorHAnsi"/>
        </w:rPr>
        <w:t xml:space="preserve"> </w:t>
      </w:r>
      <w:r w:rsidRPr="0076699B">
        <w:rPr>
          <w:rFonts w:asciiTheme="minorHAnsi" w:hAnsiTheme="minorHAnsi"/>
        </w:rPr>
        <w:tab/>
      </w:r>
      <w:r w:rsidRPr="0076699B">
        <w:rPr>
          <w:rFonts w:asciiTheme="minorHAnsi" w:hAnsiTheme="minorHAnsi"/>
          <w:b/>
        </w:rPr>
        <w:t>Tiskárna Grafico s.r.o.</w:t>
      </w:r>
    </w:p>
    <w:p w14:paraId="0B0C2D88" w14:textId="77777777" w:rsidR="00D07690" w:rsidRPr="0076699B" w:rsidRDefault="00D07690" w:rsidP="00D07690">
      <w:pPr>
        <w:spacing w:after="0" w:line="240" w:lineRule="auto"/>
        <w:ind w:left="1418"/>
        <w:rPr>
          <w:rFonts w:asciiTheme="minorHAnsi" w:eastAsia="MS Mincho" w:hAnsiTheme="minorHAnsi" w:cstheme="minorHAnsi"/>
        </w:rPr>
      </w:pPr>
      <w:r w:rsidRPr="0076699B">
        <w:rPr>
          <w:rFonts w:asciiTheme="minorHAnsi" w:eastAsia="MS Mincho" w:hAnsiTheme="minorHAnsi" w:cstheme="minorHAnsi"/>
        </w:rPr>
        <w:t>IČ: 25885839, DIČ: CZ25885839</w:t>
      </w:r>
    </w:p>
    <w:p w14:paraId="6D3B6EA1" w14:textId="77777777" w:rsidR="00D07690" w:rsidRPr="0076699B" w:rsidRDefault="00D07690" w:rsidP="00D07690">
      <w:pPr>
        <w:spacing w:after="0" w:line="240" w:lineRule="auto"/>
        <w:ind w:left="1418"/>
        <w:rPr>
          <w:rFonts w:asciiTheme="minorHAnsi" w:eastAsia="MS Mincho" w:hAnsiTheme="minorHAnsi" w:cstheme="minorHAnsi"/>
        </w:rPr>
      </w:pPr>
      <w:r w:rsidRPr="0076699B">
        <w:rPr>
          <w:rFonts w:asciiTheme="minorHAnsi" w:hAnsiTheme="minorHAnsi" w:cstheme="minorHAnsi"/>
        </w:rPr>
        <w:t>se sídlem U Panského mlýna 1438/33, 747 06 Opava-Kylešovice</w:t>
      </w:r>
    </w:p>
    <w:p w14:paraId="1C10077C" w14:textId="77777777" w:rsidR="00D07690" w:rsidRPr="0076699B" w:rsidRDefault="00D07690" w:rsidP="00D07690">
      <w:pPr>
        <w:spacing w:after="0" w:line="240" w:lineRule="auto"/>
        <w:ind w:left="1418"/>
        <w:rPr>
          <w:rFonts w:asciiTheme="minorHAnsi" w:hAnsiTheme="minorHAnsi" w:cstheme="minorHAnsi"/>
        </w:rPr>
      </w:pPr>
      <w:r w:rsidRPr="0076699B">
        <w:rPr>
          <w:rFonts w:asciiTheme="minorHAnsi" w:hAnsiTheme="minorHAnsi" w:cstheme="minorHAnsi"/>
        </w:rPr>
        <w:t>zapsána v OR vedeném u Krajského soudu v Ostravě</w:t>
      </w:r>
    </w:p>
    <w:p w14:paraId="2DFBD03A" w14:textId="14BB06E5" w:rsidR="00D07690" w:rsidRPr="0076699B" w:rsidRDefault="00D07690" w:rsidP="00D07690">
      <w:pPr>
        <w:spacing w:after="0" w:line="240" w:lineRule="auto"/>
        <w:ind w:left="1418"/>
        <w:rPr>
          <w:rFonts w:asciiTheme="minorHAnsi" w:eastAsia="MS Mincho" w:hAnsiTheme="minorHAnsi" w:cstheme="minorHAnsi"/>
          <w:b/>
        </w:rPr>
      </w:pPr>
      <w:r w:rsidRPr="0076699B">
        <w:rPr>
          <w:rFonts w:asciiTheme="minorHAnsi" w:eastAsia="MS Mincho" w:hAnsiTheme="minorHAnsi" w:cstheme="minorHAnsi"/>
          <w:b/>
        </w:rPr>
        <w:t xml:space="preserve">jednající: </w:t>
      </w:r>
      <w:r w:rsidR="00780E77">
        <w:rPr>
          <w:rFonts w:asciiTheme="minorHAnsi" w:hAnsiTheme="minorHAnsi" w:cstheme="minorHAnsi"/>
          <w:bCs/>
        </w:rPr>
        <w:t>xxxxxxxxxxxxx</w:t>
      </w:r>
    </w:p>
    <w:p w14:paraId="3070130B" w14:textId="05BBCA88" w:rsidR="00D07690" w:rsidRPr="0076699B" w:rsidRDefault="00D07690" w:rsidP="00D07690">
      <w:pPr>
        <w:spacing w:after="0" w:line="240" w:lineRule="auto"/>
        <w:ind w:left="1418"/>
        <w:rPr>
          <w:rFonts w:asciiTheme="minorHAnsi" w:eastAsia="MS Mincho" w:hAnsiTheme="minorHAnsi" w:cstheme="minorHAnsi"/>
        </w:rPr>
      </w:pPr>
      <w:r w:rsidRPr="0076699B">
        <w:rPr>
          <w:rFonts w:asciiTheme="minorHAnsi" w:eastAsia="MS Mincho" w:hAnsiTheme="minorHAnsi" w:cstheme="minorHAnsi"/>
        </w:rPr>
        <w:t>zástupce pro</w:t>
      </w:r>
      <w:r w:rsidR="00780E77">
        <w:rPr>
          <w:rFonts w:asciiTheme="minorHAnsi" w:eastAsia="MS Mincho" w:hAnsiTheme="minorHAnsi" w:cstheme="minorHAnsi"/>
        </w:rPr>
        <w:t xml:space="preserve"> věcná jednání: xxxxxxxxxxxxxx, tel.: xxxxxxxxxxxxxx</w:t>
      </w:r>
    </w:p>
    <w:p w14:paraId="56975BE5" w14:textId="64C74B6D" w:rsidR="00D07690" w:rsidRPr="0076699B" w:rsidRDefault="00D07690" w:rsidP="00D07690">
      <w:pPr>
        <w:pStyle w:val="Prosttext"/>
        <w:tabs>
          <w:tab w:val="left" w:pos="1701"/>
        </w:tabs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99B">
        <w:rPr>
          <w:rFonts w:asciiTheme="minorHAnsi" w:eastAsia="MS Mincho" w:hAnsiTheme="minorHAnsi" w:cstheme="minorHAnsi"/>
          <w:sz w:val="22"/>
          <w:szCs w:val="22"/>
        </w:rPr>
        <w:t xml:space="preserve">Bankovní spojení: </w:t>
      </w:r>
      <w:r w:rsidR="00780E77">
        <w:rPr>
          <w:rFonts w:asciiTheme="minorHAnsi" w:hAnsiTheme="minorHAnsi" w:cstheme="minorHAnsi"/>
          <w:bCs/>
          <w:sz w:val="22"/>
          <w:szCs w:val="22"/>
        </w:rPr>
        <w:t>xxxxxxxxxxxxxxxxxx</w:t>
      </w:r>
    </w:p>
    <w:p w14:paraId="07AD444D" w14:textId="77777777" w:rsidR="00D07690" w:rsidRPr="0076699B" w:rsidRDefault="00D07690" w:rsidP="00D07690">
      <w:pPr>
        <w:pStyle w:val="Prosttext"/>
        <w:tabs>
          <w:tab w:val="left" w:pos="1701"/>
        </w:tabs>
        <w:ind w:left="1418"/>
        <w:jc w:val="both"/>
        <w:rPr>
          <w:rFonts w:asciiTheme="minorHAnsi" w:eastAsia="MS Mincho" w:hAnsiTheme="minorHAnsi" w:cs="Times New Roman"/>
          <w:sz w:val="22"/>
          <w:szCs w:val="22"/>
        </w:rPr>
      </w:pPr>
    </w:p>
    <w:p w14:paraId="1D21E4DD" w14:textId="77777777" w:rsidR="00D07690" w:rsidRPr="0076699B" w:rsidRDefault="00D07690" w:rsidP="00D07690">
      <w:pPr>
        <w:pStyle w:val="Prosttext"/>
        <w:tabs>
          <w:tab w:val="left" w:pos="1701"/>
        </w:tabs>
        <w:ind w:left="1418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76699B">
        <w:rPr>
          <w:rFonts w:asciiTheme="minorHAnsi" w:eastAsia="MS Mincho" w:hAnsiTheme="minorHAnsi" w:cs="Times New Roman"/>
          <w:b/>
          <w:sz w:val="22"/>
          <w:szCs w:val="22"/>
        </w:rPr>
        <w:t>Doručovací adresa</w:t>
      </w:r>
      <w:r w:rsidRPr="0076699B">
        <w:rPr>
          <w:rFonts w:asciiTheme="minorHAnsi" w:eastAsia="MS Mincho" w:hAnsiTheme="minorHAnsi" w:cs="Times New Roman"/>
          <w:sz w:val="22"/>
          <w:szCs w:val="22"/>
        </w:rPr>
        <w:t xml:space="preserve">: </w:t>
      </w:r>
      <w:r w:rsidRPr="0076699B">
        <w:rPr>
          <w:rFonts w:asciiTheme="minorHAnsi" w:hAnsiTheme="minorHAnsi"/>
          <w:sz w:val="22"/>
          <w:szCs w:val="22"/>
        </w:rPr>
        <w:t>U Panského mlýna 1438/33, 747 06  Opava-Kylešovice</w:t>
      </w:r>
    </w:p>
    <w:p w14:paraId="3855B02D" w14:textId="77777777" w:rsidR="00D07690" w:rsidRPr="0076699B" w:rsidRDefault="00D07690" w:rsidP="00D07690">
      <w:pPr>
        <w:spacing w:after="0" w:line="240" w:lineRule="auto"/>
        <w:ind w:left="1418"/>
        <w:jc w:val="both"/>
        <w:rPr>
          <w:rFonts w:asciiTheme="minorHAnsi" w:hAnsiTheme="minorHAnsi"/>
          <w:bCs/>
        </w:rPr>
      </w:pPr>
      <w:r w:rsidRPr="0076699B">
        <w:rPr>
          <w:rFonts w:asciiTheme="minorHAnsi" w:hAnsiTheme="minorHAnsi"/>
        </w:rPr>
        <w:t xml:space="preserve"> (dále jen „</w:t>
      </w:r>
      <w:r w:rsidRPr="0076699B">
        <w:rPr>
          <w:rFonts w:asciiTheme="minorHAnsi" w:hAnsiTheme="minorHAnsi"/>
          <w:b/>
          <w:bCs/>
        </w:rPr>
        <w:t xml:space="preserve">zhotovitel“) </w:t>
      </w:r>
      <w:r w:rsidRPr="0076699B">
        <w:rPr>
          <w:rFonts w:asciiTheme="minorHAnsi" w:hAnsiTheme="minorHAnsi"/>
          <w:bCs/>
        </w:rPr>
        <w:t>na straně druhé</w:t>
      </w:r>
    </w:p>
    <w:p w14:paraId="4A548989" w14:textId="77777777" w:rsidR="00D07690" w:rsidRPr="00E319D9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282D28C9" w14:textId="77777777" w:rsidR="00D07690" w:rsidRPr="00E319D9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67825C97" w14:textId="42EB5354" w:rsidR="00D07690" w:rsidRPr="004F178F" w:rsidRDefault="00D07690" w:rsidP="00D07690">
      <w:pPr>
        <w:pStyle w:val="Normln0"/>
        <w:jc w:val="center"/>
        <w:rPr>
          <w:rFonts w:asciiTheme="minorHAnsi" w:hAnsiTheme="minorHAnsi" w:cstheme="minorHAnsi"/>
          <w:b/>
          <w:bCs/>
          <w:szCs w:val="22"/>
        </w:rPr>
      </w:pPr>
      <w:r w:rsidRPr="00E319D9">
        <w:rPr>
          <w:rFonts w:asciiTheme="minorHAnsi" w:hAnsiTheme="minorHAnsi" w:cstheme="minorHAnsi"/>
          <w:szCs w:val="22"/>
        </w:rPr>
        <w:t xml:space="preserve">jako smluvní strany uzavřely v souladu se zákonem č. 89/2012 Sb., občanský zákoník, ve znění pozdějších předpisů, níže uvedeného dne, měsíce a roku tento </w:t>
      </w:r>
      <w:r w:rsidRPr="004F178F">
        <w:rPr>
          <w:rFonts w:asciiTheme="minorHAnsi" w:hAnsiTheme="minorHAnsi" w:cstheme="minorHAnsi"/>
          <w:b/>
          <w:bCs/>
          <w:szCs w:val="22"/>
        </w:rPr>
        <w:t>dodatek</w:t>
      </w:r>
      <w:r w:rsidR="004F178F">
        <w:rPr>
          <w:rFonts w:asciiTheme="minorHAnsi" w:hAnsiTheme="minorHAnsi" w:cstheme="minorHAnsi"/>
          <w:b/>
          <w:bCs/>
          <w:szCs w:val="22"/>
        </w:rPr>
        <w:t xml:space="preserve"> č. 1</w:t>
      </w:r>
      <w:r w:rsidRPr="004F178F">
        <w:rPr>
          <w:rFonts w:asciiTheme="minorHAnsi" w:hAnsiTheme="minorHAnsi" w:cstheme="minorHAnsi"/>
          <w:b/>
          <w:bCs/>
          <w:szCs w:val="22"/>
        </w:rPr>
        <w:t xml:space="preserve"> ke</w:t>
      </w:r>
    </w:p>
    <w:p w14:paraId="0F270831" w14:textId="77777777" w:rsidR="00D07690" w:rsidRPr="004F178F" w:rsidRDefault="00D07690" w:rsidP="00D07690">
      <w:pPr>
        <w:pStyle w:val="Normln0"/>
        <w:jc w:val="center"/>
        <w:rPr>
          <w:rFonts w:asciiTheme="minorHAnsi" w:hAnsiTheme="minorHAnsi" w:cstheme="minorHAnsi"/>
          <w:b/>
          <w:bCs/>
          <w:szCs w:val="22"/>
        </w:rPr>
      </w:pPr>
      <w:r w:rsidRPr="004F178F">
        <w:rPr>
          <w:rFonts w:asciiTheme="minorHAnsi" w:hAnsiTheme="minorHAnsi" w:cstheme="minorHAnsi"/>
          <w:b/>
          <w:bCs/>
          <w:szCs w:val="22"/>
        </w:rPr>
        <w:t>smlouvě o dílo:</w:t>
      </w:r>
    </w:p>
    <w:p w14:paraId="6771F286" w14:textId="77777777" w:rsidR="00D07690" w:rsidRPr="004002C3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1971FDC3" w14:textId="77777777" w:rsidR="00D07690" w:rsidRPr="004002C3" w:rsidRDefault="00D07690" w:rsidP="00D07690">
      <w:pPr>
        <w:numPr>
          <w:ilvl w:val="0"/>
          <w:numId w:val="20"/>
        </w:num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002C3">
        <w:rPr>
          <w:rFonts w:asciiTheme="minorHAnsi" w:hAnsiTheme="minorHAnsi" w:cstheme="minorHAnsi"/>
          <w:b/>
        </w:rPr>
        <w:t>Předmět dodatku</w:t>
      </w:r>
    </w:p>
    <w:p w14:paraId="4520D7B7" w14:textId="77777777" w:rsidR="00D07690" w:rsidRPr="00ED5D7B" w:rsidRDefault="00D07690" w:rsidP="00D0769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80051F6" w14:textId="2786F4AF" w:rsidR="00D07690" w:rsidRPr="00ED5D7B" w:rsidRDefault="00D07690" w:rsidP="00D07690">
      <w:pPr>
        <w:pStyle w:val="Odstavecseseznamem"/>
        <w:numPr>
          <w:ilvl w:val="0"/>
          <w:numId w:val="15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 xml:space="preserve">Smluvní strany prohlašují, že uzavřely dne 17. 10. 2025 Smlouvu o dílo, jejímž předmětem je </w:t>
      </w:r>
      <w:r w:rsidR="004F178F">
        <w:rPr>
          <w:rFonts w:asciiTheme="minorHAnsi" w:hAnsiTheme="minorHAnsi" w:cstheme="minorHAnsi"/>
          <w:b/>
          <w:kern w:val="1"/>
        </w:rPr>
        <w:t>t</w:t>
      </w:r>
      <w:r w:rsidRPr="00ED5D7B">
        <w:rPr>
          <w:rFonts w:asciiTheme="minorHAnsi" w:hAnsiTheme="minorHAnsi" w:cstheme="minorHAnsi"/>
          <w:b/>
          <w:kern w:val="1"/>
        </w:rPr>
        <w:t>isk publikace „Zámek Uherčice“ (dále jen „dílo“).</w:t>
      </w:r>
    </w:p>
    <w:p w14:paraId="5F5512F9" w14:textId="7D2A2A6D" w:rsidR="00D07690" w:rsidRPr="00ED5D7B" w:rsidRDefault="00D07690" w:rsidP="00D07690">
      <w:pPr>
        <w:pStyle w:val="Odstavecseseznamem"/>
        <w:numPr>
          <w:ilvl w:val="0"/>
          <w:numId w:val="15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4. 11.</w:t>
      </w:r>
      <w:r w:rsidRPr="00ED5D7B">
        <w:rPr>
          <w:rFonts w:asciiTheme="minorHAnsi" w:hAnsiTheme="minorHAnsi" w:cstheme="minorHAnsi"/>
        </w:rPr>
        <w:t xml:space="preserve"> 2025 provedl au</w:t>
      </w:r>
      <w:r w:rsidR="00780E77">
        <w:rPr>
          <w:rFonts w:asciiTheme="minorHAnsi" w:hAnsiTheme="minorHAnsi" w:cstheme="minorHAnsi"/>
        </w:rPr>
        <w:t>torský dozor – xxxxxxxxxxxx</w:t>
      </w:r>
      <w:bookmarkStart w:id="1" w:name="_GoBack"/>
      <w:bookmarkEnd w:id="1"/>
      <w:r w:rsidRPr="00ED5D7B">
        <w:rPr>
          <w:rFonts w:asciiTheme="minorHAnsi" w:hAnsiTheme="minorHAnsi" w:cstheme="minorHAnsi"/>
        </w:rPr>
        <w:t xml:space="preserve"> kontrolu digitálních nátisků obálky publikace Zámek Uherčice, které se jevily zcela v pořádku a data k vytvoření kovolistu pro tisk obálky byla odsouhlasena. Při vlastním - ofsetovém tisku obálky</w:t>
      </w:r>
      <w:r>
        <w:rPr>
          <w:rFonts w:asciiTheme="minorHAnsi" w:hAnsiTheme="minorHAnsi" w:cstheme="minorHAnsi"/>
        </w:rPr>
        <w:t xml:space="preserve"> dne 7. 11. 2025</w:t>
      </w:r>
      <w:r w:rsidRPr="00ED5D7B">
        <w:rPr>
          <w:rFonts w:asciiTheme="minorHAnsi" w:hAnsiTheme="minorHAnsi" w:cstheme="minorHAnsi"/>
        </w:rPr>
        <w:t xml:space="preserve"> se objevily na obálce rušivé pruhy, které by ještě více zdůraznila povrchová úprava</w:t>
      </w:r>
      <w:r w:rsidR="002308ED">
        <w:rPr>
          <w:rFonts w:asciiTheme="minorHAnsi" w:hAnsiTheme="minorHAnsi" w:cstheme="minorHAnsi"/>
        </w:rPr>
        <w:t xml:space="preserve"> </w:t>
      </w:r>
      <w:r w:rsidRPr="00ED5D7B">
        <w:rPr>
          <w:rFonts w:asciiTheme="minorHAnsi" w:hAnsiTheme="minorHAnsi" w:cstheme="minorHAnsi"/>
        </w:rPr>
        <w:t>obálky</w:t>
      </w:r>
      <w:r w:rsidR="002308ED">
        <w:rPr>
          <w:rFonts w:asciiTheme="minorHAnsi" w:hAnsiTheme="minorHAnsi" w:cstheme="minorHAnsi"/>
        </w:rPr>
        <w:t xml:space="preserve"> </w:t>
      </w:r>
      <w:r w:rsidR="002308ED" w:rsidRPr="00ED5D7B">
        <w:rPr>
          <w:rFonts w:asciiTheme="minorHAnsi" w:hAnsiTheme="minorHAnsi" w:cstheme="minorHAnsi"/>
        </w:rPr>
        <w:t xml:space="preserve"> (laminace)</w:t>
      </w:r>
      <w:r w:rsidRPr="00ED5D7B">
        <w:rPr>
          <w:rFonts w:asciiTheme="minorHAnsi" w:hAnsiTheme="minorHAnsi" w:cstheme="minorHAnsi"/>
        </w:rPr>
        <w:t>. Přes snahu kompenzovat jednotlivé barvy na tiskovém stroji se nezdařilo problém odstranit a bylo nutné upravit znovu tisková data a vyrobit nov</w:t>
      </w:r>
      <w:r w:rsidR="00DF01A2">
        <w:rPr>
          <w:rFonts w:asciiTheme="minorHAnsi" w:hAnsiTheme="minorHAnsi" w:cstheme="minorHAnsi"/>
        </w:rPr>
        <w:t>ý</w:t>
      </w:r>
      <w:r w:rsidRPr="00ED5D7B">
        <w:rPr>
          <w:rFonts w:asciiTheme="minorHAnsi" w:hAnsiTheme="minorHAnsi" w:cstheme="minorHAnsi"/>
        </w:rPr>
        <w:t xml:space="preserve"> kovolist. Vznikl tak vícenáklad na kovolist, papír použitý u rozjezdu stroje a čas na tiskovém stroji.</w:t>
      </w:r>
    </w:p>
    <w:p w14:paraId="5DC5B4AB" w14:textId="681C227A" w:rsidR="00D07690" w:rsidRPr="002308ED" w:rsidRDefault="00D07690" w:rsidP="00D07690">
      <w:pPr>
        <w:pStyle w:val="Odstavecseseznamem"/>
        <w:numPr>
          <w:ilvl w:val="0"/>
          <w:numId w:val="15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  <w:b/>
        </w:rPr>
      </w:pPr>
      <w:r w:rsidRPr="00ED5D7B">
        <w:rPr>
          <w:rFonts w:asciiTheme="minorHAnsi" w:hAnsiTheme="minorHAnsi" w:cstheme="minorHAnsi"/>
        </w:rPr>
        <w:t>Navýšení ceny za výše uvedené práce činí 4.000,- Kč.</w:t>
      </w:r>
    </w:p>
    <w:p w14:paraId="1A638A79" w14:textId="5DA5FC79" w:rsid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3D3A7DE" w14:textId="29DBB76E" w:rsid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D18D13F" w14:textId="6C20595E" w:rsid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011522D" w14:textId="77777777" w:rsid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4F38AD3" w14:textId="77777777" w:rsidR="002308ED" w:rsidRP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bookmarkEnd w:id="0"/>
    <w:p w14:paraId="04B0F8A3" w14:textId="4717D696" w:rsidR="00D07690" w:rsidRDefault="00D07690" w:rsidP="00D07690">
      <w:pPr>
        <w:pStyle w:val="Odstavecseseznamem"/>
        <w:numPr>
          <w:ilvl w:val="0"/>
          <w:numId w:val="15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 xml:space="preserve">Vzhledem k výše uvedeným skutečnostem se smluvní strany dohodly na změně čl. IV. Cena za provedení díla takto: </w:t>
      </w:r>
    </w:p>
    <w:p w14:paraId="78901ED7" w14:textId="77777777" w:rsidR="002308ED" w:rsidRPr="002308ED" w:rsidRDefault="002308ED" w:rsidP="002308ED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8636" w:type="dxa"/>
        <w:tblInd w:w="426" w:type="dxa"/>
        <w:tblLook w:val="04A0" w:firstRow="1" w:lastRow="0" w:firstColumn="1" w:lastColumn="0" w:noHBand="0" w:noVBand="1"/>
      </w:tblPr>
      <w:tblGrid>
        <w:gridCol w:w="3538"/>
        <w:gridCol w:w="1843"/>
        <w:gridCol w:w="1559"/>
        <w:gridCol w:w="1696"/>
      </w:tblGrid>
      <w:tr w:rsidR="00D07690" w:rsidRPr="00ED5D7B" w14:paraId="19832471" w14:textId="77777777" w:rsidTr="0090459C">
        <w:tc>
          <w:tcPr>
            <w:tcW w:w="3538" w:type="dxa"/>
          </w:tcPr>
          <w:p w14:paraId="143F4A01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06B219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Cena v Kč bez DPH</w:t>
            </w:r>
          </w:p>
        </w:tc>
        <w:tc>
          <w:tcPr>
            <w:tcW w:w="1559" w:type="dxa"/>
          </w:tcPr>
          <w:p w14:paraId="2AEB4997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Výše  DPH v Kč</w:t>
            </w:r>
          </w:p>
        </w:tc>
        <w:tc>
          <w:tcPr>
            <w:tcW w:w="1696" w:type="dxa"/>
          </w:tcPr>
          <w:p w14:paraId="1F72FDE6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Cena v Kč s DPH</w:t>
            </w:r>
          </w:p>
        </w:tc>
      </w:tr>
      <w:tr w:rsidR="00D07690" w:rsidRPr="00ED5D7B" w14:paraId="53569D12" w14:textId="77777777" w:rsidTr="0090459C">
        <w:tc>
          <w:tcPr>
            <w:tcW w:w="3538" w:type="dxa"/>
          </w:tcPr>
          <w:p w14:paraId="5719CC41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Tisk publikace „Zámek Uherčice“, náklad 1000 kusů</w:t>
            </w:r>
          </w:p>
        </w:tc>
        <w:tc>
          <w:tcPr>
            <w:tcW w:w="1843" w:type="dxa"/>
          </w:tcPr>
          <w:p w14:paraId="13BDC537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87.210,- Kč</w:t>
            </w:r>
          </w:p>
        </w:tc>
        <w:tc>
          <w:tcPr>
            <w:tcW w:w="1559" w:type="dxa"/>
          </w:tcPr>
          <w:p w14:paraId="72437C29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0,- Kč</w:t>
            </w:r>
          </w:p>
        </w:tc>
        <w:tc>
          <w:tcPr>
            <w:tcW w:w="1696" w:type="dxa"/>
          </w:tcPr>
          <w:p w14:paraId="21FF1F0B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87.210,- Kč</w:t>
            </w:r>
          </w:p>
        </w:tc>
      </w:tr>
      <w:tr w:rsidR="00D07690" w:rsidRPr="00ED5D7B" w14:paraId="75E3C446" w14:textId="77777777" w:rsidTr="0090459C">
        <w:tc>
          <w:tcPr>
            <w:tcW w:w="3538" w:type="dxa"/>
          </w:tcPr>
          <w:p w14:paraId="3CD49E98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Nátisky 5 x A3</w:t>
            </w:r>
          </w:p>
        </w:tc>
        <w:tc>
          <w:tcPr>
            <w:tcW w:w="1843" w:type="dxa"/>
          </w:tcPr>
          <w:p w14:paraId="43D50C01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2.500,- Kč</w:t>
            </w:r>
          </w:p>
        </w:tc>
        <w:tc>
          <w:tcPr>
            <w:tcW w:w="1559" w:type="dxa"/>
          </w:tcPr>
          <w:p w14:paraId="5F3A5395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0,- Kč</w:t>
            </w:r>
          </w:p>
        </w:tc>
        <w:tc>
          <w:tcPr>
            <w:tcW w:w="1696" w:type="dxa"/>
          </w:tcPr>
          <w:p w14:paraId="5BA5776F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2.500,- Kč</w:t>
            </w:r>
          </w:p>
        </w:tc>
      </w:tr>
      <w:tr w:rsidR="00D07690" w:rsidRPr="00ED5D7B" w14:paraId="656F6BB7" w14:textId="77777777" w:rsidTr="0090459C">
        <w:tc>
          <w:tcPr>
            <w:tcW w:w="3538" w:type="dxa"/>
          </w:tcPr>
          <w:p w14:paraId="3DEDA14C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 xml:space="preserve">Doprava Státní zámek Uherčice </w:t>
            </w:r>
          </w:p>
        </w:tc>
        <w:tc>
          <w:tcPr>
            <w:tcW w:w="1843" w:type="dxa"/>
          </w:tcPr>
          <w:p w14:paraId="6051C1CA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1.900,- Kč</w:t>
            </w:r>
          </w:p>
        </w:tc>
        <w:tc>
          <w:tcPr>
            <w:tcW w:w="1559" w:type="dxa"/>
          </w:tcPr>
          <w:p w14:paraId="3B8452C7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0,- Kč</w:t>
            </w:r>
          </w:p>
        </w:tc>
        <w:tc>
          <w:tcPr>
            <w:tcW w:w="1696" w:type="dxa"/>
          </w:tcPr>
          <w:p w14:paraId="5E686173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1.900,- Kč</w:t>
            </w:r>
          </w:p>
        </w:tc>
      </w:tr>
      <w:tr w:rsidR="00D07690" w:rsidRPr="00ED5D7B" w14:paraId="094D06F0" w14:textId="77777777" w:rsidTr="0090459C">
        <w:tc>
          <w:tcPr>
            <w:tcW w:w="3538" w:type="dxa"/>
          </w:tcPr>
          <w:p w14:paraId="7E843DBE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  <w:tc>
          <w:tcPr>
            <w:tcW w:w="1843" w:type="dxa"/>
          </w:tcPr>
          <w:p w14:paraId="3241A24D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b/>
                <w:sz w:val="22"/>
                <w:szCs w:val="22"/>
              </w:rPr>
              <w:t>91.610,-</w:t>
            </w:r>
          </w:p>
        </w:tc>
        <w:tc>
          <w:tcPr>
            <w:tcW w:w="1559" w:type="dxa"/>
          </w:tcPr>
          <w:p w14:paraId="1AFC3C9E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14:paraId="59AE284D" w14:textId="77777777" w:rsidR="00D07690" w:rsidRPr="00ED5D7B" w:rsidRDefault="00D07690" w:rsidP="00D076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D7B">
              <w:rPr>
                <w:rFonts w:asciiTheme="minorHAnsi" w:hAnsiTheme="minorHAnsi" w:cstheme="minorHAnsi"/>
                <w:b/>
                <w:sz w:val="22"/>
                <w:szCs w:val="22"/>
              </w:rPr>
              <w:t>91.610,-</w:t>
            </w:r>
          </w:p>
        </w:tc>
      </w:tr>
    </w:tbl>
    <w:p w14:paraId="6B0FED6B" w14:textId="77777777" w:rsidR="00D07690" w:rsidRPr="00ED5D7B" w:rsidRDefault="00D07690" w:rsidP="00D07690">
      <w:pPr>
        <w:pStyle w:val="Odstavecseseznamem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D13FF9B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  <w:b/>
        </w:rPr>
      </w:pPr>
    </w:p>
    <w:p w14:paraId="6341C023" w14:textId="77777777" w:rsidR="00D07690" w:rsidRPr="00ED5D7B" w:rsidRDefault="00D07690" w:rsidP="00D07690">
      <w:pPr>
        <w:pStyle w:val="Odstavecseseznamem"/>
        <w:numPr>
          <w:ilvl w:val="0"/>
          <w:numId w:val="15"/>
        </w:numPr>
        <w:spacing w:after="0" w:line="240" w:lineRule="auto"/>
        <w:ind w:left="284" w:hanging="426"/>
        <w:contextualSpacing w:val="0"/>
        <w:jc w:val="both"/>
        <w:rPr>
          <w:rFonts w:asciiTheme="minorHAnsi" w:hAnsiTheme="minorHAnsi" w:cstheme="minorHAnsi"/>
          <w:b/>
        </w:rPr>
      </w:pPr>
      <w:r w:rsidRPr="00ED5D7B">
        <w:rPr>
          <w:rFonts w:asciiTheme="minorHAnsi" w:hAnsiTheme="minorHAnsi" w:cstheme="minorHAnsi"/>
        </w:rPr>
        <w:t>Všechna ostatní smluvní ujednání zůstávají beze změny v platnosti.</w:t>
      </w:r>
    </w:p>
    <w:p w14:paraId="6C74EEF4" w14:textId="77777777" w:rsidR="00D07690" w:rsidRPr="00ED5D7B" w:rsidRDefault="00D07690" w:rsidP="00D0769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D000A97" w14:textId="77777777" w:rsidR="00D07690" w:rsidRPr="00ED5D7B" w:rsidRDefault="00D07690" w:rsidP="00D07690">
      <w:pPr>
        <w:numPr>
          <w:ilvl w:val="0"/>
          <w:numId w:val="20"/>
        </w:num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D5D7B">
        <w:rPr>
          <w:rFonts w:asciiTheme="minorHAnsi" w:hAnsiTheme="minorHAnsi" w:cstheme="minorHAnsi"/>
          <w:b/>
        </w:rPr>
        <w:t>Závěrečná  ustanovení</w:t>
      </w:r>
    </w:p>
    <w:p w14:paraId="65A317BF" w14:textId="77777777" w:rsidR="00D07690" w:rsidRPr="00ED5D7B" w:rsidRDefault="00D07690" w:rsidP="00D0769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CD2F2DF" w14:textId="77777777" w:rsidR="00D07690" w:rsidRPr="00ED5D7B" w:rsidRDefault="00D07690" w:rsidP="00D07690">
      <w:pPr>
        <w:pStyle w:val="Odstavecseseznamem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 xml:space="preserve">Tento dodatek byl sepsán ve dvou vyhotoveních. Každá ze smluvních stran obdržela po jednom totožném vyhotovení. </w:t>
      </w:r>
    </w:p>
    <w:p w14:paraId="03BC31DA" w14:textId="77777777" w:rsidR="00D07690" w:rsidRPr="00ED5D7B" w:rsidRDefault="00D07690" w:rsidP="00D07690">
      <w:pPr>
        <w:pStyle w:val="Odstavecseseznamem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  <w:color w:val="000000"/>
        </w:rPr>
        <w:t xml:space="preserve">Tento dodatek nabývá platnosti a účinnosti dnem podpisu oběma smluvními stranami. Pokud tento dodatek podléhá povinnosti uveřejnění </w:t>
      </w:r>
      <w:r w:rsidRPr="00ED5D7B">
        <w:rPr>
          <w:rFonts w:asciiTheme="minorHAnsi" w:hAnsiTheme="minorHAnsi" w:cstheme="minorHAns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ED5D7B">
        <w:rPr>
          <w:rFonts w:asciiTheme="minorHAnsi" w:hAnsiTheme="minorHAnsi" w:cstheme="minorHAnsi"/>
          <w:color w:val="000000"/>
        </w:rPr>
        <w:t>, nabude účinnosti dnem uveřejnění a jeho uveřejnění zajistí objednatel.</w:t>
      </w:r>
      <w:r w:rsidRPr="00ED5D7B">
        <w:rPr>
          <w:rFonts w:asciiTheme="minorHAnsi" w:hAnsiTheme="minorHAnsi" w:cstheme="minorHAnsi"/>
        </w:rPr>
        <w:t xml:space="preserve"> Smluvní strany berou na vědomí, že tento dodatek může být předmětem zveřejnění i dle jiných právních předpisů.</w:t>
      </w:r>
    </w:p>
    <w:p w14:paraId="65D12DB1" w14:textId="77777777" w:rsidR="00D07690" w:rsidRPr="00ED5D7B" w:rsidRDefault="00D07690" w:rsidP="00D07690">
      <w:pPr>
        <w:pStyle w:val="Odstavecseseznamem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4D2D3AB" w14:textId="77777777" w:rsidR="00D07690" w:rsidRPr="00ED5D7B" w:rsidRDefault="00D07690" w:rsidP="00D07690">
      <w:pPr>
        <w:pStyle w:val="Odstavecseseznamem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>Smluvní strany prohlašují, že tento dodatek uzavřely podle své pravé a svobodné vůle prosté omylů, nikoliv v tísni. Znění dodatku je pro obě smluvní strany určité a srozumitelné.</w:t>
      </w:r>
    </w:p>
    <w:p w14:paraId="470EFDF8" w14:textId="77777777" w:rsidR="00D07690" w:rsidRPr="00ED5D7B" w:rsidRDefault="00D07690" w:rsidP="00D076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31EB70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0721E116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</w:rPr>
      </w:pPr>
      <w:r w:rsidRPr="00ED5D7B">
        <w:rPr>
          <w:rFonts w:asciiTheme="minorHAnsi" w:hAnsiTheme="minorHAnsi" w:cstheme="minorHAnsi"/>
        </w:rPr>
        <w:t xml:space="preserve"> </w:t>
      </w:r>
    </w:p>
    <w:p w14:paraId="39C4C1B7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2050"/>
        <w:gridCol w:w="3511"/>
      </w:tblGrid>
      <w:tr w:rsidR="00D07690" w:rsidRPr="00ED5D7B" w14:paraId="42C2206A" w14:textId="77777777" w:rsidTr="0090459C">
        <w:trPr>
          <w:jc w:val="center"/>
        </w:trPr>
        <w:tc>
          <w:tcPr>
            <w:tcW w:w="3511" w:type="dxa"/>
          </w:tcPr>
          <w:p w14:paraId="4C485036" w14:textId="77777777" w:rsidR="00D07690" w:rsidRPr="00ED5D7B" w:rsidRDefault="00D07690" w:rsidP="00D076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 xml:space="preserve">V Kroměříži dne </w:t>
            </w:r>
            <w:r>
              <w:rPr>
                <w:rFonts w:asciiTheme="minorHAnsi" w:hAnsiTheme="minorHAnsi" w:cstheme="minorHAnsi"/>
              </w:rPr>
              <w:t>12. 11. 2025</w:t>
            </w:r>
          </w:p>
          <w:p w14:paraId="0D3A1371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8089824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CC1587F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06CDB8D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B2F7AC6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785F3DE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E961BD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2C57848D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 xml:space="preserve">Ing. Petr Šubík </w:t>
            </w:r>
          </w:p>
          <w:p w14:paraId="3484D67C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>objednatel</w:t>
            </w:r>
          </w:p>
        </w:tc>
        <w:tc>
          <w:tcPr>
            <w:tcW w:w="2050" w:type="dxa"/>
          </w:tcPr>
          <w:p w14:paraId="672534E7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 xml:space="preserve">            </w:t>
            </w:r>
          </w:p>
        </w:tc>
        <w:tc>
          <w:tcPr>
            <w:tcW w:w="3511" w:type="dxa"/>
          </w:tcPr>
          <w:p w14:paraId="196B644D" w14:textId="77777777" w:rsidR="00D07690" w:rsidRPr="00ED5D7B" w:rsidRDefault="00D07690" w:rsidP="00D076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F3A468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8F6F9BA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5D74D81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FC52E26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A882AF1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4E42FCC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0A938D" w14:textId="77777777" w:rsidR="00D07690" w:rsidRPr="00ED5D7B" w:rsidRDefault="00D07690" w:rsidP="00D076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3DCB7E89" w14:textId="77777777" w:rsidR="00D07690" w:rsidRPr="00ED5D7B" w:rsidRDefault="00D07690" w:rsidP="00D07690">
            <w:pPr>
              <w:spacing w:after="0" w:line="240" w:lineRule="auto"/>
              <w:ind w:firstLine="708"/>
              <w:rPr>
                <w:rFonts w:asciiTheme="minorHAnsi" w:hAnsiTheme="minorHAnsi" w:cstheme="minorHAnsi"/>
              </w:rPr>
            </w:pPr>
            <w:r w:rsidRPr="00ED5D7B">
              <w:rPr>
                <w:rFonts w:asciiTheme="minorHAnsi" w:hAnsiTheme="minorHAnsi" w:cstheme="minorHAnsi"/>
              </w:rPr>
              <w:t xml:space="preserve">           zhotovitel</w:t>
            </w:r>
          </w:p>
        </w:tc>
      </w:tr>
    </w:tbl>
    <w:p w14:paraId="2C6269C3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56801CDA" w14:textId="77777777" w:rsidR="00D07690" w:rsidRPr="00ED5D7B" w:rsidRDefault="00D07690" w:rsidP="00D07690">
      <w:pPr>
        <w:spacing w:after="0" w:line="240" w:lineRule="auto"/>
        <w:rPr>
          <w:rFonts w:asciiTheme="minorHAnsi" w:hAnsiTheme="minorHAnsi" w:cstheme="minorHAnsi"/>
        </w:rPr>
      </w:pPr>
    </w:p>
    <w:p w14:paraId="79E12D89" w14:textId="77777777" w:rsidR="00D07690" w:rsidRPr="00D07690" w:rsidRDefault="00D07690" w:rsidP="00D07690">
      <w:pPr>
        <w:spacing w:after="0" w:line="240" w:lineRule="auto"/>
      </w:pPr>
    </w:p>
    <w:sectPr w:rsidR="00D07690" w:rsidRPr="00D07690" w:rsidSect="00D355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E8D2" w14:textId="77777777" w:rsidR="00560E9A" w:rsidRDefault="00560E9A" w:rsidP="007F0778">
      <w:pPr>
        <w:spacing w:after="0" w:line="240" w:lineRule="auto"/>
      </w:pPr>
      <w:r>
        <w:separator/>
      </w:r>
    </w:p>
  </w:endnote>
  <w:endnote w:type="continuationSeparator" w:id="0">
    <w:p w14:paraId="678D088A" w14:textId="77777777" w:rsidR="00560E9A" w:rsidRDefault="00560E9A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175377"/>
      <w:docPartObj>
        <w:docPartGallery w:val="Page Numbers (Bottom of Page)"/>
        <w:docPartUnique/>
      </w:docPartObj>
    </w:sdtPr>
    <w:sdtEndPr/>
    <w:sdtContent>
      <w:p w14:paraId="4BEEF438" w14:textId="2DD7F5B6" w:rsidR="00A00F7B" w:rsidRDefault="00A00F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77">
          <w:rPr>
            <w:noProof/>
          </w:rPr>
          <w:t>1</w:t>
        </w:r>
        <w:r>
          <w:fldChar w:fldCharType="end"/>
        </w:r>
      </w:p>
    </w:sdtContent>
  </w:sdt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10F9E" w14:textId="77777777" w:rsidR="00560E9A" w:rsidRDefault="00560E9A" w:rsidP="007F0778">
      <w:pPr>
        <w:spacing w:after="0" w:line="240" w:lineRule="auto"/>
      </w:pPr>
      <w:r>
        <w:separator/>
      </w:r>
    </w:p>
  </w:footnote>
  <w:footnote w:type="continuationSeparator" w:id="0">
    <w:p w14:paraId="4EB9868A" w14:textId="77777777" w:rsidR="00560E9A" w:rsidRDefault="00560E9A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F65D4" w14:textId="237BCA4A" w:rsidR="00A00F7B" w:rsidRDefault="00A00F7B">
    <w:pPr>
      <w:pStyle w:val="Zhlav"/>
    </w:pPr>
    <w:r>
      <w:rPr>
        <w:noProof/>
        <w:lang w:eastAsia="cs-CZ"/>
      </w:rPr>
      <w:drawing>
        <wp:inline distT="0" distB="0" distL="0" distR="0" wp14:anchorId="483D501F" wp14:editId="73378D99">
          <wp:extent cx="1771650" cy="485775"/>
          <wp:effectExtent l="0" t="0" r="0" b="0"/>
          <wp:docPr id="5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  <w:t>č. NPÚ – 450/</w:t>
    </w:r>
    <w:r w:rsidR="002308ED">
      <w:t>100723</w:t>
    </w:r>
    <w:r>
      <w:t>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C7388"/>
    <w:multiLevelType w:val="hybridMultilevel"/>
    <w:tmpl w:val="2D7E90E0"/>
    <w:lvl w:ilvl="0" w:tplc="2AC40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47F9"/>
    <w:multiLevelType w:val="hybridMultilevel"/>
    <w:tmpl w:val="CF12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2018"/>
    <w:multiLevelType w:val="hybridMultilevel"/>
    <w:tmpl w:val="0694A6D2"/>
    <w:lvl w:ilvl="0" w:tplc="74A2CA4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B6541"/>
    <w:multiLevelType w:val="hybridMultilevel"/>
    <w:tmpl w:val="4DAE9794"/>
    <w:lvl w:ilvl="0" w:tplc="D1CE59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D74B3"/>
    <w:multiLevelType w:val="hybridMultilevel"/>
    <w:tmpl w:val="6A629EB4"/>
    <w:lvl w:ilvl="0" w:tplc="DFA427C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8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5"/>
  </w:num>
  <w:num w:numId="15">
    <w:abstractNumId w:val="17"/>
  </w:num>
  <w:num w:numId="16">
    <w:abstractNumId w:val="1"/>
  </w:num>
  <w:num w:numId="17">
    <w:abstractNumId w:val="10"/>
  </w:num>
  <w:num w:numId="18">
    <w:abstractNumId w:val="12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D"/>
    <w:rsid w:val="00000231"/>
    <w:rsid w:val="00077614"/>
    <w:rsid w:val="000F3A12"/>
    <w:rsid w:val="00132075"/>
    <w:rsid w:val="00207957"/>
    <w:rsid w:val="002308ED"/>
    <w:rsid w:val="00294932"/>
    <w:rsid w:val="002A62CF"/>
    <w:rsid w:val="00372E88"/>
    <w:rsid w:val="003965E6"/>
    <w:rsid w:val="003D7F39"/>
    <w:rsid w:val="00441F60"/>
    <w:rsid w:val="0045746D"/>
    <w:rsid w:val="004A2309"/>
    <w:rsid w:val="004C0FCF"/>
    <w:rsid w:val="004F178F"/>
    <w:rsid w:val="004F3FB3"/>
    <w:rsid w:val="00513A72"/>
    <w:rsid w:val="00524334"/>
    <w:rsid w:val="00560E9A"/>
    <w:rsid w:val="00695B37"/>
    <w:rsid w:val="0071054B"/>
    <w:rsid w:val="00780E77"/>
    <w:rsid w:val="007A1F66"/>
    <w:rsid w:val="007D42E2"/>
    <w:rsid w:val="007F0778"/>
    <w:rsid w:val="00A00F7B"/>
    <w:rsid w:val="00A1715F"/>
    <w:rsid w:val="00A17584"/>
    <w:rsid w:val="00AB680E"/>
    <w:rsid w:val="00B66C23"/>
    <w:rsid w:val="00B92F89"/>
    <w:rsid w:val="00C16AD1"/>
    <w:rsid w:val="00C463C7"/>
    <w:rsid w:val="00CC2AD7"/>
    <w:rsid w:val="00CF43DB"/>
    <w:rsid w:val="00D07690"/>
    <w:rsid w:val="00D3553B"/>
    <w:rsid w:val="00DD701E"/>
    <w:rsid w:val="00DF01A2"/>
    <w:rsid w:val="00E11B08"/>
    <w:rsid w:val="00E13B16"/>
    <w:rsid w:val="00E63FAB"/>
    <w:rsid w:val="00E64D65"/>
    <w:rsid w:val="00EB5CA4"/>
    <w:rsid w:val="00F000FD"/>
    <w:rsid w:val="00FB1C95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1054B"/>
    <w:pPr>
      <w:keepNext/>
      <w:keepLines/>
      <w:spacing w:before="240" w:after="240" w:line="240" w:lineRule="auto"/>
      <w:ind w:left="284" w:hanging="284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A00F7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character" w:customStyle="1" w:styleId="Nadpis1Char">
    <w:name w:val="Nadpis 1 Char"/>
    <w:basedOn w:val="Standardnpsmoodstavce"/>
    <w:link w:val="Nadpis1"/>
    <w:uiPriority w:val="9"/>
    <w:rsid w:val="0071054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71054B"/>
    <w:pPr>
      <w:spacing w:after="120" w:line="240" w:lineRule="auto"/>
      <w:ind w:left="851" w:hanging="284"/>
      <w:contextualSpacing/>
      <w:jc w:val="both"/>
    </w:pPr>
    <w:rPr>
      <w:rFonts w:ascii="Times New Roman" w:eastAsia="Calibri" w:hAnsi="Times New Roman"/>
      <w:sz w:val="24"/>
    </w:rPr>
  </w:style>
  <w:style w:type="character" w:customStyle="1" w:styleId="object">
    <w:name w:val="object"/>
    <w:rsid w:val="0071054B"/>
  </w:style>
  <w:style w:type="character" w:customStyle="1" w:styleId="ListLabel4">
    <w:name w:val="ListLabel 4"/>
    <w:rsid w:val="00524334"/>
    <w:rPr>
      <w:b w:val="0"/>
    </w:rPr>
  </w:style>
  <w:style w:type="paragraph" w:customStyle="1" w:styleId="Normln0">
    <w:name w:val="Normální~"/>
    <w:basedOn w:val="Normln"/>
    <w:rsid w:val="00D07690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cs-CZ"/>
    </w:rPr>
  </w:style>
  <w:style w:type="paragraph" w:styleId="Nzev">
    <w:name w:val="Title"/>
    <w:basedOn w:val="Normln"/>
    <w:next w:val="Podtitul"/>
    <w:link w:val="NzevChar"/>
    <w:uiPriority w:val="99"/>
    <w:qFormat/>
    <w:rsid w:val="00D07690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zh-CN"/>
    </w:rPr>
  </w:style>
  <w:style w:type="character" w:customStyle="1" w:styleId="NzevChar">
    <w:name w:val="Název Char"/>
    <w:basedOn w:val="Standardnpsmoodstavce"/>
    <w:link w:val="Nzev"/>
    <w:uiPriority w:val="99"/>
    <w:rsid w:val="00D0769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Zkladntext21">
    <w:name w:val="Základní text 21"/>
    <w:basedOn w:val="Normln"/>
    <w:uiPriority w:val="99"/>
    <w:rsid w:val="00D07690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rsid w:val="00D07690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0769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rsid w:val="00D0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D076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D0769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Bc. Jindřiška Suchánková</cp:lastModifiedBy>
  <cp:revision>2</cp:revision>
  <cp:lastPrinted>2025-03-05T13:09:00Z</cp:lastPrinted>
  <dcterms:created xsi:type="dcterms:W3CDTF">2025-11-13T09:05:00Z</dcterms:created>
  <dcterms:modified xsi:type="dcterms:W3CDTF">2025-11-13T09:05:00Z</dcterms:modified>
</cp:coreProperties>
</file>