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1163320</wp:posOffset>
            </wp:positionH>
            <wp:positionV relativeFrom="paragraph">
              <wp:posOffset>40005</wp:posOffset>
            </wp:positionV>
            <wp:extent cx="1889760" cy="56705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89760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25400" distR="25400" simplePos="0" relativeHeight="125829379" behindDoc="0" locked="0" layoutInCell="1" allowOverlap="1">
            <wp:simplePos x="0" y="0"/>
            <wp:positionH relativeFrom="page">
              <wp:posOffset>4446905</wp:posOffset>
            </wp:positionH>
            <wp:positionV relativeFrom="paragraph">
              <wp:posOffset>14605</wp:posOffset>
            </wp:positionV>
            <wp:extent cx="652145" cy="54229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52145" cy="5422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5137150</wp:posOffset>
                </wp:positionH>
                <wp:positionV relativeFrom="paragraph">
                  <wp:posOffset>69215</wp:posOffset>
                </wp:positionV>
                <wp:extent cx="1271270" cy="41719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4171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31675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NÁRODNÍ PLÁN OBNOVY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04.5pt;margin-top:5.4500000000000002pt;width:100.09999999999999pt;height:32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31675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NÁRODNÍ PLÁN OBNOVY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75" w:left="4902" w:right="5056" w:bottom="2903" w:header="547" w:footer="2475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A489B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Financováno Evropskou unií </w:t>
      </w:r>
      <w:r>
        <w:rPr>
          <w:color w:val="606060"/>
          <w:spacing w:val="0"/>
          <w:w w:val="100"/>
          <w:position w:val="0"/>
          <w:shd w:val="clear" w:color="auto" w:fill="auto"/>
          <w:lang w:val="cs-CZ" w:eastAsia="cs-CZ" w:bidi="cs-CZ"/>
        </w:rPr>
        <w:t>NextGenerationEU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87" w:left="0" w:right="0" w:bottom="17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spisu: S/10494/SOPK/25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jednací: 20722/SOPK/25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586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akce: 0065/16/25 Číslo ISPROFIN: 115V342003878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dílo č. j. 10494/SOPK/25 ze dne 18.06.2025</w:t>
        <w:br/>
        <w:t>(dále jen „Smlouva o dílo“)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sz w:val="20"/>
          <w:szCs w:val="20"/>
        </w:rPr>
      </w:pPr>
      <w:bookmarkStart w:id="0" w:name="bookmark0"/>
      <w:bookmarkStart w:id="1" w:name="bookmark1"/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I.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Smluvní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strany</w:t>
      </w:r>
      <w:bookmarkEnd w:id="0"/>
      <w:bookmarkEnd w:id="1"/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40" w:val="left"/>
        </w:tabs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republika - Agentura ochrany přírody a krajiny České republiky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Kaplanova 1931/1, 148 00 Praha 11 - Chodov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ČNB Praha, Číslo účtu: 18228011/0710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629 335 91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neplátce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RNDr. František Pelc, ředitel AOPK ČR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této smlouvy osoba zmocněná k jednání s objednatelem: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RNDr. Kateřina Kujanová, Ph.D.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Kateřina Šindelářová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Pavel Trnka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nichž každá je oprávněná jednat samostatně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„objednatel”)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40" w:val="left"/>
        </w:tabs>
        <w:bidi w:val="0"/>
        <w:spacing w:before="0" w:after="30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NDCON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Zlatnická 10/1582, 110 00 Praha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Ing. Robertem Michkem, jednatelem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69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  <w:tab/>
        <w:t>,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zapsaný v obchodním rejstříku vedeným Městským soudem v Praze, sp.zn. C42028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této smlouvy osoba zmocněná k jednání s objednatelem: Ing. Robert Michek, 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„zhotovitel”)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9" w:val="left"/>
        </w:tabs>
        <w:bidi w:val="0"/>
        <w:spacing w:before="0" w:after="80" w:line="240" w:lineRule="auto"/>
        <w:ind w:left="360" w:right="0" w:hanging="360"/>
        <w:jc w:val="both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průběhu realizace akce „Revitalizace Robečského potoka mezi Máchovým jezerem a Novozámeckým rybníkem“ bylo zajištění geodetického zaměření výrazně časově náročnější, než původně obě smluvní strany předpokládaly, koryto vodního toku Robečského potoka i přilehlá niva byly výrazně zarostlé vegetací. Geodetické zaměření lokality a stávajícího vodního toku je nezbytným podkladem pro návrh (koncept) řešení. Z tohoto důvodu došlo k časovému posunu dalšího průběhu prací v části a).</w:t>
      </w:r>
      <w:bookmarkEnd w:id="8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60"/>
        <w:jc w:val="both"/>
      </w:pPr>
      <w:bookmarkStart w:id="10" w:name="bookmark10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uvedených důvodu se upravuje harmonogram prací.</w:t>
      </w:r>
      <w:bookmarkEnd w:id="10"/>
      <w:bookmarkEnd w:id="9"/>
    </w:p>
    <w:p>
      <w:pPr>
        <w:pStyle w:val="Style10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89" w:val="left"/>
        </w:tabs>
        <w:bidi w:val="0"/>
        <w:spacing w:before="0" w:line="240" w:lineRule="auto"/>
        <w:ind w:right="0"/>
        <w:jc w:val="both"/>
      </w:pPr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Doba a místo plnění, bod 3.1 Smlouvy o dílo se v částí a) nahrazuje následujícím zněním:</w:t>
      </w:r>
      <w:bookmarkEnd w:id="11"/>
      <w:bookmarkEnd w:id="12"/>
    </w:p>
    <w:p>
      <w:pPr>
        <w:pStyle w:val="Style10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79" w:val="left"/>
        </w:tabs>
        <w:bidi w:val="0"/>
        <w:spacing w:before="0" w:after="460" w:line="240" w:lineRule="auto"/>
        <w:ind w:left="0" w:right="0" w:firstLine="0"/>
        <w:jc w:val="both"/>
      </w:pPr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geodetické zaměření a vypracování návrhu díla - termín do 27. 10. 2025.</w:t>
      </w:r>
      <w:bookmarkEnd w:id="13"/>
      <w:bookmarkEnd w:id="14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15" w:name="bookmark15"/>
      <w:bookmarkStart w:id="16" w:name="bookmark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  <w:bookmarkEnd w:id="15"/>
      <w:bookmarkEnd w:id="16"/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46" w:val="left"/>
        </w:tabs>
        <w:bidi w:val="0"/>
        <w:spacing w:before="0" w:line="240" w:lineRule="auto"/>
        <w:ind w:left="0" w:right="0" w:firstLine="0"/>
        <w:jc w:val="both"/>
      </w:pPr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o dílo zůstávají beze změny.</w:t>
      </w:r>
      <w:bookmarkEnd w:id="17"/>
      <w:bookmarkEnd w:id="18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70" w:val="left"/>
        </w:tabs>
        <w:bidi w:val="0"/>
        <w:spacing w:before="0" w:after="80" w:line="240" w:lineRule="auto"/>
        <w:ind w:left="360" w:right="0" w:hanging="360"/>
        <w:jc w:val="both"/>
      </w:pPr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bere na vědomí, že tento Dodatek může podléhat povinnosti jeho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  <w:bookmarkEnd w:id="19"/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74" w:val="left"/>
        </w:tabs>
        <w:bidi w:val="0"/>
        <w:spacing w:before="0" w:line="240" w:lineRule="auto"/>
        <w:ind w:right="0"/>
        <w:jc w:val="both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uzavřen v souladu s ustanovením § 222 odst. 6 zákona č. 134/2016 Sb., o zadávání veřejných zakázek, v platném znění (dále jen „ZZVZ“), kdy se jedná o změnu, která nastala v důsledku okolností, které nemohl objednatel předvídat, a nejedná se tedy o podstatnou změnu závazku ze smlouvy dle § 222 odst. 3 ZZVZ.</w:t>
      </w:r>
      <w:bookmarkEnd w:id="20"/>
      <w:bookmarkEnd w:id="21"/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79" w:val="left"/>
        </w:tabs>
        <w:bidi w:val="0"/>
        <w:spacing w:before="0" w:line="240" w:lineRule="auto"/>
        <w:ind w:right="0"/>
        <w:jc w:val="both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podpisu oprávněným zástupcem poslední smluvní strany.</w:t>
      </w:r>
      <w:bookmarkEnd w:id="22"/>
      <w:bookmarkEnd w:id="23"/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79" w:val="left"/>
        </w:tabs>
        <w:bidi w:val="0"/>
        <w:spacing w:before="0" w:line="240" w:lineRule="auto"/>
        <w:ind w:left="0" w:right="0" w:firstLine="0"/>
        <w:jc w:val="both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 elektronickém originále.</w:t>
      </w:r>
      <w:bookmarkEnd w:id="24"/>
      <w:bookmarkEnd w:id="25"/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79" w:val="left"/>
        </w:tabs>
        <w:bidi w:val="0"/>
        <w:spacing w:before="0" w:after="460" w:line="240" w:lineRule="auto"/>
        <w:ind w:right="0"/>
        <w:jc w:val="both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účinnosti dnem jeho uveřejnění prostřednictvím registru smluv podle zákona o registru smluv. Smluvní strany se budou vzájemně o nabytí účinnosti Dodatku neprodleně informovat.</w:t>
      </w:r>
      <w:bookmarkEnd w:id="26"/>
      <w:bookmarkEnd w:id="27"/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328" w:val="left"/>
          <w:tab w:leader="dot" w:pos="7853" w:val="left"/>
        </w:tabs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87" w:left="1260" w:right="1330" w:bottom="1750" w:header="759" w:footer="1322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</w:t>
        <w:tab/>
        <w:t xml:space="preserve"> V Praze dne</w:t>
        <w:tab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8" w:left="0" w:right="0" w:bottom="13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RNDr. František Pelc</w:t>
        <w:br/>
        <w:t>ředitel AOPK ČR</w:t>
        <w:br/>
        <w:t>(objednatel)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98" w:left="2189" w:right="2247" w:bottom="1398" w:header="0" w:footer="3" w:gutter="0"/>
          <w:cols w:num="2" w:space="293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Robert Michek</w:t>
        <w:br/>
        <w:t>jednatel NDCON s.r.o.</w:t>
        <w:br/>
        <w:t>(zhotovitel)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98" w:left="2189" w:right="2247" w:bottom="1398" w:header="0" w:footer="3" w:gutter="0"/>
      <w:cols w:num="2" w:space="2933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Nadpis #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3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spacing w:after="80"/>
      <w:ind w:left="360" w:hanging="3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Miloš Nagy</dc:creator>
  <cp:keywords/>
</cp:coreProperties>
</file>