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OBJ41EPMO - 49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9991625029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Ministr Systems,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5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Pod Hrází 91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530 02  Spojil - Pardubice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6pt;margin-top:22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01863045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 018 63 045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29.10.2025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116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116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Přenosný bezdrátový el.hlasovací systém  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PZK :                   9000000576</w:t>
      </w:r>
    </w:p>
    <w:p>
      <w:pPr>
        <w:pStyle w:val="Row18"/>
      </w:pPr>
      <w:r>
        <w:tab/>
      </w:r>
      <w:r>
        <w:rPr>
          <w:rStyle w:val="Text3"/>
        </w:rPr>
        <w:t xml:space="preserve">středisko:            909916 </w:t>
      </w:r>
    </w:p>
    <w:p>
      <w:pPr>
        <w:pStyle w:val="Row18"/>
      </w:pPr>
      <w:r>
        <w:tab/>
      </w:r>
      <w:r>
        <w:rPr>
          <w:rStyle w:val="Text3"/>
        </w:rPr>
        <w:t xml:space="preserve">zakázka:              31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Správce rozpočtu: Mgr. Martin Maňásek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Příkazce operace:   Ing. Karel Mozr, MBA</w:t>
      </w:r>
    </w:p>
    <w:p>
      <w:pPr>
        <w:pStyle w:val="Row19"/>
      </w:pPr>
      <w:r>
        <w:rPr>
          <w:noProof/>
          <w:lang w:val="cs-CZ" w:eastAsia="cs-CZ"/>
        </w:rPr>
        <w:pict>
          <v:rect id="_x0000_s71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Přenosný bezdrátový el.hlasovací systém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345 334.00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345 334.00</w:t>
      </w:r>
    </w:p>
    <w:p>
      <w:pPr>
        <w:pStyle w:val="Row21"/>
      </w:pP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345 334.00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2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5" w:bottom="245" w:right="245" w:top="245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2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9991625029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spacing w:lineRule="exact" w:line="4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2025-11-11T14:26:13Z</dcterms:created>
  <dcterms:modified xsi:type="dcterms:W3CDTF">2025-11-11T14:26:13Z</dcterms:modified>
  <cp:category/>
</cp:coreProperties>
</file>