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7F" w:rsidRDefault="006118AC">
      <w:pPr>
        <w:pStyle w:val="Zkladntext1"/>
        <w:framePr w:w="2995" w:h="288" w:wrap="none" w:hAnchor="page" w:x="4616" w:y="918"/>
        <w:spacing w:after="0" w:line="240" w:lineRule="auto"/>
      </w:pPr>
      <w:r>
        <w:rPr>
          <w:rStyle w:val="Zkladntext"/>
        </w:rPr>
        <w:t>RÁMCOVÁ KUPNÍ SMLOUVA</w:t>
      </w:r>
    </w:p>
    <w:p w:rsidR="0096637F" w:rsidRDefault="0096637F">
      <w:pPr>
        <w:pStyle w:val="Nadpis10"/>
        <w:keepNext/>
        <w:keepLines/>
        <w:framePr w:w="2429" w:h="754" w:wrap="none" w:hAnchor="page" w:x="8873" w:y="1"/>
      </w:pPr>
    </w:p>
    <w:p w:rsidR="0096637F" w:rsidRDefault="006118AC">
      <w:pPr>
        <w:pStyle w:val="Zkladntext20"/>
        <w:framePr w:w="931" w:h="197" w:wrap="none" w:hAnchor="page" w:x="9195" w:y="807"/>
        <w:rPr>
          <w:sz w:val="15"/>
          <w:szCs w:val="15"/>
        </w:rPr>
      </w:pPr>
      <w:r>
        <w:rPr>
          <w:rStyle w:val="Zkladntext2"/>
          <w:sz w:val="15"/>
          <w:szCs w:val="15"/>
        </w:rPr>
        <w:t>2025008757</w:t>
      </w:r>
    </w:p>
    <w:p w:rsidR="0096637F" w:rsidRDefault="0096637F">
      <w:pPr>
        <w:spacing w:line="360" w:lineRule="exact"/>
      </w:pPr>
    </w:p>
    <w:p w:rsidR="0096637F" w:rsidRDefault="0096637F">
      <w:pPr>
        <w:spacing w:line="360" w:lineRule="exact"/>
      </w:pPr>
    </w:p>
    <w:p w:rsidR="0096637F" w:rsidRDefault="0096637F">
      <w:pPr>
        <w:spacing w:after="484" w:line="1" w:lineRule="exact"/>
      </w:pPr>
    </w:p>
    <w:p w:rsidR="0096637F" w:rsidRDefault="0096637F">
      <w:pPr>
        <w:spacing w:line="1" w:lineRule="exact"/>
        <w:sectPr w:rsidR="0096637F">
          <w:footerReference w:type="even" r:id="rId7"/>
          <w:footerReference w:type="default" r:id="rId8"/>
          <w:footerReference w:type="first" r:id="rId9"/>
          <w:pgSz w:w="11900" w:h="16840"/>
          <w:pgMar w:top="344" w:right="599" w:bottom="1080" w:left="1408" w:header="0" w:footer="3" w:gutter="0"/>
          <w:pgNumType w:start="1"/>
          <w:cols w:space="720"/>
          <w:noEndnote/>
          <w:titlePg/>
          <w:docGrid w:linePitch="360"/>
        </w:sectPr>
      </w:pPr>
    </w:p>
    <w:p w:rsidR="0096637F" w:rsidRDefault="006118AC">
      <w:pPr>
        <w:pStyle w:val="Zkladntext1"/>
        <w:spacing w:after="460" w:line="276" w:lineRule="auto"/>
        <w:ind w:left="2620" w:hanging="1920"/>
      </w:pPr>
      <w:r>
        <w:rPr>
          <w:rStyle w:val="Zkladntext"/>
        </w:rPr>
        <w:t xml:space="preserve">uzavřená v souladu s ustanovením § 2079 a násl. zákona č. 89/2012 Sb., </w:t>
      </w:r>
      <w:r>
        <w:rPr>
          <w:rStyle w:val="Zkladntext"/>
          <w:i/>
          <w:iCs/>
          <w:sz w:val="17"/>
          <w:szCs w:val="17"/>
        </w:rPr>
        <w:t xml:space="preserve">občanský zákoník, </w:t>
      </w:r>
      <w:r>
        <w:rPr>
          <w:rStyle w:val="Zkladntext"/>
        </w:rPr>
        <w:t>m</w:t>
      </w:r>
      <w:r>
        <w:rPr>
          <w:rStyle w:val="Zkladntext"/>
        </w:rPr>
        <w:t>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6187"/>
      </w:tblGrid>
      <w:tr w:rsidR="0096637F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87" w:type="dxa"/>
            <w:shd w:val="clear" w:color="auto" w:fill="auto"/>
          </w:tcPr>
          <w:p w:rsidR="0096637F" w:rsidRDefault="006118AC">
            <w:pPr>
              <w:pStyle w:val="Jin0"/>
              <w:spacing w:after="0" w:line="28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87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87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  <w:p w:rsidR="0096637F" w:rsidRDefault="006118AC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87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96637F" w:rsidRDefault="006118AC">
      <w:pPr>
        <w:pStyle w:val="Titulektabulky0"/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i/>
          <w:iCs/>
        </w:rPr>
        <w:t>„</w:t>
      </w:r>
      <w:proofErr w:type="gramStart"/>
      <w:r>
        <w:rPr>
          <w:rStyle w:val="Titulektabulky"/>
          <w:i/>
          <w:iCs/>
        </w:rPr>
        <w:t>kupující )</w:t>
      </w:r>
      <w:proofErr w:type="gramEnd"/>
    </w:p>
    <w:p w:rsidR="0096637F" w:rsidRDefault="0096637F">
      <w:pPr>
        <w:spacing w:after="279" w:line="1" w:lineRule="exact"/>
      </w:pPr>
    </w:p>
    <w:p w:rsidR="0096637F" w:rsidRDefault="0096637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6182"/>
      </w:tblGrid>
      <w:tr w:rsidR="0096637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24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d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82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Teleflex</w:t>
            </w:r>
            <w:proofErr w:type="spellEnd"/>
            <w:r>
              <w:rPr>
                <w:rStyle w:val="Jin"/>
                <w:b/>
                <w:bCs/>
              </w:rPr>
              <w:t xml:space="preserve"> Medical s.r.o.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82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Pražská třída 209/182, Plačíce, 500 04 Hradec Králové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82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Martin Hlaváček, jednatel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50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82" w:type="dxa"/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pacing w:val="6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</w:t>
            </w:r>
            <w:r>
              <w:rPr>
                <w:rStyle w:val="Jin"/>
                <w:spacing w:val="4"/>
                <w:shd w:val="clear" w:color="auto" w:fill="000000"/>
              </w:rPr>
              <w:t>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proofErr w:type="gramEnd"/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182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28849809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82" w:type="dxa"/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CZ28849809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650" w:type="dxa"/>
            <w:shd w:val="clear" w:color="auto" w:fill="auto"/>
          </w:tcPr>
          <w:p w:rsidR="0096637F" w:rsidRDefault="006118AC">
            <w:pPr>
              <w:pStyle w:val="Jin0"/>
              <w:spacing w:after="40" w:line="240" w:lineRule="auto"/>
            </w:pPr>
            <w:r>
              <w:rPr>
                <w:rStyle w:val="Jin"/>
              </w:rPr>
              <w:t>Zápis v OR:</w:t>
            </w:r>
          </w:p>
          <w:p w:rsidR="0096637F" w:rsidRDefault="006118A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82" w:type="dxa"/>
            <w:shd w:val="clear" w:color="auto" w:fill="auto"/>
          </w:tcPr>
          <w:p w:rsidR="0096637F" w:rsidRDefault="006118AC">
            <w:pPr>
              <w:pStyle w:val="Jin0"/>
              <w:spacing w:after="0" w:line="286" w:lineRule="auto"/>
            </w:pPr>
            <w:r>
              <w:rPr>
                <w:rStyle w:val="Jin"/>
              </w:rPr>
              <w:t xml:space="preserve">vedeném Krajským soudem v Hradci Králové, oddíl C, 30847 </w:t>
            </w:r>
            <w:proofErr w:type="spellStart"/>
            <w:r>
              <w:rPr>
                <w:rStyle w:val="Jin"/>
              </w:rPr>
              <w:t>Unicredit</w:t>
            </w:r>
            <w:proofErr w:type="spellEnd"/>
            <w:r>
              <w:rPr>
                <w:rStyle w:val="Jin"/>
              </w:rPr>
              <w:t xml:space="preserve"> Bank Czech Republic and Slovakia, a.s.</w:t>
            </w:r>
          </w:p>
        </w:tc>
      </w:tr>
    </w:tbl>
    <w:p w:rsidR="0096637F" w:rsidRDefault="006118AC">
      <w:pPr>
        <w:pStyle w:val="Titulektabulky0"/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i/>
          <w:iCs/>
        </w:rPr>
        <w:t>„prodávající'</w:t>
      </w:r>
    </w:p>
    <w:p w:rsidR="0096637F" w:rsidRDefault="0096637F">
      <w:pPr>
        <w:spacing w:after="1179" w:line="1" w:lineRule="exact"/>
      </w:pP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Prodávající je oprávněn na základě svého </w:t>
      </w:r>
      <w:r>
        <w:rPr>
          <w:rStyle w:val="Zkladntext"/>
        </w:rPr>
        <w:t xml:space="preserve">vlastnického práva nakládat se zbožím v podobě </w:t>
      </w:r>
      <w:proofErr w:type="spellStart"/>
      <w:r>
        <w:rPr>
          <w:rStyle w:val="Zkladntext"/>
        </w:rPr>
        <w:t>intranasálních</w:t>
      </w:r>
      <w:proofErr w:type="spellEnd"/>
      <w:r>
        <w:rPr>
          <w:rStyle w:val="Zkladntext"/>
        </w:rPr>
        <w:t xml:space="preserve"> a </w:t>
      </w:r>
      <w:proofErr w:type="spellStart"/>
      <w:r>
        <w:rPr>
          <w:rStyle w:val="Zkladntext"/>
        </w:rPr>
        <w:t>intraoseálních</w:t>
      </w:r>
      <w:proofErr w:type="spellEnd"/>
      <w:r>
        <w:rPr>
          <w:rStyle w:val="Zkladntext"/>
        </w:rPr>
        <w:t xml:space="preserve"> pomůcek. Bližší specifikace zboží je uvedena v příloze č. 1 této smlouvy.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Prodávající se zavazuje dodávat zboží podle čl. 1 této smlouvy kupujícímu a převádět na Jihomoravský kr</w:t>
      </w:r>
      <w:r>
        <w:rPr>
          <w:rStyle w:val="Zkladntext"/>
        </w:rPr>
        <w:t>aj, jako jeho zřizovatele, vlastnické právo k tomuto zboží, a to v rozsahu dle jednotlivých dílčích kupních smluv. Jednotlivá dílčí kupní smlouva se přitom považuje za uzavřenou doručením jednotlivé písemné výzvy (objednávky) do rukou prodávajícího, a to v</w:t>
      </w:r>
      <w:r>
        <w:rPr>
          <w:rStyle w:val="Zkladntext"/>
        </w:rPr>
        <w:t>e znění, daném touto výzvou (objednávkou) a touto rámcovou kupní smlouvou. Výzva (objednávka) kupujícího musí obsahovat vždy údaj o množství objednaného zboží, datum a jméno kupujícího. Výzvu (objednávku) kupujícího lze učinit i elektronickou formou (e-mai</w:t>
      </w:r>
      <w:r>
        <w:rPr>
          <w:rStyle w:val="Zkladntext"/>
        </w:rPr>
        <w:t>lem).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76" w:lineRule="auto"/>
        <w:ind w:left="400" w:hanging="400"/>
        <w:jc w:val="both"/>
      </w:pPr>
      <w:r>
        <w:rPr>
          <w:rStyle w:val="Zkladntext"/>
        </w:rPr>
        <w:t xml:space="preserve">Součástí dodávky zboží podle čl. 1 a čl. 2 této smlouvy je vždy předání veškerých písemných dokladů, které jsou potřebné k používání tohoto zboží. Prodávající je povinen dodat kupujícímu nové zboží s minimální skladovací životností 24 měsíců od doby </w:t>
      </w:r>
      <w:r>
        <w:rPr>
          <w:rStyle w:val="Zkladntext"/>
        </w:rPr>
        <w:t>dodání. Dodané zboží musí splňovat požadavky na jakost, neporušenost balení a řádné označení dle platných právních předpisů.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00" w:hanging="40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 xml:space="preserve">5 pracovních dní </w:t>
      </w:r>
      <w:r>
        <w:rPr>
          <w:rStyle w:val="Zkladntext"/>
        </w:rPr>
        <w:t>ode dne účin</w:t>
      </w:r>
      <w:r>
        <w:rPr>
          <w:rStyle w:val="Zkladntext"/>
        </w:rPr>
        <w:t>nosti příslušné dílčí kupní smlouvy, nebude-li v každém jednotlivém případě dohodnuto jinak. Místem splnění tohoto závazku prodávajícího je centrální sklad v sídle kupujícího Kamenice 798/1 d, Brno.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400" w:hanging="400"/>
        <w:jc w:val="both"/>
      </w:pPr>
      <w:r>
        <w:rPr>
          <w:rStyle w:val="Zkladntext"/>
        </w:rPr>
        <w:t>Závazek prodávajícího k dodávce zboží podle čl. 1 této sm</w:t>
      </w:r>
      <w:r>
        <w:rPr>
          <w:rStyle w:val="Zkladntext"/>
        </w:rPr>
        <w:t>louvy se považuje v každém jednotlivém případě za splněný předáním a převzetím příslušného zboží, prostého všech vad, formou písemného předávacího protokolu, podepsaného oběma stranami.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400" w:hanging="400"/>
        <w:jc w:val="both"/>
      </w:pPr>
      <w:r>
        <w:rPr>
          <w:rStyle w:val="Zkladntext"/>
        </w:rPr>
        <w:lastRenderedPageBreak/>
        <w:t>Nebezpečí škody na převáděném zboží podle čl. 1 této smlouvy a vlastni</w:t>
      </w:r>
      <w:r>
        <w:rPr>
          <w:rStyle w:val="Zkladntext"/>
        </w:rPr>
        <w:t>cké právo k tomuto zboží přechází z prodávajícího na kupujícího dnem faktického převzetí tohoto zboží.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76" w:lineRule="auto"/>
        <w:ind w:left="400" w:hanging="400"/>
        <w:jc w:val="both"/>
      </w:pPr>
      <w:r>
        <w:rPr>
          <w:rStyle w:val="Zkladntext"/>
        </w:rPr>
        <w:t xml:space="preserve">Kupující se zavazuje zaplatit prodávajícímu za předmět koupě a prodeje podle čl. 1 této smlouvy kupní cenu ve výši dle tohoto článku této smlouvy. Kupní </w:t>
      </w:r>
      <w:r>
        <w:rPr>
          <w:rStyle w:val="Zkladntext"/>
        </w:rPr>
        <w:t>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</w:t>
      </w:r>
      <w:r>
        <w:rPr>
          <w:rStyle w:val="Zkladntext"/>
        </w:rPr>
        <w:t>cího na splnění jeho závazku k dodání zboží podle této smlouvy. Výše uvedené ceny se prodávající zavazuje garantovat po dobu podle čl. 23 této smlouvy. Změna ceny je možná pouze v případě zákonné změny sazby DPH.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Kupní cena podle čl. 7 této smlouvy je spla</w:t>
      </w:r>
      <w:r>
        <w:rPr>
          <w:rStyle w:val="Zkladntext"/>
        </w:rPr>
        <w:t>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</w:t>
      </w:r>
      <w:r>
        <w:rPr>
          <w:rStyle w:val="Zkladntext"/>
        </w:rPr>
        <w:t xml:space="preserve">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819FDA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P25V00003585. </w:t>
      </w:r>
      <w:r>
        <w:rPr>
          <w:rStyle w:val="Zkladntext"/>
        </w:rPr>
        <w:t>Součástí faktury bude rovněž kopie podepsaného předávacíh</w:t>
      </w:r>
      <w:r>
        <w:rPr>
          <w:rStyle w:val="Zkladntext"/>
        </w:rPr>
        <w:t>o protokolu dle čl. 5 této smlouvy. Nebude-li faktura splňovat veškeré náležitosti daňového dokladu podle zákona a další náležitosti podle této smlouvy, je objednatel oprávněn vrátit takovou fakturu prodávajícímu k opravě, přičemž doba její splatnosti začn</w:t>
      </w:r>
      <w:r>
        <w:rPr>
          <w:rStyle w:val="Zkladntext"/>
        </w:rPr>
        <w:t>e znovu celá běžet ode dne doručení opravené faktury objednateli.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příslušného zboží. V rámci záruky se prodávající zavazuje, že zboží po</w:t>
      </w:r>
      <w:r>
        <w:rPr>
          <w:rStyle w:val="Zkladntext"/>
        </w:rPr>
        <w:t>dle čl. 1 této smlouvy bude mít po dobu uvedené záruční lhůty vlastnosti, které jsou stanoveny touto smlouvou, právními předpisy nebo technickými normami nebo jsou u zboží tohoto druhu obvyklé, a že bude po dobu záruční lhůty bezplatně odstraňovat vady, kt</w:t>
      </w:r>
      <w:r>
        <w:rPr>
          <w:rStyle w:val="Zkladntext"/>
        </w:rPr>
        <w:t>eré se na zboží podle čl. 1 této smlouvy vyskytnou, a to ve lhůtě do 5 pracovních dnů od doručení příslušné písemné nebo e-mailové reklamace kupujícího, pokud nebude dohodnuto jinak. Vzhledem k povaze zboží podle čl. 1 této smlouvy lze přitom odstranění va</w:t>
      </w:r>
      <w:r>
        <w:rPr>
          <w:rStyle w:val="Zkladntext"/>
        </w:rPr>
        <w:t>dy provést jen výměnou vadného zboží za nové bezvadné.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sporu o oprávněnost reklamace se prodávajícímu vyhrazuje právo nechat vyhotovit k prověření jakosti zboží soudně znalecký posudek, jehož výroku se obě strany zavazují podřizovat s tím, že ná</w:t>
      </w:r>
      <w:r>
        <w:rPr>
          <w:rStyle w:val="Zkladntext"/>
        </w:rPr>
        <w:t>klady na vyhotovení tohoto posudku se zavazuje nést ten účastník tohoto sporu, kterému tento posudek nedal zapravdu.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76" w:lineRule="auto"/>
        <w:ind w:left="400" w:hanging="40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 písemné v</w:t>
      </w:r>
      <w:r>
        <w:rPr>
          <w:rStyle w:val="Zkladntext"/>
        </w:rPr>
        <w:t>ýzvě ze strany kupujícího, je kupující oprávněn nechat provést toto odstranění třetí osobou na náklady prodávajícího.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line="276" w:lineRule="auto"/>
        <w:ind w:left="400" w:hanging="40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platit kupu</w:t>
      </w:r>
      <w:r>
        <w:rPr>
          <w:rStyle w:val="Zkladntext"/>
        </w:rPr>
        <w:t>jícímu smluvní pokutu ve výši 0,1 % z kupní ceny bez DPH nedodané části zboží podle čl. 7 této smlouvy, za každý započatý den tohoto prodlení. Pro případ prodlení s odstraněním vady ve lhůtě podle čl. 9 této smlouvy se prodávající zavazuje platit kupujícím</w:t>
      </w:r>
      <w:r>
        <w:rPr>
          <w:rStyle w:val="Zkladntext"/>
        </w:rPr>
        <w:t>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</w:t>
      </w:r>
      <w:r>
        <w:rPr>
          <w:rStyle w:val="Zkladntext"/>
        </w:rPr>
        <w:t xml:space="preserve"> § 2050 na vztah mezi oběma stranami podle této smlouvy.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90" w:lineRule="auto"/>
        <w:ind w:left="400" w:hanging="400"/>
        <w:jc w:val="both"/>
        <w:sectPr w:rsidR="0096637F">
          <w:type w:val="continuous"/>
          <w:pgSz w:w="11900" w:h="16840"/>
          <w:pgMar w:top="1324" w:right="1595" w:bottom="1438" w:left="1445" w:header="0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Pro případ prodlení se splněním jeho závazku k dodání zboží ve lhůtě podle čl. 4 této smlouvy o více, než 1 týden nebo pro případ výskytu neodstranitelné vady resp. výskytu 3 </w:t>
      </w:r>
      <w:r>
        <w:rPr>
          <w:rStyle w:val="Zkladntext"/>
        </w:rPr>
        <w:t xml:space="preserve">a více vad na </w:t>
      </w:r>
    </w:p>
    <w:p w:rsidR="0096637F" w:rsidRDefault="006118AC">
      <w:pPr>
        <w:pStyle w:val="Zkladntext1"/>
        <w:tabs>
          <w:tab w:val="left" w:pos="418"/>
        </w:tabs>
        <w:spacing w:after="200" w:line="290" w:lineRule="auto"/>
        <w:ind w:left="400"/>
        <w:jc w:val="both"/>
      </w:pPr>
      <w:r>
        <w:rPr>
          <w:rStyle w:val="Zkladntext"/>
        </w:rPr>
        <w:t xml:space="preserve">jednom kusu zboží, a to i postupně, je kupující oprávněn odstoupit od jednotlivé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86" w:lineRule="auto"/>
        <w:ind w:left="380" w:hanging="380"/>
        <w:jc w:val="both"/>
      </w:pPr>
      <w:r>
        <w:rPr>
          <w:rStyle w:val="Zkladntext"/>
        </w:rPr>
        <w:t xml:space="preserve">Pro případ prodlení kupujícího se zaplacením kupní ceny nebo její části ve lhůtě podle čl. 8 této </w:t>
      </w:r>
      <w:r>
        <w:rPr>
          <w:rStyle w:val="Zkladntext"/>
        </w:rPr>
        <w:t xml:space="preserve">smlouvy o víc, než 2 týdny, je prodávající oprávněn od jednotlivé dílčí kupní smlouvy i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76" w:lineRule="auto"/>
        <w:ind w:left="380" w:hanging="380"/>
        <w:jc w:val="both"/>
      </w:pPr>
      <w:r>
        <w:rPr>
          <w:rStyle w:val="Zkladntext"/>
        </w:rPr>
        <w:lastRenderedPageBreak/>
        <w:t>Není-li touto smlouvou ujednáno jinak, řídí se vzájemný právní vztah mezi kupujícím a prodávajícím při realizaci této smlouv</w:t>
      </w:r>
      <w:r>
        <w:rPr>
          <w:rStyle w:val="Zkladntext"/>
        </w:rPr>
        <w:t>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40" w:lineRule="auto"/>
        <w:ind w:left="380" w:hanging="380"/>
        <w:jc w:val="both"/>
      </w:pPr>
      <w:r>
        <w:rPr>
          <w:rStyle w:val="Zkladntext"/>
        </w:rPr>
        <w:t>Prodávající je p</w:t>
      </w:r>
      <w:r>
        <w:rPr>
          <w:rStyle w:val="Zkladntext"/>
        </w:rPr>
        <w:t>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40" w:lineRule="auto"/>
        <w:ind w:left="380" w:hanging="380"/>
        <w:jc w:val="both"/>
      </w:pPr>
      <w:r>
        <w:rPr>
          <w:rStyle w:val="Zkladntext"/>
        </w:rPr>
        <w:t>Prodávající je povinen zajistit dodrž</w:t>
      </w:r>
      <w:r>
        <w:rPr>
          <w:rStyle w:val="Zkladntext"/>
        </w:rPr>
        <w:t>ování mezinárodních úmluv o lidských právech, sociálních či pracovních právech, zejména úmluv Mezinárodní organizace (ILO).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40" w:lineRule="auto"/>
        <w:ind w:left="380" w:hanging="380"/>
        <w:jc w:val="both"/>
      </w:pPr>
      <w:r>
        <w:rPr>
          <w:rStyle w:val="Zkladntext"/>
        </w:rPr>
        <w:t>Nezajistí-li prodávající dodržování předpisů dle či. 16 a 17 této smlouvy zaplatí kupujícímu smluvní pokutu ve výši 2.000 Kč za každ</w:t>
      </w:r>
      <w:r>
        <w:rPr>
          <w:rStyle w:val="Zkladntext"/>
        </w:rPr>
        <w:t>é zjištěné porušení. Takovou pokutu lze udělit opakovaně, a to až do úplného splnění povinnosti.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76" w:lineRule="auto"/>
        <w:ind w:left="380" w:hanging="380"/>
        <w:jc w:val="both"/>
      </w:pPr>
      <w:r>
        <w:rPr>
          <w:rStyle w:val="Zkladntext"/>
        </w:rPr>
        <w:t>Tato smlouva se uzavírá na základě návrhu na její uzavření ze strany kupujícího. Předpokladem uzavření této smlouvy je její písemná forma a dohoda o celém její</w:t>
      </w:r>
      <w:r>
        <w:rPr>
          <w:rStyle w:val="Zkladntext"/>
        </w:rPr>
        <w:t>m obsahu jak je obsažen v jejích článcích 1 až 25. Kupující přitom předem vylučuje přijetí tohoto návrhu s dodatkem nebo odchylkou ve smyslu § 1740 odst. 3 občanského zákoníku.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76" w:lineRule="auto"/>
        <w:ind w:left="380" w:hanging="380"/>
        <w:jc w:val="both"/>
      </w:pPr>
      <w:r>
        <w:rPr>
          <w:rStyle w:val="Zkladntext"/>
        </w:rPr>
        <w:t>Smluvní strany souhlasí se zveřejněním smlouvy v úplném znění, stejně jako s uv</w:t>
      </w:r>
      <w:r>
        <w:rPr>
          <w:rStyle w:val="Zkladntext"/>
        </w:rPr>
        <w:t xml:space="preserve">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</w:t>
      </w:r>
      <w:r>
        <w:rPr>
          <w:rStyle w:val="Zkladntext"/>
        </w:rPr>
        <w:t>dohodly, že uveřejnění smlouvy zajistí kupující.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/>
        <w:ind w:left="380" w:hanging="380"/>
        <w:jc w:val="both"/>
      </w:pPr>
      <w:r>
        <w:rPr>
          <w:rStyle w:val="Zkladntext"/>
        </w:rPr>
        <w:t>Tuto smlouvu lze změnit nebo zrušit pouze jinou písemnou dohodou obou smluvních stran. Dále jsou smluvní strany oprávněny vypovědět smluvní vztah s 3 měsíční výpovědní dobou, která začíná běžet prvním dnem n</w:t>
      </w:r>
      <w:r>
        <w:rPr>
          <w:rStyle w:val="Zkladntext"/>
        </w:rPr>
        <w:t>ásledujícího měsíce po doručení výpovědi druhé smluvní straně.</w:t>
      </w:r>
    </w:p>
    <w:p w:rsidR="0096637F" w:rsidRDefault="006118AC">
      <w:pPr>
        <w:pStyle w:val="Zkladntext1"/>
        <w:numPr>
          <w:ilvl w:val="0"/>
          <w:numId w:val="1"/>
        </w:numPr>
        <w:tabs>
          <w:tab w:val="left" w:pos="418"/>
        </w:tabs>
        <w:spacing w:after="200" w:line="290" w:lineRule="auto"/>
        <w:ind w:left="380" w:hanging="380"/>
        <w:jc w:val="both"/>
      </w:pPr>
      <w:r>
        <w:rPr>
          <w:rStyle w:val="Zkladntext"/>
        </w:rPr>
        <w:t xml:space="preserve">Tato smlouva nabývá účinnosti po jejím podpisu oběma smluvními stranami dnem jejího uveřejnění v Registru smluv, nejdříve však </w:t>
      </w:r>
      <w:proofErr w:type="gramStart"/>
      <w:r>
        <w:rPr>
          <w:rStyle w:val="Zkladntext"/>
        </w:rPr>
        <w:t>1.1. 2026</w:t>
      </w:r>
      <w:proofErr w:type="gramEnd"/>
      <w:r>
        <w:rPr>
          <w:rStyle w:val="Zkladntext"/>
        </w:rPr>
        <w:t>.</w:t>
      </w:r>
    </w:p>
    <w:p w:rsidR="0096637F" w:rsidRDefault="006118AC">
      <w:pPr>
        <w:pStyle w:val="Zkladntext1"/>
        <w:spacing w:after="200" w:line="276" w:lineRule="auto"/>
        <w:jc w:val="both"/>
      </w:pPr>
      <w:r>
        <w:rPr>
          <w:rStyle w:val="Zkladntext"/>
          <w:b/>
          <w:bCs/>
        </w:rPr>
        <w:t xml:space="preserve">23; </w:t>
      </w: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</w:t>
      </w:r>
      <w:r>
        <w:rPr>
          <w:rStyle w:val="Zkladntext"/>
          <w:b/>
          <w:bCs/>
        </w:rPr>
        <w:t>.12.2027</w:t>
      </w:r>
      <w:proofErr w:type="gramEnd"/>
      <w:r>
        <w:rPr>
          <w:rStyle w:val="Zkladntext"/>
          <w:b/>
          <w:bCs/>
        </w:rPr>
        <w:t>.</w:t>
      </w:r>
    </w:p>
    <w:p w:rsidR="0096637F" w:rsidRDefault="006118AC">
      <w:pPr>
        <w:pStyle w:val="Zkladntext1"/>
        <w:numPr>
          <w:ilvl w:val="0"/>
          <w:numId w:val="2"/>
        </w:numPr>
        <w:tabs>
          <w:tab w:val="left" w:pos="418"/>
        </w:tabs>
        <w:spacing w:after="200"/>
        <w:ind w:left="380" w:hanging="380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elektronickými prostředky, obdrží každá smluvní strana jeden identický </w:t>
      </w:r>
      <w:r>
        <w:rPr>
          <w:rStyle w:val="Zkladntext"/>
        </w:rPr>
        <w:t>elektronický soubor.</w:t>
      </w:r>
    </w:p>
    <w:p w:rsidR="0096637F" w:rsidRDefault="006118AC">
      <w:pPr>
        <w:pStyle w:val="Zkladntext1"/>
        <w:numPr>
          <w:ilvl w:val="0"/>
          <w:numId w:val="2"/>
        </w:numPr>
        <w:tabs>
          <w:tab w:val="left" w:pos="418"/>
        </w:tabs>
        <w:spacing w:after="80" w:line="276" w:lineRule="auto"/>
        <w:jc w:val="both"/>
      </w:pPr>
      <w:r>
        <w:rPr>
          <w:rStyle w:val="Zkladntext"/>
        </w:rPr>
        <w:t>Nedílnou součástí této smlouvy jsou následující přílohy:</w:t>
      </w:r>
    </w:p>
    <w:p w:rsidR="0096637F" w:rsidRDefault="006118AC">
      <w:pPr>
        <w:pStyle w:val="Zkladntext1"/>
        <w:spacing w:after="620" w:line="276" w:lineRule="auto"/>
        <w:ind w:firstLine="380"/>
        <w:jc w:val="both"/>
      </w:pPr>
      <w:r>
        <w:rPr>
          <w:rStyle w:val="Zkladntext"/>
        </w:rPr>
        <w:t>Příloha č. 1 Seznam zboží, ceník</w:t>
      </w:r>
    </w:p>
    <w:p w:rsidR="0096637F" w:rsidRDefault="006118AC">
      <w:pPr>
        <w:pStyle w:val="Zkladntext1"/>
        <w:spacing w:after="200" w:line="240" w:lineRule="auto"/>
        <w:jc w:val="center"/>
        <w:sectPr w:rsidR="0096637F">
          <w:footerReference w:type="even" r:id="rId10"/>
          <w:footerReference w:type="default" r:id="rId11"/>
          <w:type w:val="continuous"/>
          <w:pgSz w:w="11900" w:h="16840"/>
          <w:pgMar w:top="1324" w:right="1595" w:bottom="1438" w:left="144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12700</wp:posOffset>
                </wp:positionV>
                <wp:extent cx="1106170" cy="15240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637F" w:rsidRDefault="006118AC">
                            <w:pPr>
                              <w:pStyle w:val="Zkladntext1"/>
                              <w:tabs>
                                <w:tab w:val="left" w:leader="dot" w:pos="1699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2.450000000000003pt;margin-top:1.pt;width:87.100000000000009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V Hradci Králové dne</w:t>
      </w:r>
      <w:bookmarkStart w:id="0" w:name="_GoBack"/>
      <w:bookmarkEnd w:id="0"/>
    </w:p>
    <w:p w:rsidR="0096637F" w:rsidRDefault="006118AC">
      <w:pPr>
        <w:pStyle w:val="Zkladntext1"/>
        <w:spacing w:after="0" w:line="276" w:lineRule="auto"/>
      </w:pPr>
      <w:r>
        <w:rPr>
          <w:rStyle w:val="Zkladntext"/>
        </w:rPr>
        <w:lastRenderedPageBreak/>
        <w:t>MUDr. Hana Albrechtová ředitelka</w:t>
      </w:r>
    </w:p>
    <w:p w:rsidR="0096637F" w:rsidRDefault="006118AC">
      <w:pPr>
        <w:pStyle w:val="Zkladntext1"/>
        <w:spacing w:after="60" w:line="276" w:lineRule="auto"/>
      </w:pPr>
      <w:r>
        <w:rPr>
          <w:rStyle w:val="Zkladntext"/>
          <w:b/>
          <w:bCs/>
          <w:i/>
          <w:iCs/>
        </w:rPr>
        <w:t>kupující</w:t>
      </w:r>
    </w:p>
    <w:p w:rsidR="0096637F" w:rsidRDefault="006118AC">
      <w:pPr>
        <w:spacing w:line="1" w:lineRule="exact"/>
        <w:rPr>
          <w:sz w:val="2"/>
          <w:szCs w:val="2"/>
        </w:rPr>
      </w:pPr>
      <w:r>
        <w:br w:type="column"/>
      </w:r>
    </w:p>
    <w:p w:rsidR="0096637F" w:rsidRDefault="006118AC">
      <w:pPr>
        <w:pStyle w:val="Zkladntext1"/>
        <w:spacing w:after="0" w:line="286" w:lineRule="auto"/>
        <w:sectPr w:rsidR="0096637F">
          <w:pgSz w:w="11900" w:h="16840"/>
          <w:pgMar w:top="1112" w:right="2555" w:bottom="1112" w:left="1522" w:header="0" w:footer="3" w:gutter="0"/>
          <w:cols w:num="2" w:space="720" w:equalWidth="0">
            <w:col w:w="3312" w:space="1656"/>
            <w:col w:w="2856"/>
          </w:cols>
          <w:noEndnote/>
          <w:docGrid w:linePitch="360"/>
        </w:sectPr>
      </w:pPr>
      <w:r>
        <w:rPr>
          <w:rStyle w:val="Zkladntext"/>
        </w:rPr>
        <w:t xml:space="preserve">Martin Hlaváček jednatel </w:t>
      </w:r>
      <w:r>
        <w:rPr>
          <w:rStyle w:val="Zkladntext"/>
          <w:b/>
          <w:bCs/>
          <w:i/>
          <w:iCs/>
        </w:rPr>
        <w:t>prodávající</w:t>
      </w:r>
    </w:p>
    <w:p w:rsidR="0096637F" w:rsidRDefault="006118AC">
      <w:pPr>
        <w:pStyle w:val="Zkladntext1"/>
        <w:spacing w:after="640" w:line="240" w:lineRule="auto"/>
        <w:ind w:firstLine="240"/>
      </w:pPr>
      <w:r>
        <w:rPr>
          <w:rStyle w:val="Zkladntext"/>
          <w:b/>
          <w:bCs/>
        </w:rPr>
        <w:lastRenderedPageBreak/>
        <w:t>Příloha č. 1 Seznam zboží, ceník</w:t>
      </w:r>
    </w:p>
    <w:p w:rsidR="0096637F" w:rsidRDefault="006118AC">
      <w:pPr>
        <w:pStyle w:val="Titulektabulky0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651"/>
        <w:gridCol w:w="4291"/>
        <w:gridCol w:w="2203"/>
      </w:tblGrid>
      <w:tr w:rsidR="0096637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P. č.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Název zboží, specifikace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Specifikace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Splnění požadavků ANO/NE, příp. údaj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00"/>
            </w:pPr>
            <w:r>
              <w:rPr>
                <w:rStyle w:val="Jin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52" w:lineRule="auto"/>
            </w:pPr>
            <w:proofErr w:type="spellStart"/>
            <w:r>
              <w:rPr>
                <w:rStyle w:val="Jin"/>
                <w:b/>
                <w:bCs/>
              </w:rPr>
              <w:t>Intraoseální</w:t>
            </w:r>
            <w:proofErr w:type="spellEnd"/>
            <w:r>
              <w:rPr>
                <w:rStyle w:val="Jin"/>
                <w:b/>
                <w:bCs/>
              </w:rPr>
              <w:t xml:space="preserve"> jehla - růžová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proofErr w:type="spellStart"/>
            <w:r>
              <w:rPr>
                <w:rStyle w:val="Jin"/>
              </w:rPr>
              <w:t>Intraoseální</w:t>
            </w:r>
            <w:proofErr w:type="spellEnd"/>
            <w:r>
              <w:rPr>
                <w:rStyle w:val="Jin"/>
              </w:rPr>
              <w:t xml:space="preserve"> jehla pro děti (3 - 39kg) k EZ - IO, barva růžová, materiál nerezová ocel/plast, rozměr 15 mm, sterilně baleno po 1 ks, součástí balení také identifikační štítek na ruku pacienta. Včetně fixátoru IO jehly.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220" w:line="240" w:lineRule="auto"/>
              <w:jc w:val="center"/>
            </w:pPr>
            <w:r>
              <w:rPr>
                <w:rStyle w:val="Jin"/>
              </w:rPr>
              <w:t>ANO</w:t>
            </w:r>
          </w:p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 xml:space="preserve">Katalogové číslo: </w:t>
            </w:r>
            <w:r>
              <w:rPr>
                <w:rStyle w:val="Jin"/>
                <w:b/>
                <w:bCs/>
                <w:i/>
                <w:iCs/>
              </w:rPr>
              <w:t>9018P-EU-005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KÓD VZP (ZUM)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194805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00"/>
            </w:pPr>
            <w:r>
              <w:rPr>
                <w:rStyle w:val="Jin"/>
              </w:rPr>
              <w:t>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Intraoseální</w:t>
            </w:r>
            <w:proofErr w:type="spellEnd"/>
            <w:r>
              <w:rPr>
                <w:rStyle w:val="Jin"/>
                <w:b/>
                <w:bCs/>
              </w:rPr>
              <w:t xml:space="preserve"> jehla - modrá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proofErr w:type="spellStart"/>
            <w:r>
              <w:rPr>
                <w:rStyle w:val="Jin"/>
              </w:rPr>
              <w:t>Intraoseální</w:t>
            </w:r>
            <w:proofErr w:type="spellEnd"/>
            <w:r>
              <w:rPr>
                <w:rStyle w:val="Jin"/>
              </w:rPr>
              <w:t xml:space="preserve"> jehla pro dospělé nad 40 kg k EZ - IO, barva modrá, materiál nerezová ocel/plast, rozměr 25 mm, sterilně baleno po 1 ks, součástí balení také identifikační štítek na ruku pacienta. Včetně </w:t>
            </w:r>
            <w:r>
              <w:rPr>
                <w:rStyle w:val="Jin"/>
              </w:rPr>
              <w:t>fixátoru IO jehly.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240" w:line="240" w:lineRule="auto"/>
              <w:jc w:val="center"/>
            </w:pPr>
            <w:r>
              <w:rPr>
                <w:rStyle w:val="Jin"/>
              </w:rPr>
              <w:t>ANO</w:t>
            </w:r>
          </w:p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 xml:space="preserve">Katalogové číslo: </w:t>
            </w:r>
            <w:r>
              <w:rPr>
                <w:rStyle w:val="Jin"/>
                <w:b/>
                <w:bCs/>
                <w:i/>
                <w:iCs/>
              </w:rPr>
              <w:t>9001P-EU-005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KÓD VZP (ZUM)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37F" w:rsidRDefault="006118AC">
            <w:pPr>
              <w:pStyle w:val="Jin0"/>
              <w:spacing w:before="80" w:after="0" w:line="240" w:lineRule="auto"/>
              <w:jc w:val="center"/>
            </w:pPr>
            <w:r>
              <w:rPr>
                <w:rStyle w:val="Jin"/>
              </w:rPr>
              <w:t>194805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00"/>
            </w:pPr>
            <w:r>
              <w:rPr>
                <w:rStyle w:val="Jin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Intraoseální</w:t>
            </w:r>
            <w:proofErr w:type="spellEnd"/>
            <w:r>
              <w:rPr>
                <w:rStyle w:val="Jin"/>
                <w:b/>
                <w:bCs/>
              </w:rPr>
              <w:t xml:space="preserve"> jehla - žlutá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proofErr w:type="spellStart"/>
            <w:r>
              <w:rPr>
                <w:rStyle w:val="Jin"/>
              </w:rPr>
              <w:t>Intraoseální</w:t>
            </w:r>
            <w:proofErr w:type="spellEnd"/>
            <w:r>
              <w:rPr>
                <w:rStyle w:val="Jin"/>
              </w:rPr>
              <w:t xml:space="preserve"> jehla pro obézní pacienty k EZ - IO, barva žlutá, materiál nerezová ocel/plast, rozměr 45 mm, sterilně baleno po 1 ks, součástí balení </w:t>
            </w:r>
            <w:r>
              <w:rPr>
                <w:rStyle w:val="Jin"/>
              </w:rPr>
              <w:t>také identifikační štítek na ruku pacienta. Včetně fixátoru IO jehly.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240" w:line="240" w:lineRule="auto"/>
              <w:jc w:val="center"/>
            </w:pPr>
            <w:r>
              <w:rPr>
                <w:rStyle w:val="Jin"/>
              </w:rPr>
              <w:t>ANO</w:t>
            </w:r>
          </w:p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 xml:space="preserve">Katalogové číslo: </w:t>
            </w:r>
            <w:r>
              <w:rPr>
                <w:rStyle w:val="Jin"/>
                <w:b/>
                <w:bCs/>
                <w:i/>
                <w:iCs/>
              </w:rPr>
              <w:t>9079P-EU-005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37F" w:rsidRDefault="0096637F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b/>
                <w:bCs/>
              </w:rPr>
              <w:t>KÓD VZP (ZUM)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194806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00"/>
            </w:pPr>
            <w:r>
              <w:rPr>
                <w:rStyle w:val="Jin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Intranasální</w:t>
            </w:r>
            <w:proofErr w:type="spellEnd"/>
            <w:r>
              <w:rPr>
                <w:rStyle w:val="Jin"/>
                <w:b/>
                <w:bCs/>
              </w:rPr>
              <w:t xml:space="preserve"> aplikátor léčiv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both"/>
            </w:pPr>
            <w:proofErr w:type="spellStart"/>
            <w:r>
              <w:rPr>
                <w:rStyle w:val="Jin"/>
                <w:b/>
                <w:bCs/>
              </w:rPr>
              <w:t>Intranasální</w:t>
            </w:r>
            <w:proofErr w:type="spellEnd"/>
            <w:r>
              <w:rPr>
                <w:rStyle w:val="Jin"/>
                <w:b/>
                <w:bCs/>
              </w:rPr>
              <w:t xml:space="preserve"> aplikátorů léčiv se stříkačkou o objemu 3 ml </w:t>
            </w:r>
            <w:r>
              <w:rPr>
                <w:rStyle w:val="Jin"/>
              </w:rPr>
              <w:t xml:space="preserve">pro bezbolestné podání léků bez </w:t>
            </w:r>
            <w:r>
              <w:rPr>
                <w:rStyle w:val="Jin"/>
              </w:rPr>
              <w:t>nutnosti nitrožilního podání. Stříkačka musí umožnit přesné změření množství léků. Aplikátor po zavedení těsní a zabraňuje zpětnému úniku léčiv.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240" w:line="240" w:lineRule="auto"/>
              <w:jc w:val="center"/>
            </w:pPr>
            <w:r>
              <w:rPr>
                <w:rStyle w:val="Jin"/>
              </w:rPr>
              <w:t>ANO</w:t>
            </w:r>
          </w:p>
          <w:p w:rsidR="0096637F" w:rsidRDefault="006118A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Katalogové číslo:</w:t>
            </w:r>
          </w:p>
          <w:p w:rsidR="0096637F" w:rsidRDefault="006118AC">
            <w:pPr>
              <w:pStyle w:val="Jin0"/>
              <w:spacing w:after="120" w:line="240" w:lineRule="auto"/>
              <w:jc w:val="center"/>
            </w:pPr>
            <w:r>
              <w:rPr>
                <w:rStyle w:val="Jin"/>
                <w:b/>
                <w:bCs/>
                <w:i/>
                <w:iCs/>
              </w:rPr>
              <w:t>MAD100</w:t>
            </w:r>
          </w:p>
        </w:tc>
      </w:tr>
    </w:tbl>
    <w:p w:rsidR="0096637F" w:rsidRDefault="0096637F">
      <w:pPr>
        <w:sectPr w:rsidR="0096637F">
          <w:pgSz w:w="11900" w:h="16840"/>
          <w:pgMar w:top="1265" w:right="814" w:bottom="1265" w:left="1154" w:header="0" w:footer="3" w:gutter="0"/>
          <w:cols w:space="720"/>
          <w:noEndnote/>
          <w:docGrid w:linePitch="360"/>
        </w:sectPr>
      </w:pPr>
    </w:p>
    <w:p w:rsidR="0096637F" w:rsidRDefault="006118AC">
      <w:pPr>
        <w:pStyle w:val="Zkladntext20"/>
        <w:spacing w:after="140"/>
      </w:pPr>
      <w:r>
        <w:rPr>
          <w:rStyle w:val="Zkladntext2"/>
          <w:b/>
          <w:bCs/>
        </w:rPr>
        <w:lastRenderedPageBreak/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646"/>
        <w:gridCol w:w="850"/>
        <w:gridCol w:w="2741"/>
        <w:gridCol w:w="682"/>
        <w:gridCol w:w="1853"/>
        <w:gridCol w:w="1795"/>
      </w:tblGrid>
      <w:tr w:rsidR="0096637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Ř&lt;S.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ind w:firstLine="30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  <w:vertAlign w:val="superscript"/>
              </w:rPr>
              <w:t>z</w:t>
            </w:r>
            <w:r>
              <w:rPr>
                <w:rStyle w:val="Ji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Názevzbožf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^'31/</w:t>
            </w:r>
          </w:p>
          <w:p w:rsidR="0096637F" w:rsidRDefault="006118AC">
            <w:pPr>
              <w:pStyle w:val="Jin0"/>
              <w:spacing w:after="0" w:line="180" w:lineRule="auto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rFonts w:ascii="Courier New" w:eastAsia="Courier New" w:hAnsi="Courier New" w:cs="Courier New"/>
                <w:smallCaps/>
                <w:sz w:val="20"/>
                <w:szCs w:val="20"/>
              </w:rPr>
              <w:t xml:space="preserve">. </w:t>
            </w:r>
            <w:proofErr w:type="gramStart"/>
            <w:r>
              <w:rPr>
                <w:rStyle w:val="Jin"/>
                <w:rFonts w:ascii="Courier New" w:eastAsia="Courier New" w:hAnsi="Courier New" w:cs="Courier New"/>
                <w:smallCaps/>
                <w:sz w:val="20"/>
                <w:szCs w:val="20"/>
              </w:rPr>
              <w:t>&gt; .ví</w:t>
            </w:r>
            <w:proofErr w:type="gramEnd"/>
            <w:r>
              <w:rPr>
                <w:rStyle w:val="Jin"/>
                <w:rFonts w:ascii="Courier New" w:eastAsia="Courier New" w:hAnsi="Courier New" w:cs="Courier New"/>
                <w:smallCap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«</w:t>
            </w:r>
            <w:proofErr w:type="spellStart"/>
            <w:proofErr w:type="gramStart"/>
            <w:r>
              <w:rPr>
                <w:rStyle w:val="Jin"/>
                <w:b/>
                <w:bCs/>
                <w:sz w:val="11"/>
                <w:szCs w:val="11"/>
              </w:rPr>
              <w:t>Int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>./č:?</w:t>
            </w:r>
            <w:r>
              <w:rPr>
                <w:rStyle w:val="Jin"/>
                <w:b/>
                <w:bCs/>
                <w:sz w:val="11"/>
                <w:szCs w:val="11"/>
                <w:vertAlign w:val="superscript"/>
              </w:rPr>
              <w:t>,</w:t>
            </w:r>
            <w:r>
              <w:rPr>
                <w:rStyle w:val="Jin"/>
                <w:b/>
                <w:bCs/>
                <w:sz w:val="11"/>
                <w:szCs w:val="11"/>
              </w:rPr>
              <w:t>..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í</w:t>
            </w:r>
            <w:r>
              <w:rPr>
                <w:rStyle w:val="Jin"/>
                <w:b/>
                <w:bCs/>
                <w:sz w:val="11"/>
                <w:szCs w:val="11"/>
                <w:vertAlign w:val="subscript"/>
              </w:rPr>
              <w:t>í</w:t>
            </w:r>
            <w:proofErr w:type="spellEnd"/>
            <w:proofErr w:type="gramEnd"/>
          </w:p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.kupujícího^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tabs>
                <w:tab w:val="left" w:pos="293"/>
                <w:tab w:val="left" w:pos="1022"/>
                <w:tab w:val="left" w:pos="1656"/>
              </w:tabs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.*</w:t>
            </w:r>
            <w:r>
              <w:rPr>
                <w:rStyle w:val="Jin"/>
                <w:b/>
                <w:bCs/>
                <w:sz w:val="11"/>
                <w:szCs w:val="11"/>
              </w:rPr>
              <w:tab/>
              <w:t>, VL</w:t>
            </w:r>
            <w:r>
              <w:rPr>
                <w:rStyle w:val="Jin"/>
                <w:b/>
                <w:bCs/>
                <w:sz w:val="11"/>
                <w:szCs w:val="11"/>
              </w:rPr>
              <w:tab/>
              <w:t>*</w:t>
            </w:r>
            <w:r>
              <w:rPr>
                <w:rStyle w:val="Jin"/>
                <w:b/>
                <w:bCs/>
                <w:sz w:val="11"/>
                <w:szCs w:val="11"/>
              </w:rPr>
              <w:tab/>
              <w:t>' t ř</w:t>
            </w:r>
          </w:p>
          <w:p w:rsidR="0096637F" w:rsidRDefault="006118AC">
            <w:pPr>
              <w:pStyle w:val="Jin0"/>
              <w:spacing w:after="0" w:line="209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Mí’- V3ís&lt;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ObéhodriF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>.'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ňázev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zboží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Jednotky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tabs>
                <w:tab w:val="left" w:pos="1718"/>
              </w:tabs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'^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Jebnotkov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>^</w:t>
            </w:r>
            <w:r>
              <w:rPr>
                <w:rStyle w:val="Jin"/>
                <w:b/>
                <w:bCs/>
                <w:sz w:val="11"/>
                <w:szCs w:val="11"/>
              </w:rPr>
              <w:tab/>
              <w:t>/</w:t>
            </w:r>
          </w:p>
          <w:p w:rsidR="0096637F" w:rsidRDefault="006118AC">
            <w:pPr>
              <w:pStyle w:val="Jin0"/>
              <w:spacing w:after="0" w:line="199" w:lineRule="auto"/>
              <w:ind w:firstLine="60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.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X%ňBU</w:t>
            </w:r>
            <w:r>
              <w:rPr>
                <w:rStyle w:val="Jin"/>
                <w:b/>
                <w:bCs/>
                <w:sz w:val="11"/>
                <w:szCs w:val="11"/>
                <w:vertAlign w:val="subscript"/>
              </w:rPr>
              <w:t>f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637F" w:rsidRDefault="006118AC">
            <w:pPr>
              <w:pStyle w:val="Jin0"/>
              <w:spacing w:after="0" w:line="276" w:lineRule="auto"/>
              <w:ind w:firstLine="20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 xml:space="preserve">Jednotková </w:t>
            </w:r>
            <w:proofErr w:type="spellStart"/>
            <w:proofErr w:type="gramStart"/>
            <w:r>
              <w:rPr>
                <w:rStyle w:val="Jin"/>
                <w:b/>
                <w:bCs/>
                <w:sz w:val="11"/>
                <w:szCs w:val="11"/>
              </w:rPr>
              <w:t>cenaVKč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» ?í*</w:t>
            </w:r>
            <w:proofErr w:type="gramEnd"/>
            <w:r>
              <w:rPr>
                <w:rStyle w:val="Jin"/>
                <w:b/>
                <w:bCs/>
                <w:sz w:val="11"/>
                <w:szCs w:val="11"/>
              </w:rPr>
              <w:t>' .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ÍYčetná,DPH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>-t’'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Intraoseální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jehla - růžová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94759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5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EZ-IO 15MM NEEDLE + STABILIZER BX/5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ks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left="1120"/>
              <w:jc w:val="both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2 220,00 Kč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2486,40 Kč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Intraoseální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</w:t>
            </w:r>
            <w:r>
              <w:rPr>
                <w:rStyle w:val="Jin"/>
                <w:b/>
                <w:bCs/>
                <w:sz w:val="11"/>
                <w:szCs w:val="11"/>
              </w:rPr>
              <w:t>jehla - modrá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2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94758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5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EZ-IO 25MM NEEDLE + STABILIZER BX/5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ks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left="1120"/>
              <w:jc w:val="both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2 220,00 Kč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2486,40 Kč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Intraoseální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jehla - žlutá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83075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EZ-IO 45MM NEEDLE + STABILIZER BX/5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ks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left="1120"/>
              <w:jc w:val="both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2 464,00 Kč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2 759,68 Kč</w:t>
            </w:r>
          </w:p>
        </w:tc>
      </w:tr>
      <w:tr w:rsidR="0096637F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rPr>
                <w:sz w:val="11"/>
                <w:szCs w:val="11"/>
              </w:rPr>
            </w:pP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Intranasální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sz w:val="11"/>
                <w:szCs w:val="11"/>
              </w:rPr>
              <w:t>apllkátor</w:t>
            </w:r>
            <w:proofErr w:type="spellEnd"/>
            <w:r>
              <w:rPr>
                <w:rStyle w:val="Jin"/>
                <w:b/>
                <w:bCs/>
                <w:sz w:val="11"/>
                <w:szCs w:val="11"/>
              </w:rPr>
              <w:t xml:space="preserve"> léčiv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24100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54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 xml:space="preserve">MAD </w:t>
            </w:r>
            <w:proofErr w:type="spellStart"/>
            <w:r>
              <w:rPr>
                <w:rStyle w:val="Jin"/>
                <w:sz w:val="15"/>
                <w:szCs w:val="15"/>
              </w:rPr>
              <w:t>Nasal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Drug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Delivery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Device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sz w:val="15"/>
                <w:szCs w:val="15"/>
              </w:rPr>
              <w:t>with</w:t>
            </w:r>
            <w:proofErr w:type="spellEnd"/>
            <w:r>
              <w:rPr>
                <w:rStyle w:val="Jin"/>
                <w:sz w:val="15"/>
                <w:szCs w:val="15"/>
              </w:rPr>
              <w:t xml:space="preserve"> </w:t>
            </w:r>
            <w:r>
              <w:rPr>
                <w:rStyle w:val="Jin"/>
                <w:sz w:val="15"/>
                <w:szCs w:val="15"/>
              </w:rPr>
              <w:t>3ml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ind w:firstLine="260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ks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160,55 Kč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37F" w:rsidRDefault="006118AC">
            <w:pPr>
              <w:pStyle w:val="Jin0"/>
              <w:spacing w:after="0" w:line="240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b/>
                <w:bCs/>
                <w:sz w:val="11"/>
                <w:szCs w:val="11"/>
              </w:rPr>
              <w:t>179,82 Kč</w:t>
            </w:r>
          </w:p>
        </w:tc>
      </w:tr>
    </w:tbl>
    <w:p w:rsidR="0096637F" w:rsidRDefault="0096637F">
      <w:pPr>
        <w:spacing w:after="3699" w:line="1" w:lineRule="exact"/>
      </w:pPr>
    </w:p>
    <w:p w:rsidR="0096637F" w:rsidRDefault="006118AC">
      <w:pPr>
        <w:pStyle w:val="Zkladntext30"/>
      </w:pPr>
      <w:r>
        <w:rPr>
          <w:rStyle w:val="Zkladntext3"/>
          <w:i/>
          <w:iCs/>
        </w:rPr>
        <w:t xml:space="preserve">Veřejná zakázka 19_2025 DNS ZSM: </w:t>
      </w:r>
      <w:proofErr w:type="spellStart"/>
      <w:r>
        <w:rPr>
          <w:rStyle w:val="Zkladntext3"/>
          <w:i/>
          <w:iCs/>
        </w:rPr>
        <w:t>Intranasální</w:t>
      </w:r>
      <w:proofErr w:type="spellEnd"/>
      <w:r>
        <w:rPr>
          <w:rStyle w:val="Zkladntext3"/>
          <w:i/>
          <w:iCs/>
        </w:rPr>
        <w:t xml:space="preserve"> a </w:t>
      </w:r>
      <w:proofErr w:type="spellStart"/>
      <w:r>
        <w:rPr>
          <w:rStyle w:val="Zkladntext3"/>
          <w:i/>
          <w:iCs/>
        </w:rPr>
        <w:t>Intraoseální</w:t>
      </w:r>
      <w:proofErr w:type="spellEnd"/>
      <w:r>
        <w:rPr>
          <w:rStyle w:val="Zkladntext3"/>
          <w:i/>
          <w:iCs/>
        </w:rPr>
        <w:t xml:space="preserve"> pomůcky 2026 - 2027</w:t>
      </w:r>
    </w:p>
    <w:sectPr w:rsidR="0096637F">
      <w:footerReference w:type="even" r:id="rId12"/>
      <w:footerReference w:type="default" r:id="rId13"/>
      <w:pgSz w:w="11900" w:h="16840"/>
      <w:pgMar w:top="5283" w:right="856" w:bottom="4579" w:left="1112" w:header="4855" w:footer="41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AC" w:rsidRDefault="006118AC">
      <w:r>
        <w:separator/>
      </w:r>
    </w:p>
  </w:endnote>
  <w:endnote w:type="continuationSeparator" w:id="0">
    <w:p w:rsidR="006118AC" w:rsidRDefault="0061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6118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9975850</wp:posOffset>
              </wp:positionV>
              <wp:extent cx="423989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8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37F" w:rsidRDefault="006118A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19_2025 DNS ZSM: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Intranasálnl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intraoseální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pomůcky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4.400000000000006pt;margin-top:785.5pt;width:333.85000000000002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19_2025 DNS ZSM: Intranasálnl a intraoseální pomůcky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6118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9975850</wp:posOffset>
              </wp:positionV>
              <wp:extent cx="423989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8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37F" w:rsidRDefault="006118A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19_2025 DNS ZSM: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Intranasálnl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intraoseální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pomůcky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400000000000006pt;margin-top:785.5pt;width:333.85000000000002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19_2025 DNS ZSM: Intranasálnl a intraoseální pomůcky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6118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924560</wp:posOffset>
              </wp:positionH>
              <wp:positionV relativeFrom="page">
                <wp:posOffset>10011410</wp:posOffset>
              </wp:positionV>
              <wp:extent cx="4239895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8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37F" w:rsidRDefault="006118A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19_2025 DNS ZSM: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Intranasální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intraoseální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pomůcky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2.799999999999997pt;margin-top:788.30000000000007pt;width:333.85000000000002pt;height:8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19_2025 DNS ZSM: Intranasální a intraoseální pomůcky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6118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924560</wp:posOffset>
              </wp:positionH>
              <wp:positionV relativeFrom="page">
                <wp:posOffset>10011410</wp:posOffset>
              </wp:positionV>
              <wp:extent cx="423989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989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37F" w:rsidRDefault="006118A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19_2025 DNS ZSM: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Intranasální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intraoseální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pomů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cky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2.799999999999997pt;margin-top:788.30000000000007pt;width:333.85000000000002pt;height:8.90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19_2025 DNS ZSM: Intranasální a intraoseální pomůcky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6118A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948055</wp:posOffset>
              </wp:positionH>
              <wp:positionV relativeFrom="page">
                <wp:posOffset>9948545</wp:posOffset>
              </wp:positionV>
              <wp:extent cx="370967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96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37F" w:rsidRDefault="006118AC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19_2025: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Intranasální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intraoseální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pomůcky 2026 - 2027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4.650000000000006pt;margin-top:783.35000000000002pt;width:292.10000000000002pt;height:9.09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19_2025: Intranasální</w:t>
                    </w: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 xml:space="preserve"> a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intraoseální pomůcky 2026 - 2027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96637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7F" w:rsidRDefault="009663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AC" w:rsidRDefault="006118AC"/>
  </w:footnote>
  <w:footnote w:type="continuationSeparator" w:id="0">
    <w:p w:rsidR="006118AC" w:rsidRDefault="00611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3A7F"/>
    <w:multiLevelType w:val="multilevel"/>
    <w:tmpl w:val="9B14C6E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B776A"/>
    <w:multiLevelType w:val="multilevel"/>
    <w:tmpl w:val="F03E077A"/>
    <w:lvl w:ilvl="0">
      <w:start w:val="2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7F"/>
    <w:rsid w:val="006118AC"/>
    <w:rsid w:val="0096637F"/>
    <w:rsid w:val="00B4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D03D-766C-4F5C-AC3A-9DDAD2DD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after="18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pacing w:after="18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40" w:line="230" w:lineRule="auto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Nadpis30">
    <w:name w:val="Nadpis #3"/>
    <w:basedOn w:val="Normln"/>
    <w:link w:val="Nadpis3"/>
    <w:pPr>
      <w:spacing w:after="220" w:line="170" w:lineRule="auto"/>
      <w:outlineLvl w:val="2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1706</Words>
  <Characters>10071</Characters>
  <Application>Microsoft Office Word</Application>
  <DocSecurity>0</DocSecurity>
  <Lines>83</Lines>
  <Paragraphs>23</Paragraphs>
  <ScaleCrop>false</ScaleCrop>
  <Company>HP Inc.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2025-11-12T10:16:00Z</dcterms:created>
  <dcterms:modified xsi:type="dcterms:W3CDTF">2025-11-12T10:16:00Z</dcterms:modified>
</cp:coreProperties>
</file>