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E75A" w14:textId="77777777" w:rsidR="00780FFD" w:rsidRDefault="00DF2443">
      <w:pPr>
        <w:spacing w:before="41"/>
        <w:ind w:left="2966" w:right="296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549CE75B" w14:textId="77777777" w:rsidR="00780FFD" w:rsidRDefault="00DF2443">
      <w:pPr>
        <w:pStyle w:val="Nadpis1"/>
        <w:spacing w:before="146"/>
        <w:ind w:left="2966" w:right="2965"/>
        <w:jc w:val="center"/>
      </w:pPr>
      <w:r>
        <w:t>SMLOUVA O KONZULTAČNÍ PODPOŘE</w:t>
      </w:r>
    </w:p>
    <w:p w14:paraId="549CE75C" w14:textId="77777777" w:rsidR="00780FFD" w:rsidRDefault="00780FFD">
      <w:pPr>
        <w:pStyle w:val="Zkladntext"/>
        <w:spacing w:before="12"/>
        <w:rPr>
          <w:b/>
          <w:sz w:val="23"/>
        </w:rPr>
      </w:pPr>
    </w:p>
    <w:p w14:paraId="549CE75D" w14:textId="77777777" w:rsidR="00780FFD" w:rsidRDefault="00DF2443">
      <w:pPr>
        <w:ind w:left="2966" w:right="2963"/>
        <w:jc w:val="center"/>
        <w:rPr>
          <w:b/>
        </w:rPr>
      </w:pPr>
      <w:r>
        <w:rPr>
          <w:b/>
        </w:rPr>
        <w:t>OP-25-1024</w:t>
      </w:r>
    </w:p>
    <w:p w14:paraId="549CE75E" w14:textId="77777777" w:rsidR="00780FFD" w:rsidRDefault="00780FFD">
      <w:pPr>
        <w:pStyle w:val="Zkladntext"/>
        <w:spacing w:before="10"/>
        <w:rPr>
          <w:b/>
          <w:sz w:val="17"/>
        </w:rPr>
      </w:pPr>
    </w:p>
    <w:p w14:paraId="549CE75F" w14:textId="77777777" w:rsidR="00780FFD" w:rsidRDefault="00DF2443">
      <w:pPr>
        <w:pStyle w:val="Nadpis1"/>
        <w:spacing w:before="51"/>
        <w:jc w:val="left"/>
      </w:pPr>
      <w:r>
        <w:rPr>
          <w:u w:val="single"/>
        </w:rPr>
        <w:t>Poskytovatel podpory:</w:t>
      </w:r>
    </w:p>
    <w:p w14:paraId="549CE760" w14:textId="77777777" w:rsidR="00780FFD" w:rsidRDefault="00780FFD">
      <w:pPr>
        <w:pStyle w:val="Zkladntext"/>
        <w:spacing w:before="9"/>
        <w:rPr>
          <w:b/>
          <w:sz w:val="19"/>
        </w:rPr>
      </w:pPr>
    </w:p>
    <w:p w14:paraId="549CE761" w14:textId="77777777" w:rsidR="00780FFD" w:rsidRDefault="00DF2443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549CE762" w14:textId="77777777" w:rsidR="00780FFD" w:rsidRDefault="00DF2443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549CE763" w14:textId="77777777" w:rsidR="00780FFD" w:rsidRDefault="00DF2443">
      <w:pPr>
        <w:pStyle w:val="Zkladntext"/>
        <w:tabs>
          <w:tab w:val="right" w:pos="4714"/>
        </w:tabs>
        <w:spacing w:before="2"/>
        <w:ind w:left="198"/>
      </w:pPr>
      <w:r>
        <w:t>IČO:</w:t>
      </w:r>
      <w:r>
        <w:tab/>
        <w:t>25379631</w:t>
      </w:r>
    </w:p>
    <w:p w14:paraId="549CE764" w14:textId="77777777" w:rsidR="00780FFD" w:rsidRDefault="00DF2443">
      <w:pPr>
        <w:pStyle w:val="Zkladntext"/>
        <w:ind w:left="198"/>
      </w:pPr>
      <w:r>
        <w:t>Zastoupený (na základě</w:t>
      </w:r>
    </w:p>
    <w:p w14:paraId="549CE765" w14:textId="77777777" w:rsidR="00780FFD" w:rsidRDefault="00DF2443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0DA6AB6D" w14:textId="77777777" w:rsidR="003B5E9A" w:rsidRDefault="00DF2443">
      <w:pPr>
        <w:tabs>
          <w:tab w:val="left" w:pos="3739"/>
        </w:tabs>
        <w:spacing w:before="120"/>
        <w:ind w:left="198" w:right="499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3B5E9A">
        <w:rPr>
          <w:sz w:val="24"/>
        </w:rPr>
        <w:t>XXXXXXX</w:t>
      </w:r>
    </w:p>
    <w:p w14:paraId="549CE766" w14:textId="30998C43" w:rsidR="00780FFD" w:rsidRDefault="00DF2443">
      <w:pPr>
        <w:tabs>
          <w:tab w:val="left" w:pos="3739"/>
        </w:tabs>
        <w:spacing w:before="120"/>
        <w:ind w:left="198" w:right="4999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49CE767" w14:textId="77777777" w:rsidR="00780FFD" w:rsidRDefault="00780FFD">
      <w:pPr>
        <w:pStyle w:val="Zkladntext"/>
      </w:pPr>
    </w:p>
    <w:p w14:paraId="549CE768" w14:textId="77777777" w:rsidR="00780FFD" w:rsidRDefault="00DF2443">
      <w:pPr>
        <w:pStyle w:val="Nadpis1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549CE769" w14:textId="77777777" w:rsidR="00780FFD" w:rsidRDefault="00780FFD">
      <w:pPr>
        <w:pStyle w:val="Zkladntext"/>
        <w:spacing w:before="9"/>
        <w:rPr>
          <w:b/>
          <w:sz w:val="19"/>
        </w:rPr>
      </w:pPr>
    </w:p>
    <w:p w14:paraId="549CE76A" w14:textId="77777777" w:rsidR="00780FFD" w:rsidRDefault="00DF2443">
      <w:pPr>
        <w:pStyle w:val="Zkladntext"/>
        <w:tabs>
          <w:tab w:val="left" w:pos="2750"/>
        </w:tabs>
        <w:spacing w:before="51"/>
        <w:ind w:left="198"/>
      </w:pPr>
      <w:r>
        <w:t>Název:</w:t>
      </w:r>
      <w:r>
        <w:tab/>
      </w:r>
      <w:proofErr w:type="spellStart"/>
      <w:r>
        <w:t>GeoPrime</w:t>
      </w:r>
      <w:proofErr w:type="spellEnd"/>
      <w:r>
        <w:t xml:space="preserve"> Geodézie</w:t>
      </w:r>
      <w:r>
        <w:rPr>
          <w:spacing w:val="-1"/>
        </w:rPr>
        <w:t xml:space="preserve"> </w:t>
      </w:r>
      <w:r>
        <w:t>s.r.o.</w:t>
      </w:r>
    </w:p>
    <w:p w14:paraId="549CE76B" w14:textId="77777777" w:rsidR="00780FFD" w:rsidRDefault="00DF2443">
      <w:pPr>
        <w:pStyle w:val="Zkladntext"/>
        <w:tabs>
          <w:tab w:val="left" w:pos="2750"/>
        </w:tabs>
        <w:spacing w:before="120"/>
        <w:ind w:left="198"/>
      </w:pPr>
      <w:r>
        <w:t>Sídlo:</w:t>
      </w:r>
      <w:r>
        <w:tab/>
        <w:t>Vřesinská 244/11, Ostrava, 708 00</w:t>
      </w:r>
    </w:p>
    <w:p w14:paraId="549CE76C" w14:textId="77777777" w:rsidR="00780FFD" w:rsidRDefault="00DF2443">
      <w:pPr>
        <w:pStyle w:val="Zkladntext"/>
        <w:tabs>
          <w:tab w:val="right" w:pos="3725"/>
        </w:tabs>
        <w:spacing w:before="120"/>
        <w:ind w:left="198"/>
      </w:pPr>
      <w:r>
        <w:t>IČO:</w:t>
      </w:r>
      <w:r>
        <w:tab/>
        <w:t>05364914</w:t>
      </w:r>
    </w:p>
    <w:p w14:paraId="549CE76D" w14:textId="77777777" w:rsidR="00780FFD" w:rsidRDefault="00DF2443">
      <w:pPr>
        <w:pStyle w:val="Zkladntext"/>
        <w:tabs>
          <w:tab w:val="left" w:pos="2750"/>
        </w:tabs>
        <w:spacing w:before="120"/>
        <w:ind w:left="198"/>
      </w:pPr>
      <w:r>
        <w:t>Zastoupený:</w:t>
      </w:r>
      <w:r>
        <w:tab/>
        <w:t xml:space="preserve">Vojtěch </w:t>
      </w:r>
      <w:proofErr w:type="spellStart"/>
      <w:r>
        <w:t>Podzemný</w:t>
      </w:r>
      <w:proofErr w:type="spellEnd"/>
      <w:r>
        <w:t>,</w:t>
      </w:r>
      <w:r>
        <w:rPr>
          <w:spacing w:val="-9"/>
        </w:rPr>
        <w:t xml:space="preserve"> </w:t>
      </w:r>
      <w:r>
        <w:t>jednatel</w:t>
      </w:r>
    </w:p>
    <w:p w14:paraId="549CE76E" w14:textId="77777777" w:rsidR="00780FFD" w:rsidRDefault="00DF2443">
      <w:pPr>
        <w:pStyle w:val="Zkladntext"/>
        <w:tabs>
          <w:tab w:val="left" w:pos="2750"/>
        </w:tabs>
        <w:spacing w:before="120"/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Vojtěch </w:t>
      </w:r>
      <w:proofErr w:type="spellStart"/>
      <w:r>
        <w:t>Podzemný</w:t>
      </w:r>
      <w:proofErr w:type="spellEnd"/>
      <w:r>
        <w:t>,</w:t>
      </w:r>
      <w:r>
        <w:rPr>
          <w:spacing w:val="-9"/>
        </w:rPr>
        <w:t xml:space="preserve"> </w:t>
      </w:r>
      <w:r>
        <w:t>jednatel</w:t>
      </w:r>
    </w:p>
    <w:p w14:paraId="549CE76F" w14:textId="77777777" w:rsidR="00780FFD" w:rsidRDefault="00DF2443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549CE770" w14:textId="77777777" w:rsidR="00780FFD" w:rsidRDefault="00780FFD">
      <w:pPr>
        <w:pStyle w:val="Zkladntext"/>
      </w:pPr>
    </w:p>
    <w:p w14:paraId="549CE771" w14:textId="77777777" w:rsidR="00780FFD" w:rsidRDefault="00780FFD">
      <w:pPr>
        <w:pStyle w:val="Zkladntext"/>
        <w:spacing w:before="2"/>
      </w:pPr>
    </w:p>
    <w:p w14:paraId="549CE772" w14:textId="77777777" w:rsidR="00780FFD" w:rsidRDefault="00DF2443">
      <w:pPr>
        <w:pStyle w:val="Nadpis1"/>
        <w:jc w:val="left"/>
      </w:pPr>
      <w:r>
        <w:rPr>
          <w:u w:val="single"/>
        </w:rPr>
        <w:t>Expert:</w:t>
      </w:r>
    </w:p>
    <w:p w14:paraId="549CE773" w14:textId="77777777" w:rsidR="00780FFD" w:rsidRDefault="00780FFD">
      <w:pPr>
        <w:pStyle w:val="Zkladntext"/>
        <w:spacing w:before="9"/>
        <w:rPr>
          <w:b/>
          <w:sz w:val="19"/>
        </w:rPr>
      </w:pPr>
    </w:p>
    <w:p w14:paraId="549CE774" w14:textId="77777777" w:rsidR="00780FFD" w:rsidRDefault="00DF2443">
      <w:pPr>
        <w:pStyle w:val="Zkladntext"/>
        <w:tabs>
          <w:tab w:val="left" w:pos="2750"/>
        </w:tabs>
        <w:spacing w:before="52"/>
        <w:ind w:left="19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549CE775" w14:textId="77777777" w:rsidR="00780FFD" w:rsidRDefault="00DF2443">
      <w:pPr>
        <w:pStyle w:val="Zkladntext"/>
        <w:tabs>
          <w:tab w:val="left" w:pos="2750"/>
        </w:tabs>
        <w:spacing w:before="119"/>
        <w:ind w:left="198"/>
      </w:pPr>
      <w:r>
        <w:t>Sídlo:</w:t>
      </w:r>
      <w:r>
        <w:tab/>
        <w:t>28. října 1584/281, Ostrava, 70900</w:t>
      </w:r>
    </w:p>
    <w:p w14:paraId="549CE776" w14:textId="77777777" w:rsidR="00780FFD" w:rsidRDefault="00DF2443">
      <w:pPr>
        <w:pStyle w:val="Zkladntext"/>
        <w:tabs>
          <w:tab w:val="right" w:pos="3725"/>
        </w:tabs>
        <w:spacing w:before="120"/>
        <w:ind w:left="198"/>
      </w:pPr>
      <w:r>
        <w:t>IČO:</w:t>
      </w:r>
      <w:r>
        <w:tab/>
        <w:t>27831345</w:t>
      </w:r>
    </w:p>
    <w:p w14:paraId="549CE777" w14:textId="4BCA9535" w:rsidR="00780FFD" w:rsidRDefault="00DF2443">
      <w:pPr>
        <w:pStyle w:val="Zkladntext"/>
        <w:tabs>
          <w:tab w:val="left" w:pos="2750"/>
        </w:tabs>
        <w:spacing w:before="120"/>
        <w:ind w:left="198"/>
      </w:pPr>
      <w:r>
        <w:t>Zastoupený:</w:t>
      </w:r>
      <w:r>
        <w:tab/>
      </w:r>
      <w:r w:rsidR="00545788">
        <w:t>XXXXXXX</w:t>
      </w:r>
      <w:r>
        <w:t xml:space="preserve">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rPr>
          <w:spacing w:val="-1"/>
        </w:rPr>
        <w:t xml:space="preserve"> </w:t>
      </w:r>
      <w:proofErr w:type="spellStart"/>
      <w:r>
        <w:t>Officer</w:t>
      </w:r>
      <w:proofErr w:type="spellEnd"/>
    </w:p>
    <w:p w14:paraId="549CE778" w14:textId="36253525" w:rsidR="00780FFD" w:rsidRDefault="00DF2443">
      <w:pPr>
        <w:pStyle w:val="Zkladntext"/>
        <w:tabs>
          <w:tab w:val="left" w:pos="3031"/>
        </w:tabs>
        <w:spacing w:before="120"/>
        <w:ind w:left="198" w:right="5544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545788">
        <w:t>XXXXX</w:t>
      </w: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49CE779" w14:textId="77777777" w:rsidR="00780FFD" w:rsidRDefault="00DF2443">
      <w:pPr>
        <w:pStyle w:val="Zkladntext"/>
        <w:spacing w:before="586"/>
        <w:ind w:left="198"/>
        <w:jc w:val="both"/>
      </w:pPr>
      <w:r>
        <w:t>Předpokládaný vedlejší Expert: ……………………………………………………………………………</w:t>
      </w:r>
    </w:p>
    <w:p w14:paraId="549CE77A" w14:textId="77777777" w:rsidR="00780FFD" w:rsidRDefault="00DF2443">
      <w:pPr>
        <w:pStyle w:val="Nadpis1"/>
        <w:numPr>
          <w:ilvl w:val="0"/>
          <w:numId w:val="1"/>
        </w:numPr>
        <w:tabs>
          <w:tab w:val="left" w:pos="559"/>
        </w:tabs>
        <w:ind w:hanging="361"/>
        <w:jc w:val="both"/>
      </w:pPr>
      <w:r>
        <w:t>Předmět smlouvy</w:t>
      </w:r>
    </w:p>
    <w:p w14:paraId="549CE77B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ind w:right="19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</w:t>
      </w:r>
      <w:r>
        <w:rPr>
          <w:spacing w:val="17"/>
          <w:sz w:val="24"/>
        </w:rPr>
        <w:t xml:space="preserve"> </w:t>
      </w:r>
      <w:r>
        <w:rPr>
          <w:sz w:val="24"/>
        </w:rPr>
        <w:t>unie</w:t>
      </w:r>
      <w:r>
        <w:rPr>
          <w:spacing w:val="17"/>
          <w:sz w:val="24"/>
        </w:rPr>
        <w:t xml:space="preserve"> </w:t>
      </w:r>
      <w:r>
        <w:rPr>
          <w:sz w:val="24"/>
        </w:rPr>
        <w:t>(program</w:t>
      </w:r>
      <w:r>
        <w:rPr>
          <w:spacing w:val="18"/>
          <w:sz w:val="24"/>
        </w:rPr>
        <w:t xml:space="preserve"> </w:t>
      </w:r>
      <w:r>
        <w:rPr>
          <w:sz w:val="24"/>
        </w:rPr>
        <w:t>Digitální</w:t>
      </w:r>
      <w:r>
        <w:rPr>
          <w:spacing w:val="17"/>
          <w:sz w:val="24"/>
        </w:rPr>
        <w:t xml:space="preserve"> </w:t>
      </w:r>
      <w:r>
        <w:rPr>
          <w:sz w:val="24"/>
        </w:rPr>
        <w:t>Evropa),</w:t>
      </w:r>
      <w:r>
        <w:rPr>
          <w:spacing w:val="14"/>
          <w:sz w:val="24"/>
        </w:rPr>
        <w:t xml:space="preserve"> </w:t>
      </w:r>
      <w:r>
        <w:rPr>
          <w:sz w:val="24"/>
        </w:rPr>
        <w:t>přičemž</w:t>
      </w:r>
      <w:r>
        <w:rPr>
          <w:spacing w:val="18"/>
          <w:sz w:val="24"/>
        </w:rPr>
        <w:t xml:space="preserve"> </w:t>
      </w:r>
      <w:r>
        <w:rPr>
          <w:sz w:val="24"/>
        </w:rPr>
        <w:t>tento</w:t>
      </w:r>
      <w:r>
        <w:rPr>
          <w:spacing w:val="15"/>
          <w:sz w:val="24"/>
        </w:rPr>
        <w:t xml:space="preserve"> </w:t>
      </w:r>
      <w:r>
        <w:rPr>
          <w:sz w:val="24"/>
        </w:rPr>
        <w:t>projekt</w:t>
      </w:r>
      <w:r>
        <w:rPr>
          <w:spacing w:val="16"/>
          <w:sz w:val="24"/>
        </w:rPr>
        <w:t xml:space="preserve"> </w:t>
      </w:r>
      <w:r>
        <w:rPr>
          <w:sz w:val="24"/>
        </w:rPr>
        <w:t>je</w:t>
      </w:r>
      <w:r>
        <w:rPr>
          <w:spacing w:val="14"/>
          <w:sz w:val="24"/>
        </w:rPr>
        <w:t xml:space="preserve"> </w:t>
      </w:r>
      <w:r>
        <w:rPr>
          <w:sz w:val="24"/>
        </w:rPr>
        <w:t>rovněž</w:t>
      </w:r>
      <w:r>
        <w:rPr>
          <w:spacing w:val="17"/>
          <w:sz w:val="24"/>
        </w:rPr>
        <w:t xml:space="preserve"> </w:t>
      </w:r>
      <w:r>
        <w:rPr>
          <w:sz w:val="24"/>
        </w:rPr>
        <w:t>podpořen</w:t>
      </w:r>
    </w:p>
    <w:p w14:paraId="549CE77C" w14:textId="77777777" w:rsidR="00780FFD" w:rsidRDefault="00DF2443">
      <w:pPr>
        <w:spacing w:before="239"/>
        <w:ind w:left="5578"/>
      </w:pPr>
      <w:r>
        <w:t>MSIC CYBER Sken – verze platná od 1.9.2025</w:t>
      </w:r>
    </w:p>
    <w:p w14:paraId="549CE77D" w14:textId="77777777" w:rsidR="00780FFD" w:rsidRDefault="00780FFD">
      <w:pPr>
        <w:sectPr w:rsidR="00780FFD">
          <w:headerReference w:type="default" r:id="rId7"/>
          <w:footerReference w:type="default" r:id="rId8"/>
          <w:type w:val="continuous"/>
          <w:pgSz w:w="11910" w:h="16840"/>
          <w:pgMar w:top="1360" w:right="940" w:bottom="1600" w:left="1220" w:header="303" w:footer="1402" w:gutter="0"/>
          <w:pgNumType w:start="1"/>
          <w:cols w:space="708"/>
        </w:sectPr>
      </w:pPr>
    </w:p>
    <w:p w14:paraId="549CE77E" w14:textId="77777777" w:rsidR="00780FFD" w:rsidRDefault="00DF2443">
      <w:pPr>
        <w:pStyle w:val="Zkladntext"/>
        <w:spacing w:before="41"/>
        <w:ind w:left="623" w:right="194"/>
        <w:jc w:val="both"/>
      </w:pPr>
      <w:r>
        <w:lastRenderedPageBreak/>
        <w:t>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4"/>
        </w:rPr>
        <w:t xml:space="preserve"> </w:t>
      </w:r>
      <w:r>
        <w:t>České</w:t>
      </w:r>
      <w:r>
        <w:rPr>
          <w:spacing w:val="-13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4"/>
        </w:rPr>
        <w:t xml:space="preserve"> </w:t>
      </w:r>
      <w:r>
        <w:t xml:space="preserve">projektu 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rPr>
          <w:spacing w:val="-8"/>
        </w:rPr>
        <w:t xml:space="preserve"> </w:t>
      </w:r>
      <w:r>
        <w:t>Facility).</w:t>
      </w:r>
    </w:p>
    <w:p w14:paraId="549CE77F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8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549CE780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121"/>
        <w:ind w:right="18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49CE781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49CE782" w14:textId="77777777" w:rsidR="00780FFD" w:rsidRDefault="00DF2443">
      <w:pPr>
        <w:pStyle w:val="Nadpis1"/>
        <w:numPr>
          <w:ilvl w:val="0"/>
          <w:numId w:val="1"/>
        </w:numPr>
        <w:tabs>
          <w:tab w:val="left" w:pos="557"/>
        </w:tabs>
        <w:spacing w:before="121"/>
        <w:ind w:left="556" w:hanging="359"/>
        <w:jc w:val="both"/>
      </w:pPr>
      <w:r>
        <w:t>Konzultace</w:t>
      </w:r>
    </w:p>
    <w:p w14:paraId="549CE783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ind w:right="19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49CE784" w14:textId="77777777" w:rsidR="00780FFD" w:rsidRDefault="00DF2443">
      <w:pPr>
        <w:pStyle w:val="Zkladntext"/>
        <w:spacing w:before="120"/>
        <w:ind w:left="623"/>
        <w:jc w:val="both"/>
      </w:pPr>
      <w:r>
        <w:rPr>
          <w:b/>
        </w:rPr>
        <w:t xml:space="preserve">Cíl = </w:t>
      </w:r>
      <w:r>
        <w:t>Zvýšení současné úrovně kyberneticko-bezpečnostní připravenosti společnosti</w:t>
      </w:r>
    </w:p>
    <w:p w14:paraId="549CE785" w14:textId="77777777" w:rsidR="00780FFD" w:rsidRDefault="00780FFD">
      <w:pPr>
        <w:pStyle w:val="Zkladntext"/>
        <w:spacing w:before="12"/>
        <w:rPr>
          <w:sz w:val="14"/>
        </w:rPr>
      </w:pPr>
    </w:p>
    <w:tbl>
      <w:tblPr>
        <w:tblStyle w:val="TableNormal"/>
        <w:tblW w:w="0" w:type="auto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780FFD" w14:paraId="549CE788" w14:textId="77777777">
        <w:trPr>
          <w:trHeight w:val="476"/>
        </w:trPr>
        <w:tc>
          <w:tcPr>
            <w:tcW w:w="7023" w:type="dxa"/>
          </w:tcPr>
          <w:p w14:paraId="549CE786" w14:textId="77777777" w:rsidR="00780FFD" w:rsidRDefault="00DF2443">
            <w:pPr>
              <w:pStyle w:val="TableParagraph"/>
              <w:spacing w:before="1"/>
              <w:ind w:left="27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549CE787" w14:textId="77777777" w:rsidR="00780FFD" w:rsidRDefault="00DF2443">
            <w:pPr>
              <w:pStyle w:val="TableParagraph"/>
              <w:spacing w:before="1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780FFD" w14:paraId="549CE78B" w14:textId="77777777">
        <w:trPr>
          <w:trHeight w:val="1425"/>
        </w:trPr>
        <w:tc>
          <w:tcPr>
            <w:tcW w:w="7023" w:type="dxa"/>
          </w:tcPr>
          <w:p w14:paraId="549CE789" w14:textId="77777777" w:rsidR="00780FFD" w:rsidRDefault="00DF2443">
            <w:pPr>
              <w:pStyle w:val="TableParagraph"/>
              <w:spacing w:before="1" w:line="259" w:lineRule="auto"/>
              <w:ind w:left="532" w:right="88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kyberbezpečnosti, dle metodiky poskytovatele, kde výstupem bude závěrečná zpráva experta včetně doporučení až tří efektivních změnových projektů v oblasti kyberbezpečnosti.</w:t>
            </w:r>
          </w:p>
        </w:tc>
        <w:tc>
          <w:tcPr>
            <w:tcW w:w="1608" w:type="dxa"/>
          </w:tcPr>
          <w:p w14:paraId="549CE78A" w14:textId="77777777" w:rsidR="00780FFD" w:rsidRDefault="00DF2443">
            <w:pPr>
              <w:pStyle w:val="TableParagraph"/>
              <w:spacing w:before="1"/>
              <w:ind w:left="600" w:right="577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780FFD" w14:paraId="549CE78E" w14:textId="77777777">
        <w:trPr>
          <w:trHeight w:val="627"/>
        </w:trPr>
        <w:tc>
          <w:tcPr>
            <w:tcW w:w="7023" w:type="dxa"/>
          </w:tcPr>
          <w:p w14:paraId="549CE78C" w14:textId="77777777" w:rsidR="00780FFD" w:rsidRDefault="00DF2443">
            <w:pPr>
              <w:pStyle w:val="TableParagraph"/>
              <w:spacing w:line="292" w:lineRule="exact"/>
              <w:ind w:left="13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549CE78D" w14:textId="77777777" w:rsidR="00780FFD" w:rsidRDefault="00DF2443">
            <w:pPr>
              <w:pStyle w:val="TableParagraph"/>
              <w:spacing w:line="292" w:lineRule="exact"/>
              <w:ind w:left="0" w:right="24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549CE78F" w14:textId="77777777" w:rsidR="00780FFD" w:rsidRDefault="00DF2443">
      <w:pPr>
        <w:spacing w:before="124"/>
        <w:ind w:left="5578"/>
      </w:pPr>
      <w:r>
        <w:t>MSIC CYBER Sken – verze platná od 1.9.2025</w:t>
      </w:r>
    </w:p>
    <w:p w14:paraId="549CE790" w14:textId="77777777" w:rsidR="00780FFD" w:rsidRDefault="00780FFD">
      <w:pPr>
        <w:sectPr w:rsidR="00780FFD">
          <w:pgSz w:w="11910" w:h="16840"/>
          <w:pgMar w:top="1360" w:right="940" w:bottom="1600" w:left="1220" w:header="303" w:footer="1402" w:gutter="0"/>
          <w:cols w:space="708"/>
        </w:sectPr>
      </w:pPr>
    </w:p>
    <w:p w14:paraId="549CE791" w14:textId="77777777" w:rsidR="00780FFD" w:rsidRDefault="00780FFD">
      <w:pPr>
        <w:pStyle w:val="Zkladntext"/>
        <w:rPr>
          <w:sz w:val="20"/>
        </w:rPr>
      </w:pPr>
    </w:p>
    <w:p w14:paraId="549CE792" w14:textId="77777777" w:rsidR="00780FFD" w:rsidRDefault="00780FFD">
      <w:pPr>
        <w:pStyle w:val="Zkladntext"/>
        <w:spacing w:before="2"/>
        <w:rPr>
          <w:sz w:val="27"/>
        </w:rPr>
      </w:pPr>
    </w:p>
    <w:p w14:paraId="549CE793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51"/>
        <w:ind w:right="18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49CE794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9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31.1.2026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549CE795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18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49CE796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19"/>
        <w:ind w:left="626" w:right="18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549CE797" w14:textId="77777777" w:rsidR="00780FFD" w:rsidRDefault="00780FFD">
      <w:pPr>
        <w:pStyle w:val="Zkladntext"/>
        <w:rPr>
          <w:sz w:val="34"/>
        </w:rPr>
      </w:pPr>
    </w:p>
    <w:p w14:paraId="549CE798" w14:textId="77777777" w:rsidR="00780FFD" w:rsidRDefault="00DF2443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49CE799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549CE79A" w14:textId="77777777" w:rsidR="00780FFD" w:rsidRDefault="00DF2443">
      <w:pPr>
        <w:pStyle w:val="Zkladntext"/>
        <w:ind w:left="623" w:right="19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549CE79B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8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49CE79C" w14:textId="77777777" w:rsidR="00780FFD" w:rsidRDefault="00780FFD">
      <w:pPr>
        <w:pStyle w:val="Zkladntext"/>
        <w:rPr>
          <w:b/>
          <w:sz w:val="20"/>
        </w:rPr>
      </w:pPr>
    </w:p>
    <w:p w14:paraId="549CE79D" w14:textId="77777777" w:rsidR="00780FFD" w:rsidRDefault="00780FFD">
      <w:pPr>
        <w:pStyle w:val="Zkladntext"/>
        <w:spacing w:before="4"/>
        <w:rPr>
          <w:b/>
          <w:sz w:val="22"/>
        </w:rPr>
      </w:pPr>
    </w:p>
    <w:p w14:paraId="549CE79E" w14:textId="77777777" w:rsidR="00780FFD" w:rsidRDefault="00DF2443">
      <w:pPr>
        <w:spacing w:before="56"/>
        <w:ind w:left="5578"/>
      </w:pPr>
      <w:r>
        <w:t>MSIC CYBER Sken – verze platná od 1.9.2025</w:t>
      </w:r>
    </w:p>
    <w:p w14:paraId="549CE79F" w14:textId="77777777" w:rsidR="00780FFD" w:rsidRDefault="00780FFD">
      <w:pPr>
        <w:sectPr w:rsidR="00780FFD">
          <w:pgSz w:w="11910" w:h="16840"/>
          <w:pgMar w:top="1360" w:right="940" w:bottom="1600" w:left="1220" w:header="303" w:footer="1402" w:gutter="0"/>
          <w:cols w:space="708"/>
        </w:sectPr>
      </w:pPr>
    </w:p>
    <w:p w14:paraId="549CE7A0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49CE7A1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49CE7A2" w14:textId="77777777" w:rsidR="00780FFD" w:rsidRDefault="00780FFD">
      <w:pPr>
        <w:pStyle w:val="Zkladntext"/>
        <w:rPr>
          <w:sz w:val="34"/>
        </w:rPr>
      </w:pPr>
    </w:p>
    <w:p w14:paraId="549CE7A3" w14:textId="77777777" w:rsidR="00780FFD" w:rsidRDefault="00DF2443">
      <w:pPr>
        <w:pStyle w:val="Nadpis1"/>
        <w:numPr>
          <w:ilvl w:val="0"/>
          <w:numId w:val="1"/>
        </w:numPr>
        <w:tabs>
          <w:tab w:val="left" w:pos="627"/>
        </w:tabs>
        <w:ind w:left="626" w:hanging="42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49CE7A4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ind w:left="626" w:right="187" w:hanging="428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7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 DPH. Daň z</w:t>
      </w:r>
      <w:r>
        <w:rPr>
          <w:spacing w:val="14"/>
          <w:sz w:val="24"/>
        </w:rPr>
        <w:t xml:space="preserve"> </w:t>
      </w:r>
      <w:r>
        <w:rPr>
          <w:sz w:val="24"/>
        </w:rPr>
        <w:t>přidané hodnoty bude účtována dle platných právních předpisů. Dále jen</w:t>
      </w:r>
    </w:p>
    <w:p w14:paraId="549CE7A5" w14:textId="77777777" w:rsidR="00780FFD" w:rsidRDefault="00DF2443">
      <w:pPr>
        <w:pStyle w:val="Zkladntext"/>
        <w:ind w:left="626"/>
        <w:jc w:val="both"/>
      </w:pPr>
      <w:r>
        <w:t>„Odměna Poskytovatele“.</w:t>
      </w:r>
    </w:p>
    <w:p w14:paraId="549CE7A6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87" w:hanging="428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34.130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vz</w:t>
      </w:r>
      <w:r>
        <w:rPr>
          <w:b/>
          <w:sz w:val="24"/>
        </w:rPr>
        <w:t>niká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(za</w:t>
      </w:r>
      <w:r>
        <w:rPr>
          <w:spacing w:val="-9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9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8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49CE7A7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190" w:hanging="42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549CE7A8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86" w:hanging="428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</w:t>
      </w:r>
      <w:proofErr w:type="gramStart"/>
      <w:r>
        <w:rPr>
          <w:sz w:val="24"/>
        </w:rPr>
        <w:t>Poskytovatel  oprávněn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vycházet  z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informací,  které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</w:t>
      </w:r>
      <w:r>
        <w:rPr>
          <w:b/>
          <w:sz w:val="24"/>
        </w:rPr>
        <w:t>radit DPH v plné výši, a to vypočtenou z celé částky uvedené v 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</w:t>
      </w:r>
    </w:p>
    <w:p w14:paraId="549CE7A9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191" w:hanging="428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549CE7AA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94" w:hanging="428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</w:t>
      </w:r>
      <w:r>
        <w:rPr>
          <w:spacing w:val="45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mohou</w:t>
      </w:r>
      <w:r>
        <w:rPr>
          <w:spacing w:val="43"/>
          <w:sz w:val="24"/>
        </w:rPr>
        <w:t xml:space="preserve"> </w:t>
      </w:r>
      <w:r>
        <w:rPr>
          <w:sz w:val="24"/>
        </w:rPr>
        <w:t>mít</w:t>
      </w:r>
      <w:r>
        <w:rPr>
          <w:spacing w:val="46"/>
          <w:sz w:val="24"/>
        </w:rPr>
        <w:t xml:space="preserve"> </w:t>
      </w:r>
      <w:r>
        <w:rPr>
          <w:sz w:val="24"/>
        </w:rPr>
        <w:t>vliv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splnění</w:t>
      </w:r>
      <w:r>
        <w:rPr>
          <w:spacing w:val="43"/>
          <w:sz w:val="24"/>
        </w:rPr>
        <w:t xml:space="preserve"> </w:t>
      </w:r>
      <w:r>
        <w:rPr>
          <w:sz w:val="24"/>
        </w:rPr>
        <w:t>podmínek</w:t>
      </w:r>
      <w:r>
        <w:rPr>
          <w:spacing w:val="43"/>
          <w:sz w:val="24"/>
        </w:rPr>
        <w:t xml:space="preserve"> </w:t>
      </w:r>
      <w:r>
        <w:rPr>
          <w:sz w:val="24"/>
        </w:rPr>
        <w:t>této</w:t>
      </w:r>
      <w:r>
        <w:rPr>
          <w:spacing w:val="44"/>
          <w:sz w:val="24"/>
        </w:rPr>
        <w:t xml:space="preserve"> </w:t>
      </w:r>
      <w:r>
        <w:rPr>
          <w:sz w:val="24"/>
        </w:rPr>
        <w:t>smlouvy</w:t>
      </w:r>
      <w:r>
        <w:rPr>
          <w:spacing w:val="41"/>
          <w:sz w:val="24"/>
        </w:rPr>
        <w:t xml:space="preserve"> </w:t>
      </w:r>
      <w:r>
        <w:rPr>
          <w:sz w:val="24"/>
        </w:rPr>
        <w:t>(např.</w:t>
      </w:r>
      <w:r>
        <w:rPr>
          <w:spacing w:val="43"/>
          <w:sz w:val="24"/>
        </w:rPr>
        <w:t xml:space="preserve"> </w:t>
      </w:r>
      <w:r>
        <w:rPr>
          <w:sz w:val="24"/>
        </w:rPr>
        <w:t>změny</w:t>
      </w:r>
      <w:r>
        <w:rPr>
          <w:spacing w:val="43"/>
          <w:sz w:val="24"/>
        </w:rPr>
        <w:t xml:space="preserve"> </w:t>
      </w:r>
      <w:r>
        <w:rPr>
          <w:sz w:val="24"/>
        </w:rPr>
        <w:t>údajů</w:t>
      </w:r>
    </w:p>
    <w:p w14:paraId="549CE7AB" w14:textId="77777777" w:rsidR="00780FFD" w:rsidRDefault="00DF2443">
      <w:pPr>
        <w:spacing w:before="37"/>
        <w:ind w:left="5578"/>
        <w:jc w:val="both"/>
      </w:pPr>
      <w:r>
        <w:t>MSIC CYBER Sken – verze platná od 1.9.2025</w:t>
      </w:r>
    </w:p>
    <w:p w14:paraId="549CE7AC" w14:textId="77777777" w:rsidR="00780FFD" w:rsidRDefault="00780FFD">
      <w:pPr>
        <w:jc w:val="both"/>
        <w:sectPr w:rsidR="00780FFD">
          <w:pgSz w:w="11910" w:h="16840"/>
          <w:pgMar w:top="1360" w:right="940" w:bottom="1600" w:left="1220" w:header="303" w:footer="1402" w:gutter="0"/>
          <w:cols w:space="708"/>
        </w:sectPr>
      </w:pPr>
    </w:p>
    <w:p w14:paraId="549CE7AD" w14:textId="77777777" w:rsidR="00780FFD" w:rsidRDefault="00DF2443">
      <w:pPr>
        <w:pStyle w:val="Zkladntext"/>
        <w:spacing w:before="41"/>
        <w:ind w:left="626" w:right="188"/>
        <w:jc w:val="both"/>
      </w:pPr>
      <w:r>
        <w:lastRenderedPageBreak/>
        <w:t>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 Příjemcem.</w:t>
      </w:r>
    </w:p>
    <w:p w14:paraId="549CE7AE" w14:textId="77777777" w:rsidR="00780FFD" w:rsidRDefault="00780FFD">
      <w:pPr>
        <w:pStyle w:val="Zkladntext"/>
        <w:spacing w:before="10"/>
        <w:rPr>
          <w:sz w:val="33"/>
        </w:rPr>
      </w:pPr>
    </w:p>
    <w:p w14:paraId="549CE7AF" w14:textId="77777777" w:rsidR="00780FFD" w:rsidRDefault="00DF2443">
      <w:pPr>
        <w:pStyle w:val="Nadpis1"/>
        <w:numPr>
          <w:ilvl w:val="0"/>
          <w:numId w:val="1"/>
        </w:numPr>
        <w:tabs>
          <w:tab w:val="left" w:pos="559"/>
        </w:tabs>
        <w:ind w:hanging="361"/>
        <w:jc w:val="both"/>
      </w:pPr>
      <w:r>
        <w:t>Trvání Smlouvy</w:t>
      </w:r>
    </w:p>
    <w:p w14:paraId="549CE7B0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49CE7B1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1"/>
        <w:ind w:right="18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49CE7B2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9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49CE7B3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49CE7B4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8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549CE7B5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1"/>
        <w:ind w:right="18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49CE7B6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8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549CE7B7" w14:textId="77777777" w:rsidR="00780FFD" w:rsidRDefault="00780FFD">
      <w:pPr>
        <w:pStyle w:val="Zkladntext"/>
        <w:spacing w:before="1"/>
        <w:rPr>
          <w:sz w:val="29"/>
        </w:rPr>
      </w:pPr>
    </w:p>
    <w:p w14:paraId="549CE7B8" w14:textId="77777777" w:rsidR="00780FFD" w:rsidRDefault="00DF2443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49CE7B9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ind w:right="0" w:hanging="426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0"/>
          <w:sz w:val="24"/>
        </w:rPr>
        <w:t xml:space="preserve"> </w:t>
      </w:r>
      <w:r>
        <w:rPr>
          <w:sz w:val="24"/>
        </w:rPr>
        <w:t>pouze</w:t>
      </w:r>
    </w:p>
    <w:p w14:paraId="549CE7BA" w14:textId="77777777" w:rsidR="00780FFD" w:rsidRDefault="00DF2443">
      <w:pPr>
        <w:pStyle w:val="Zkladntext"/>
        <w:ind w:left="623"/>
      </w:pPr>
      <w:r>
        <w:t>v písemné formě.</w:t>
      </w:r>
    </w:p>
    <w:p w14:paraId="549CE7BB" w14:textId="77777777" w:rsidR="00780FFD" w:rsidRDefault="00780FFD">
      <w:pPr>
        <w:pStyle w:val="Zkladntext"/>
        <w:spacing w:before="1"/>
        <w:rPr>
          <w:sz w:val="23"/>
        </w:rPr>
      </w:pPr>
    </w:p>
    <w:p w14:paraId="549CE7BC" w14:textId="77777777" w:rsidR="00780FFD" w:rsidRDefault="00DF2443">
      <w:pPr>
        <w:spacing w:before="56"/>
        <w:ind w:left="5578"/>
      </w:pPr>
      <w:r>
        <w:t>MSIC CYBER Sken – verze platná od 1.9.2025</w:t>
      </w:r>
    </w:p>
    <w:p w14:paraId="549CE7BD" w14:textId="77777777" w:rsidR="00780FFD" w:rsidRDefault="00780FFD">
      <w:pPr>
        <w:sectPr w:rsidR="00780FFD">
          <w:pgSz w:w="11910" w:h="16840"/>
          <w:pgMar w:top="1360" w:right="940" w:bottom="1600" w:left="1220" w:header="303" w:footer="1402" w:gutter="0"/>
          <w:cols w:space="708"/>
        </w:sectPr>
      </w:pPr>
    </w:p>
    <w:p w14:paraId="549CE7BE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41"/>
        <w:ind w:right="187"/>
        <w:jc w:val="both"/>
        <w:rPr>
          <w:sz w:val="24"/>
        </w:rPr>
      </w:pPr>
      <w:r>
        <w:rPr>
          <w:sz w:val="24"/>
        </w:rPr>
        <w:lastRenderedPageBreak/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49CE7BF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49CE7C0" w14:textId="77777777" w:rsidR="00780FFD" w:rsidRDefault="00DF2443">
      <w:pPr>
        <w:pStyle w:val="Odstavecseseznamem"/>
        <w:numPr>
          <w:ilvl w:val="1"/>
          <w:numId w:val="1"/>
        </w:numPr>
        <w:tabs>
          <w:tab w:val="left" w:pos="624"/>
        </w:tabs>
        <w:spacing w:before="61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49CE7C1" w14:textId="77777777" w:rsidR="00780FFD" w:rsidRDefault="00780FFD">
      <w:pPr>
        <w:pStyle w:val="Zkladntext"/>
        <w:rPr>
          <w:sz w:val="20"/>
        </w:rPr>
      </w:pPr>
    </w:p>
    <w:p w14:paraId="549CE7C2" w14:textId="77777777" w:rsidR="00780FFD" w:rsidRDefault="00780FFD">
      <w:pPr>
        <w:pStyle w:val="Zkladntext"/>
        <w:rPr>
          <w:sz w:val="20"/>
        </w:rPr>
      </w:pPr>
    </w:p>
    <w:p w14:paraId="549CE7C3" w14:textId="77777777" w:rsidR="00780FFD" w:rsidRDefault="00780FFD">
      <w:pPr>
        <w:pStyle w:val="Zkladntext"/>
        <w:rPr>
          <w:sz w:val="20"/>
        </w:rPr>
      </w:pPr>
    </w:p>
    <w:p w14:paraId="549CE7C4" w14:textId="77777777" w:rsidR="00780FFD" w:rsidRDefault="00780FFD">
      <w:pPr>
        <w:pStyle w:val="Zkladntext"/>
        <w:rPr>
          <w:sz w:val="20"/>
        </w:rPr>
      </w:pPr>
    </w:p>
    <w:p w14:paraId="549CE7C5" w14:textId="77777777" w:rsidR="00780FFD" w:rsidRDefault="00780FFD">
      <w:pPr>
        <w:pStyle w:val="Zkladntext"/>
        <w:rPr>
          <w:sz w:val="20"/>
        </w:rPr>
      </w:pPr>
    </w:p>
    <w:p w14:paraId="549CE7C6" w14:textId="77777777" w:rsidR="00780FFD" w:rsidRDefault="00780FFD">
      <w:pPr>
        <w:pStyle w:val="Zkladntext"/>
        <w:rPr>
          <w:sz w:val="20"/>
        </w:rPr>
      </w:pPr>
    </w:p>
    <w:p w14:paraId="549CE7C7" w14:textId="77777777" w:rsidR="00780FFD" w:rsidRDefault="00780FFD">
      <w:pPr>
        <w:pStyle w:val="Zkladntext"/>
        <w:spacing w:before="5"/>
        <w:rPr>
          <w:sz w:val="21"/>
        </w:rPr>
      </w:pPr>
    </w:p>
    <w:p w14:paraId="549CE7C8" w14:textId="77777777" w:rsidR="00780FFD" w:rsidRDefault="00780FFD">
      <w:pPr>
        <w:rPr>
          <w:sz w:val="21"/>
        </w:rPr>
        <w:sectPr w:rsidR="00780FFD">
          <w:pgSz w:w="11910" w:h="16840"/>
          <w:pgMar w:top="1360" w:right="940" w:bottom="1600" w:left="1220" w:header="303" w:footer="1402" w:gutter="0"/>
          <w:cols w:space="708"/>
        </w:sectPr>
      </w:pPr>
    </w:p>
    <w:p w14:paraId="549CE7C9" w14:textId="77777777" w:rsidR="00780FFD" w:rsidRDefault="00DF2443">
      <w:pPr>
        <w:pStyle w:val="Zkladntext"/>
        <w:spacing w:before="213"/>
        <w:ind w:left="198"/>
      </w:pPr>
      <w:r>
        <w:pict w14:anchorId="549CE7FC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236.2pt;margin-top:101.05pt;width:137.45pt;height:12pt;z-index:-251951104;mso-position-horizontal-relative:page" filled="f" stroked="f">
            <v:textbox inset="0,0,0,0">
              <w:txbxContent>
                <w:p w14:paraId="549CE813" w14:textId="77777777" w:rsidR="00780FFD" w:rsidRDefault="00DF244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549CE7FD">
          <v:shape id="_x0000_s2074" type="#_x0000_t202" style="position:absolute;left:0;text-align:left;margin-left:392.25pt;margin-top:101.05pt;width:137.5pt;height:12pt;z-index:-251950080;mso-position-horizontal-relative:page" filled="f" stroked="f">
            <v:textbox inset="0,0,0,0">
              <w:txbxContent>
                <w:p w14:paraId="549CE814" w14:textId="77777777" w:rsidR="00780FFD" w:rsidRDefault="00DF2443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549CE7FE">
          <v:shape id="_x0000_s2073" type="#_x0000_t202" style="position:absolute;left:0;text-align:left;margin-left:80.3pt;margin-top:101.05pt;width:137.55pt;height:12pt;z-index:-251949056;mso-position-horizontal-relative:page" filled="f" stroked="f">
            <v:textbox inset="0,0,0,0">
              <w:txbxContent>
                <w:p w14:paraId="549CE815" w14:textId="77777777" w:rsidR="00780FFD" w:rsidRDefault="00DF2443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V Ostravě dne</w:t>
      </w:r>
    </w:p>
    <w:p w14:paraId="549CE7CA" w14:textId="77777777" w:rsidR="00780FFD" w:rsidRDefault="00DF2443">
      <w:pPr>
        <w:spacing w:before="116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11.11.2025</w:t>
      </w:r>
    </w:p>
    <w:p w14:paraId="549CE7CB" w14:textId="77777777" w:rsidR="00780FFD" w:rsidRDefault="00780FFD">
      <w:pPr>
        <w:pStyle w:val="Zkladntext"/>
        <w:spacing w:before="11"/>
        <w:rPr>
          <w:sz w:val="7"/>
        </w:rPr>
      </w:pPr>
    </w:p>
    <w:p w14:paraId="549CE7CC" w14:textId="77777777" w:rsidR="00780FFD" w:rsidRDefault="00DF2443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549CE800">
          <v:group id="_x0000_s2071" style="width:71.6pt;height:.8pt;mso-position-horizontal-relative:char;mso-position-vertical-relative:line" coordsize="1432,16">
            <v:line id="_x0000_s2072" style="position:absolute" from="0,8" to="1431,8" strokeweight=".27489mm"/>
            <w10:anchorlock/>
          </v:group>
        </w:pict>
      </w:r>
    </w:p>
    <w:p w14:paraId="549CE7CD" w14:textId="77777777" w:rsidR="00780FFD" w:rsidRDefault="00780FFD">
      <w:pPr>
        <w:spacing w:line="20" w:lineRule="exact"/>
        <w:rPr>
          <w:sz w:val="2"/>
        </w:rPr>
        <w:sectPr w:rsidR="00780FFD">
          <w:type w:val="continuous"/>
          <w:pgSz w:w="11910" w:h="16840"/>
          <w:pgMar w:top="1360" w:right="940" w:bottom="1600" w:left="1220" w:header="708" w:footer="708" w:gutter="0"/>
          <w:cols w:num="2" w:space="708" w:equalWidth="0">
            <w:col w:w="1575" w:space="40"/>
            <w:col w:w="8135"/>
          </w:cols>
        </w:sectPr>
      </w:pPr>
    </w:p>
    <w:p w14:paraId="549CE7CE" w14:textId="77777777" w:rsidR="00780FFD" w:rsidRDefault="00780FFD">
      <w:pPr>
        <w:pStyle w:val="Zkladntext"/>
        <w:rPr>
          <w:sz w:val="20"/>
        </w:rPr>
      </w:pPr>
    </w:p>
    <w:p w14:paraId="549CE7CF" w14:textId="77777777" w:rsidR="00780FFD" w:rsidRDefault="00780FFD">
      <w:pPr>
        <w:pStyle w:val="Zkladntext"/>
        <w:spacing w:before="8" w:after="1"/>
        <w:rPr>
          <w:sz w:val="19"/>
        </w:rPr>
      </w:pPr>
    </w:p>
    <w:p w14:paraId="37A5225C" w14:textId="77777777" w:rsidR="00DF2443" w:rsidRDefault="00DF2443">
      <w:pPr>
        <w:ind w:left="80"/>
        <w:rPr>
          <w:rFonts w:ascii="Times New Roman"/>
          <w:spacing w:val="75"/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5F19D7A2" w14:textId="77777777" w:rsidR="00DF2443" w:rsidRDefault="00DF2443">
      <w:pPr>
        <w:ind w:left="80"/>
        <w:rPr>
          <w:rFonts w:ascii="Times New Roman"/>
          <w:spacing w:val="75"/>
          <w:sz w:val="20"/>
        </w:rPr>
      </w:pPr>
    </w:p>
    <w:p w14:paraId="250968B6" w14:textId="77777777" w:rsidR="00DF2443" w:rsidRDefault="00DF2443">
      <w:pPr>
        <w:ind w:left="80"/>
        <w:rPr>
          <w:rFonts w:ascii="Times New Roman"/>
          <w:spacing w:val="75"/>
          <w:sz w:val="20"/>
        </w:rPr>
      </w:pPr>
    </w:p>
    <w:p w14:paraId="0AAEFD82" w14:textId="77777777" w:rsidR="00DF2443" w:rsidRDefault="00DF2443">
      <w:pPr>
        <w:ind w:left="80"/>
        <w:rPr>
          <w:rFonts w:ascii="Times New Roman"/>
          <w:spacing w:val="75"/>
          <w:sz w:val="20"/>
        </w:rPr>
      </w:pPr>
    </w:p>
    <w:p w14:paraId="14C01BB8" w14:textId="77777777" w:rsidR="00DF2443" w:rsidRDefault="00DF2443">
      <w:pPr>
        <w:ind w:left="80"/>
        <w:rPr>
          <w:rFonts w:ascii="Times New Roman"/>
          <w:spacing w:val="75"/>
          <w:sz w:val="20"/>
        </w:rPr>
      </w:pPr>
    </w:p>
    <w:p w14:paraId="549CE7D0" w14:textId="76401DB2" w:rsidR="00780FFD" w:rsidRDefault="00DF2443">
      <w:pPr>
        <w:ind w:left="80"/>
        <w:rPr>
          <w:sz w:val="20"/>
        </w:rPr>
      </w:pPr>
      <w:r>
        <w:rPr>
          <w:rFonts w:ascii="Times New Roman"/>
          <w:spacing w:val="135"/>
          <w:position w:val="4"/>
          <w:sz w:val="20"/>
        </w:rPr>
        <w:t xml:space="preserve"> </w:t>
      </w:r>
    </w:p>
    <w:p w14:paraId="549CE7D1" w14:textId="77777777" w:rsidR="00780FFD" w:rsidRDefault="00780FFD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967"/>
        <w:gridCol w:w="3175"/>
        <w:gridCol w:w="3376"/>
      </w:tblGrid>
      <w:tr w:rsidR="00780FFD" w14:paraId="549CE7DD" w14:textId="77777777">
        <w:trPr>
          <w:trHeight w:val="1411"/>
        </w:trPr>
        <w:tc>
          <w:tcPr>
            <w:tcW w:w="2967" w:type="dxa"/>
          </w:tcPr>
          <w:p w14:paraId="549CE7D2" w14:textId="77777777" w:rsidR="00780FFD" w:rsidRDefault="00DF2443">
            <w:pPr>
              <w:pStyle w:val="TableParagraph"/>
              <w:spacing w:line="244" w:lineRule="exact"/>
              <w:ind w:right="180"/>
              <w:rPr>
                <w:sz w:val="24"/>
              </w:rPr>
            </w:pPr>
            <w:r>
              <w:rPr>
                <w:sz w:val="24"/>
              </w:rPr>
              <w:t>za Moravskoslezské</w:t>
            </w:r>
          </w:p>
          <w:p w14:paraId="549CE7D3" w14:textId="77777777" w:rsidR="00780FFD" w:rsidRDefault="00DF2443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inovační centrum Ostrava,</w:t>
            </w:r>
          </w:p>
          <w:p w14:paraId="549CE7D4" w14:textId="77777777" w:rsidR="00780FFD" w:rsidRDefault="00DF2443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a.s.</w:t>
            </w:r>
          </w:p>
          <w:p w14:paraId="549CE7D5" w14:textId="77777777" w:rsidR="00780FFD" w:rsidRDefault="00DF2443">
            <w:pPr>
              <w:pStyle w:val="TableParagraph"/>
              <w:spacing w:line="290" w:lineRule="atLeast"/>
              <w:ind w:left="492" w:right="490" w:firstLine="441"/>
              <w:jc w:val="left"/>
              <w:rPr>
                <w:sz w:val="24"/>
              </w:rPr>
            </w:pPr>
            <w:r>
              <w:rPr>
                <w:sz w:val="24"/>
              </w:rPr>
              <w:t>Jan Čeladín Člen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  <w:tc>
          <w:tcPr>
            <w:tcW w:w="3175" w:type="dxa"/>
          </w:tcPr>
          <w:p w14:paraId="549CE7D6" w14:textId="77777777" w:rsidR="00780FFD" w:rsidRDefault="00DF2443">
            <w:pPr>
              <w:pStyle w:val="TableParagraph"/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GeoPrime</w:t>
            </w:r>
            <w:proofErr w:type="spellEnd"/>
            <w:r>
              <w:rPr>
                <w:sz w:val="24"/>
              </w:rPr>
              <w:t xml:space="preserve"> Geodézie</w:t>
            </w:r>
          </w:p>
          <w:p w14:paraId="549CE7D7" w14:textId="77777777" w:rsidR="00780FFD" w:rsidRDefault="00DF2443">
            <w:pPr>
              <w:pStyle w:val="TableParagraph"/>
              <w:ind w:left="183" w:right="747"/>
              <w:rPr>
                <w:sz w:val="24"/>
              </w:rPr>
            </w:pPr>
            <w:r>
              <w:rPr>
                <w:sz w:val="24"/>
              </w:rPr>
              <w:t>s.r.o.</w:t>
            </w:r>
          </w:p>
          <w:p w14:paraId="549CE7D8" w14:textId="77777777" w:rsidR="00780FFD" w:rsidRDefault="00DF2443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 xml:space="preserve">Vojtěch </w:t>
            </w:r>
            <w:proofErr w:type="spellStart"/>
            <w:r>
              <w:rPr>
                <w:sz w:val="24"/>
              </w:rPr>
              <w:t>Podzemný</w:t>
            </w:r>
            <w:proofErr w:type="spellEnd"/>
          </w:p>
          <w:p w14:paraId="549CE7D9" w14:textId="77777777" w:rsidR="00780FFD" w:rsidRDefault="00DF2443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3376" w:type="dxa"/>
          </w:tcPr>
          <w:p w14:paraId="549CE7DA" w14:textId="77777777" w:rsidR="00780FFD" w:rsidRDefault="00DF2443">
            <w:pPr>
              <w:pStyle w:val="TableParagraph"/>
              <w:spacing w:line="244" w:lineRule="exact"/>
              <w:ind w:left="749" w:right="181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549CE7DB" w14:textId="24080773" w:rsidR="00780FFD" w:rsidRDefault="00DF2443">
            <w:pPr>
              <w:pStyle w:val="TableParagraph"/>
              <w:ind w:left="749" w:right="177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  <w:p w14:paraId="549CE7DC" w14:textId="77777777" w:rsidR="00780FFD" w:rsidRDefault="00DF2443">
            <w:pPr>
              <w:pStyle w:val="TableParagraph"/>
              <w:spacing w:before="119"/>
              <w:ind w:left="748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Chief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Officer</w:t>
            </w:r>
            <w:proofErr w:type="spellEnd"/>
          </w:p>
        </w:tc>
      </w:tr>
    </w:tbl>
    <w:p w14:paraId="549CE7DE" w14:textId="77777777" w:rsidR="00780FFD" w:rsidRDefault="00780FFD">
      <w:pPr>
        <w:pStyle w:val="Zkladntext"/>
        <w:spacing w:before="7"/>
        <w:rPr>
          <w:sz w:val="16"/>
        </w:rPr>
      </w:pPr>
    </w:p>
    <w:p w14:paraId="549CE7DF" w14:textId="77777777" w:rsidR="00780FFD" w:rsidRDefault="00DF2443">
      <w:pPr>
        <w:tabs>
          <w:tab w:val="left" w:pos="3813"/>
          <w:tab w:val="left" w:pos="7615"/>
        </w:tabs>
        <w:spacing w:before="52"/>
        <w:ind w:left="198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549CE7E0" w14:textId="77777777" w:rsidR="00780FFD" w:rsidRDefault="00780FFD">
      <w:pPr>
        <w:pStyle w:val="Zkladntext"/>
        <w:rPr>
          <w:i/>
          <w:sz w:val="20"/>
        </w:rPr>
      </w:pPr>
    </w:p>
    <w:p w14:paraId="549CE7E1" w14:textId="77777777" w:rsidR="00780FFD" w:rsidRDefault="00780FFD">
      <w:pPr>
        <w:pStyle w:val="Zkladntext"/>
        <w:rPr>
          <w:i/>
          <w:sz w:val="20"/>
        </w:rPr>
      </w:pPr>
    </w:p>
    <w:p w14:paraId="549CE7E2" w14:textId="77777777" w:rsidR="00780FFD" w:rsidRDefault="00780FFD">
      <w:pPr>
        <w:pStyle w:val="Zkladntext"/>
        <w:rPr>
          <w:i/>
          <w:sz w:val="20"/>
        </w:rPr>
      </w:pPr>
    </w:p>
    <w:p w14:paraId="549CE7E3" w14:textId="77777777" w:rsidR="00780FFD" w:rsidRDefault="00780FFD">
      <w:pPr>
        <w:pStyle w:val="Zkladntext"/>
        <w:rPr>
          <w:i/>
          <w:sz w:val="20"/>
        </w:rPr>
      </w:pPr>
    </w:p>
    <w:p w14:paraId="549CE7E4" w14:textId="77777777" w:rsidR="00780FFD" w:rsidRDefault="00780FFD">
      <w:pPr>
        <w:pStyle w:val="Zkladntext"/>
        <w:rPr>
          <w:i/>
          <w:sz w:val="20"/>
        </w:rPr>
      </w:pPr>
    </w:p>
    <w:p w14:paraId="549CE7E5" w14:textId="77777777" w:rsidR="00780FFD" w:rsidRDefault="00780FFD">
      <w:pPr>
        <w:pStyle w:val="Zkladntext"/>
        <w:rPr>
          <w:i/>
          <w:sz w:val="20"/>
        </w:rPr>
      </w:pPr>
    </w:p>
    <w:p w14:paraId="549CE7E6" w14:textId="77777777" w:rsidR="00780FFD" w:rsidRDefault="00780FFD">
      <w:pPr>
        <w:pStyle w:val="Zkladntext"/>
        <w:rPr>
          <w:i/>
          <w:sz w:val="20"/>
        </w:rPr>
      </w:pPr>
    </w:p>
    <w:p w14:paraId="549CE7E7" w14:textId="77777777" w:rsidR="00780FFD" w:rsidRDefault="00780FFD">
      <w:pPr>
        <w:pStyle w:val="Zkladntext"/>
        <w:rPr>
          <w:i/>
          <w:sz w:val="20"/>
        </w:rPr>
      </w:pPr>
    </w:p>
    <w:p w14:paraId="549CE7E8" w14:textId="77777777" w:rsidR="00780FFD" w:rsidRDefault="00780FFD">
      <w:pPr>
        <w:pStyle w:val="Zkladntext"/>
        <w:rPr>
          <w:i/>
          <w:sz w:val="20"/>
        </w:rPr>
      </w:pPr>
    </w:p>
    <w:p w14:paraId="549CE7E9" w14:textId="77777777" w:rsidR="00780FFD" w:rsidRDefault="00780FFD">
      <w:pPr>
        <w:pStyle w:val="Zkladntext"/>
        <w:rPr>
          <w:i/>
          <w:sz w:val="20"/>
        </w:rPr>
      </w:pPr>
    </w:p>
    <w:p w14:paraId="549CE7EA" w14:textId="77777777" w:rsidR="00780FFD" w:rsidRDefault="00780FFD">
      <w:pPr>
        <w:pStyle w:val="Zkladntext"/>
        <w:rPr>
          <w:i/>
          <w:sz w:val="18"/>
        </w:rPr>
      </w:pPr>
    </w:p>
    <w:p w14:paraId="549CE7EB" w14:textId="77777777" w:rsidR="00780FFD" w:rsidRDefault="00DF2443">
      <w:pPr>
        <w:spacing w:before="1"/>
        <w:ind w:left="5578"/>
      </w:pPr>
      <w:r>
        <w:t>MSIC CYBER Sken – verze platná od 1.9.2025</w:t>
      </w:r>
    </w:p>
    <w:p w14:paraId="549CE7EC" w14:textId="77777777" w:rsidR="00780FFD" w:rsidRDefault="00780FFD">
      <w:pPr>
        <w:sectPr w:rsidR="00780FFD">
          <w:type w:val="continuous"/>
          <w:pgSz w:w="11910" w:h="16840"/>
          <w:pgMar w:top="1360" w:right="940" w:bottom="1600" w:left="1220" w:header="708" w:footer="708" w:gutter="0"/>
          <w:cols w:space="708"/>
        </w:sectPr>
      </w:pPr>
    </w:p>
    <w:p w14:paraId="549CE7ED" w14:textId="77777777" w:rsidR="00780FFD" w:rsidRDefault="00780FFD">
      <w:pPr>
        <w:pStyle w:val="Zkladntext"/>
        <w:rPr>
          <w:sz w:val="20"/>
        </w:rPr>
      </w:pPr>
    </w:p>
    <w:p w14:paraId="549CE7EE" w14:textId="77777777" w:rsidR="00780FFD" w:rsidRDefault="00780FFD">
      <w:pPr>
        <w:pStyle w:val="Zkladntext"/>
        <w:rPr>
          <w:sz w:val="20"/>
        </w:rPr>
      </w:pPr>
    </w:p>
    <w:p w14:paraId="549CE7EF" w14:textId="77777777" w:rsidR="00780FFD" w:rsidRDefault="00780FFD">
      <w:pPr>
        <w:pStyle w:val="Zkladntext"/>
        <w:rPr>
          <w:sz w:val="20"/>
        </w:rPr>
      </w:pPr>
    </w:p>
    <w:p w14:paraId="549CE7F0" w14:textId="77777777" w:rsidR="00780FFD" w:rsidRDefault="00780FFD">
      <w:pPr>
        <w:pStyle w:val="Zkladntext"/>
        <w:spacing w:before="4"/>
        <w:rPr>
          <w:sz w:val="11"/>
        </w:rPr>
      </w:pPr>
    </w:p>
    <w:p w14:paraId="549CE7F1" w14:textId="63127BC0" w:rsidR="00780FFD" w:rsidRDefault="00780FFD">
      <w:pPr>
        <w:pStyle w:val="Zkladntext"/>
        <w:ind w:left="996"/>
        <w:rPr>
          <w:sz w:val="20"/>
        </w:rPr>
      </w:pPr>
    </w:p>
    <w:p w14:paraId="549CE7F2" w14:textId="77777777" w:rsidR="00780FFD" w:rsidRDefault="00780FFD">
      <w:pPr>
        <w:pStyle w:val="Zkladntext"/>
        <w:rPr>
          <w:sz w:val="20"/>
        </w:rPr>
      </w:pPr>
    </w:p>
    <w:p w14:paraId="549CE7F3" w14:textId="77777777" w:rsidR="00780FFD" w:rsidRDefault="00780FFD">
      <w:pPr>
        <w:pStyle w:val="Zkladntext"/>
        <w:rPr>
          <w:sz w:val="20"/>
        </w:rPr>
      </w:pPr>
    </w:p>
    <w:p w14:paraId="549CE7F4" w14:textId="77777777" w:rsidR="00780FFD" w:rsidRDefault="00780FFD">
      <w:pPr>
        <w:pStyle w:val="Zkladntext"/>
        <w:rPr>
          <w:sz w:val="20"/>
        </w:rPr>
      </w:pPr>
    </w:p>
    <w:p w14:paraId="549CE7F5" w14:textId="77777777" w:rsidR="00780FFD" w:rsidRDefault="00780FFD">
      <w:pPr>
        <w:pStyle w:val="Zkladntext"/>
        <w:rPr>
          <w:sz w:val="20"/>
        </w:rPr>
      </w:pPr>
    </w:p>
    <w:p w14:paraId="549CE7F6" w14:textId="77777777" w:rsidR="00780FFD" w:rsidRDefault="00780FFD">
      <w:pPr>
        <w:pStyle w:val="Zkladntext"/>
        <w:rPr>
          <w:sz w:val="20"/>
        </w:rPr>
      </w:pPr>
    </w:p>
    <w:p w14:paraId="549CE7F7" w14:textId="77777777" w:rsidR="00780FFD" w:rsidRDefault="00780FFD">
      <w:pPr>
        <w:pStyle w:val="Zkladntext"/>
        <w:rPr>
          <w:sz w:val="20"/>
        </w:rPr>
      </w:pPr>
    </w:p>
    <w:p w14:paraId="549CE7F8" w14:textId="77777777" w:rsidR="00780FFD" w:rsidRDefault="00780FFD">
      <w:pPr>
        <w:pStyle w:val="Zkladntext"/>
        <w:rPr>
          <w:sz w:val="20"/>
        </w:rPr>
      </w:pPr>
    </w:p>
    <w:p w14:paraId="549CE7F9" w14:textId="77777777" w:rsidR="00780FFD" w:rsidRDefault="00780FFD">
      <w:pPr>
        <w:pStyle w:val="Zkladntext"/>
        <w:spacing w:before="2"/>
        <w:rPr>
          <w:sz w:val="15"/>
        </w:rPr>
      </w:pPr>
    </w:p>
    <w:p w14:paraId="549CE7FA" w14:textId="77777777" w:rsidR="00780FFD" w:rsidRDefault="00DF2443">
      <w:pPr>
        <w:spacing w:before="57"/>
        <w:ind w:left="5578"/>
      </w:pPr>
      <w:r>
        <w:t>MSIC CYBER Sken – verze platná od 1.9.2025</w:t>
      </w:r>
    </w:p>
    <w:sectPr w:rsidR="00780FFD">
      <w:pgSz w:w="11910" w:h="16840"/>
      <w:pgMar w:top="1360" w:right="940" w:bottom="1600" w:left="1220" w:header="303" w:footer="1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E80F" w14:textId="77777777" w:rsidR="00DF2443" w:rsidRDefault="00DF2443">
      <w:r>
        <w:separator/>
      </w:r>
    </w:p>
  </w:endnote>
  <w:endnote w:type="continuationSeparator" w:id="0">
    <w:p w14:paraId="549CE811" w14:textId="77777777" w:rsidR="00DF2443" w:rsidRDefault="00DF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80A" w14:textId="77777777" w:rsidR="00780FFD" w:rsidRDefault="00DF24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7184" behindDoc="1" locked="0" layoutInCell="1" allowOverlap="1" wp14:anchorId="549CE80E" wp14:editId="549CE80F">
          <wp:simplePos x="0" y="0"/>
          <wp:positionH relativeFrom="page">
            <wp:posOffset>687452</wp:posOffset>
          </wp:positionH>
          <wp:positionV relativeFrom="page">
            <wp:posOffset>9675075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8208" behindDoc="1" locked="0" layoutInCell="1" allowOverlap="1" wp14:anchorId="549CE810" wp14:editId="549CE811">
          <wp:simplePos x="0" y="0"/>
          <wp:positionH relativeFrom="page">
            <wp:posOffset>5516753</wp:posOffset>
          </wp:positionH>
          <wp:positionV relativeFrom="page">
            <wp:posOffset>9750761</wp:posOffset>
          </wp:positionV>
          <wp:extent cx="1305675" cy="35718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675" cy="35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9CE8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71.65pt;width:11.6pt;height:13.05pt;z-index:-251957248;mso-position-horizontal-relative:page;mso-position-vertical-relative:page" filled="f" stroked="f">
          <v:textbox inset="0,0,0,0">
            <w:txbxContent>
              <w:p w14:paraId="549CE820" w14:textId="77777777" w:rsidR="00780FFD" w:rsidRDefault="00DF244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E80B" w14:textId="77777777" w:rsidR="00DF2443" w:rsidRDefault="00DF2443">
      <w:r>
        <w:separator/>
      </w:r>
    </w:p>
  </w:footnote>
  <w:footnote w:type="continuationSeparator" w:id="0">
    <w:p w14:paraId="549CE80D" w14:textId="77777777" w:rsidR="00DF2443" w:rsidRDefault="00DF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809" w14:textId="77777777" w:rsidR="00780FFD" w:rsidRDefault="00DF24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549CE80B" wp14:editId="549CE80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9CE8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1960320;mso-position-horizontal-relative:page;mso-position-vertical-relative:page" filled="f" stroked="f">
          <v:textbox inset="0,0,0,0">
            <w:txbxContent>
              <w:p w14:paraId="549CE81F" w14:textId="77777777" w:rsidR="00780FFD" w:rsidRDefault="00DF244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019a72e6-232e-7159-</w:t>
                </w:r>
                <w:proofErr w:type="gramStart"/>
                <w:r>
                  <w:rPr>
                    <w:rFonts w:ascii="Arial"/>
                    <w:sz w:val="12"/>
                  </w:rPr>
                  <w:t>9341-967d1f3cd2fa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7C54"/>
    <w:multiLevelType w:val="multilevel"/>
    <w:tmpl w:val="E9564F06"/>
    <w:lvl w:ilvl="0">
      <w:start w:val="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8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90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4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8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425"/>
      </w:pPr>
      <w:rPr>
        <w:rFonts w:hint="default"/>
        <w:lang w:val="cs-CZ" w:eastAsia="cs-CZ" w:bidi="cs-CZ"/>
      </w:rPr>
    </w:lvl>
  </w:abstractNum>
  <w:num w:numId="1" w16cid:durableId="2991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FFD"/>
    <w:rsid w:val="003B5E9A"/>
    <w:rsid w:val="00545788"/>
    <w:rsid w:val="00780FFD"/>
    <w:rsid w:val="00A35A09"/>
    <w:rsid w:val="00D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549CE75A"/>
  <w15:docId w15:val="{781A2C49-9114-4CEC-A6BB-A24EB392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8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23" w:right="18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 w:right="74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2129</Words>
  <Characters>12564</Characters>
  <Application>Microsoft Office Word</Application>
  <DocSecurity>0</DocSecurity>
  <Lines>104</Lines>
  <Paragraphs>29</Paragraphs>
  <ScaleCrop>false</ScaleCrop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2025-11-12T09:02:00Z</dcterms:created>
  <dcterms:modified xsi:type="dcterms:W3CDTF">2025-11-12T09:05:00Z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</Properties>
</file>