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25400" distB="25400" distL="25400" distR="25400" simplePos="0" relativeHeight="125829378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875030</wp:posOffset>
                </wp:positionV>
                <wp:extent cx="1637030" cy="31699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7030" cy="3169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„kupující 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299999999999997pt;margin-top:68.900000000000006pt;width:128.90000000000001pt;height:249.59999999999999pt;z-index:-125829375;mso-wrap-distance-left:2.pt;mso-wrap-distance-top:2.pt;mso-wrap-distance-right:2.pt;mso-wrap-distance-bottom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„kupující 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4" w:name="bookmark4"/>
      <w:r>
        <w:rPr>
          <w:rStyle w:val="CharStyle14"/>
          <w:b/>
          <w:bCs/>
        </w:rPr>
        <w:t>RÁMCOVÁ KUPNÍ SMLOUVA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40" w:right="0" w:hanging="1940"/>
        <w:jc w:val="both"/>
      </w:pPr>
      <w:r>
        <w:rPr>
          <w:rStyle w:val="CharStyle3"/>
        </w:rPr>
        <w:t>uzavřená v souladu s ustanovením § 2079 a násl. zákona č. 89/2012 Sb., občanský zákoník, mezi níže uvedenými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rStyle w:val="CharStyle3"/>
          <w:spacing w:val="3"/>
          <w:shd w:val="clear" w:color="auto" w:fill="000000"/>
        </w:rPr>
        <w:t>...</w:t>
      </w:r>
      <w:r>
        <w:rPr>
          <w:rStyle w:val="CharStyle3"/>
          <w:spacing w:val="4"/>
          <w:shd w:val="clear" w:color="auto" w:fill="000000"/>
        </w:rPr>
        <w:t>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pacing w:val="2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​...........................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"/>
          <w:shd w:val="clear" w:color="auto" w:fill="000000"/>
          <w:lang w:val="en-US" w:eastAsia="en-US" w:bidi="en-US"/>
        </w:rPr>
        <w:t>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6"/>
          <w:shd w:val="clear" w:color="auto" w:fill="000000"/>
        </w:rPr>
        <w:t>...</w:t>
      </w:r>
      <w:r>
        <w:rPr>
          <w:rStyle w:val="CharStyle3"/>
          <w:spacing w:val="7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​......</w:t>
      </w:r>
      <w:r>
        <w:rPr>
          <w:rStyle w:val="CharStyle3"/>
        </w:rPr>
        <w:t xml:space="preserve"> 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Style w:val="CharStyle3"/>
        </w:rPr>
        <w:t>MONETA Money Bank, a.s., č. ú. 117203514/0600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right"/>
      </w:pPr>
      <w:r>
        <w:rPr>
          <w:rStyle w:val="CharStyle12"/>
        </w:rPr>
        <w:t>2025008718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>Perfect Distribution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U Spalovny 4582/17, 796 01 Prostějov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Tomáš Lyžbicki, MBA, předseda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Bc. Kamil Stařeček, člen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spacing w:val="2"/>
          <w:shd w:val="clear" w:color="auto" w:fill="000000"/>
        </w:rPr>
        <w:t>....</w:t>
      </w:r>
      <w:r>
        <w:rPr>
          <w:rStyle w:val="CharStyle3"/>
          <w:spacing w:val="3"/>
          <w:shd w:val="clear" w:color="auto" w:fill="000000"/>
        </w:rPr>
        <w:t>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....</w:t>
      </w:r>
      <w:r>
        <w:rPr>
          <w:rStyle w:val="CharStyle3"/>
          <w:spacing w:val="2"/>
          <w:shd w:val="clear" w:color="auto" w:fill="000000"/>
        </w:rPr>
        <w:t>.............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2"/>
          <w:shd w:val="clear" w:color="auto" w:fill="000000"/>
        </w:rPr>
        <w:t>...</w:t>
      </w:r>
      <w:r>
        <w:rPr>
          <w:rStyle w:val="CharStyle3"/>
          <w:spacing w:val="3"/>
          <w:shd w:val="clear" w:color="auto" w:fill="000000"/>
        </w:rPr>
        <w:t>............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........</w:t>
      </w:r>
      <w:r>
        <w:rPr>
          <w:rStyle w:val="CharStyle3"/>
          <w:spacing w:val="2"/>
          <w:shd w:val="clear" w:color="auto" w:fill="000000"/>
        </w:rPr>
        <w:t>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47675934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CZ699000899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Krajský soud v Brně, oddíl B, vložka 6538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60" w:line="230" w:lineRule="auto"/>
        <w:ind w:left="0" w:right="0" w:firstLine="0"/>
        <w:jc w:val="both"/>
      </w:pPr>
      <w:r>
        <w:rPr>
          <w:rStyle w:val="CharStyle3"/>
        </w:rPr>
        <w:t xml:space="preserve">ČSOB a.s., č. účtu: 117094303/0300 </w:t>
      </w:r>
      <w:r>
        <w:rPr>
          <w:rStyle w:val="CharStyle3"/>
        </w:rPr>
        <w:t xml:space="preserve">(dále jen </w:t>
      </w:r>
      <w:r>
        <w:rPr>
          <w:rStyle w:val="CharStyle3"/>
          <w:b/>
          <w:bCs/>
          <w:i/>
          <w:iCs/>
          <w:sz w:val="19"/>
          <w:szCs w:val="19"/>
        </w:rPr>
        <w:t>„prodávající 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 tímto zbožím: </w:t>
      </w:r>
      <w:r>
        <w:rPr>
          <w:rStyle w:val="CharStyle3"/>
          <w:b/>
          <w:bCs/>
        </w:rPr>
        <w:t xml:space="preserve">krytí intravenózních kanyl. </w:t>
      </w:r>
      <w:r>
        <w:rPr>
          <w:rStyle w:val="CharStyle3"/>
        </w:rPr>
        <w:t>Bližší specifikace zboží je uvedena v příloze č. 1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Součástí dodávky zboží podle čl. 2 této smlouvy je vždy předání veškerých písemných dokladů, které jsou potřebné k používání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se zavazuje plnit svůj závazek k dodání zboží podle čl. 1 této smlouvy vždy nejpozději do </w:t>
      </w:r>
      <w:r>
        <w:rPr>
          <w:rStyle w:val="CharStyle3"/>
          <w:b/>
          <w:bCs/>
        </w:rPr>
        <w:t xml:space="preserve">5 pracovních dní </w:t>
      </w:r>
      <w:r>
        <w:rPr>
          <w:rStyle w:val="CharStyle3"/>
        </w:rPr>
        <w:t>ode dne účinnosti příslušné dílčí kupní smlouvy. Tento závazek se bude považovat za splněný po předání a převzetí příslušného zboží formou písemného předávacího protokolu, podepsaného oběma stranami. Místem dodání je centrální sklad v sídle kupujícího v Brně, Kamenice 798/1 d, 625 00.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80" w:line="240" w:lineRule="auto"/>
        <w:ind w:left="400" w:right="0" w:hanging="40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Kupující se zavazuje zaplatit prodávajícímu za předmět koupě a prodeje podle čl. 1 této smlouvy kupní cenu ve výši součinu počtu odebraných jednotek příslušného zboží a jednotkových cen tohoto zboží dle přílohy č. 1 této smlouvy. Součástí těchto cen jsou veškeré náklady prodávajícího na splnění jeho závazku k dodání zboží podle této smlouvy. Výše uvedené ceny se prodávající zavazuje garantovat po dobu podle čl. 20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 bude doručena elektronicky na email: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b/>
          <w:bCs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3"/>
          <w:color w:val="7D9ED8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</w:t>
      </w:r>
      <w:r>
        <w:rPr>
          <w:rStyle w:val="CharStyle3"/>
          <w:b/>
          <w:bCs/>
        </w:rPr>
        <w:t xml:space="preserve">číslo veřejné zakázky, </w:t>
      </w:r>
      <w:r>
        <w:rPr>
          <w:rStyle w:val="CharStyle3"/>
        </w:rPr>
        <w:t xml:space="preserve">ke </w:t>
      </w:r>
      <w:r>
        <w:rPr>
          <w:rStyle w:val="CharStyle3"/>
          <w:b/>
          <w:bCs/>
        </w:rPr>
        <w:t xml:space="preserve">které se </w:t>
      </w:r>
      <w:r>
        <w:rPr>
          <w:rStyle w:val="CharStyle3"/>
        </w:rPr>
        <w:t xml:space="preserve">faktura vztahuje: </w:t>
      </w:r>
      <w:r>
        <w:rPr>
          <w:rStyle w:val="CharStyle3"/>
          <w:b/>
          <w:bCs/>
        </w:rPr>
        <w:t xml:space="preserve">P25V00003593. </w:t>
      </w:r>
      <w:r>
        <w:rPr>
          <w:rStyle w:val="CharStyle3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 převodem zboží je podle čl. 1 této smlouvy spojena záruka za jeho jakost v trvání 24 měsíců ode dne předání příslušného zboží. V rámci záruky se prodávající zavazuje, že zboží podle čl. 1 této smlouvy bude nové, v neporušeném balení s řádným označením, s minimální skladovací životností po celou dobu uvedené záruční lhůty a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3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případ prodlení se splněním závazku prodávajícího k dodání zboží ve lhůtě podle čl. 4 této smlouvy se prodávající zavazuje platit kupujícímu smluvní pokutu ve výši 0,1 % z kupní podle čl. 7 této smlouvy za každý den tohoto prodlení Pro případ prodlení s odstraněním vady ve lhůtě podle čl. 9 této smlouvy se prodávající zavazuje platit kupujícímu smluvní pokutu ve výši 0,1% z kupní ceny reklamovaného zboží za každý den tohoto prodlení.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o více, než 1 týden nebo pro případ výskytu neodstranitelné vady resp. výskytu 3 a více vad, a to i postupně, je kupující oprávněn odstoupit od jednotlivé dílčí kupní smlouvy i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prodlení kupujícího se zaplacením kupní ceny nebo její části ve lhůtě podle čl. 8 této smlouvy o víc, než 2 týdny, je prodávající oprávněn od jednotlivé dílčí kupní smlouvy i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208" w:right="1619" w:bottom="1904" w:left="1406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3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je povinen zajistit dodržování mezinárodních úmluv o lidských právech, sociálních či pracovních právech, zejména úmluv Mezinárodní organizace (ILO).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Nezajistí-li prodávající dodržování předpisů dle čl. 16 a 17 této smlouvy zaplatí kupujícímu smluvní pokutu ve výši 2.000 Kč za každé zjištěné porušení. Takovou pokutu lze udělit opakovaně, a to až do úplného splnění povinnosti.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Předpokladem uzavření této smlouvy je její písemná forma a dohoda o celém jejím obsahu jak je obsažen v jejích článcích 1 až 22. Kupující přitom předem vylučuje přijetí tohoto návrhu s dodatkem nebo odchylkou ve smyslu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Tato smlouva nabývá účinnosti po jejím podpisu oběma smluvními stranami dnem jejího uveřejnění v Registru smluv, nejdříve však </w:t>
      </w:r>
      <w:r>
        <w:rPr>
          <w:rStyle w:val="CharStyle3"/>
          <w:b/>
          <w:bCs/>
        </w:rPr>
        <w:t>1.1. 2026.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Tato smlouva se uzavírá na dobu určitou, a to do </w:t>
      </w:r>
      <w:r>
        <w:rPr>
          <w:rStyle w:val="CharStyle3"/>
          <w:b/>
          <w:bCs/>
        </w:rPr>
        <w:t>31. 12. 2027.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 w:line="240" w:lineRule="auto"/>
        <w:ind w:left="400" w:right="0" w:hanging="400"/>
        <w:jc w:val="both"/>
      </w:pPr>
      <w:r>
        <w:rPr>
          <w:rStyle w:val="CharStyle3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Nedílnou součástí této smlouvy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both"/>
      </w:pPr>
      <w:r>
        <w:rPr>
          <w:rStyle w:val="CharStyle3"/>
        </w:rPr>
        <w:t>Příloha č. 1 Specifikace, ceník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15900" distB="438785" distL="0" distR="0" simplePos="0" relativeHeight="125829380" behindDoc="0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215900</wp:posOffset>
                </wp:positionV>
                <wp:extent cx="1981200" cy="148145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1200" cy="1481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59" w:val="left"/>
                              </w:tabs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Ml IDr Hana </w:t>
                            </w:r>
                            <w:r>
                              <w:rPr>
                                <w:rStyle w:val="CharStyle6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IVlUUl. Fldlld </w:t>
                            </w:r>
                            <w:r>
                              <w:rPr>
                                <w:rStyle w:val="CharStyle6"/>
                                <w:vertAlign w:val="subscript"/>
                              </w:rPr>
                              <w:t>M</w:t>
                            </w:r>
                            <w:r>
                              <w:rPr>
                                <w:rStyle w:val="CharStyle6"/>
                              </w:rPr>
                              <w:t>UDr. Hana Albrechtová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Albrechtová?:“™</w:t>
                            </w:r>
                            <w:r>
                              <w:rPr>
                                <w:rStyle w:val="CharStyle9"/>
                                <w:vertAlign w:val="superscript"/>
                              </w:rPr>
                              <w:t>10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7.799999999999997pt;margin-top:17.pt;width:156.pt;height:116.65000000000001pt;z-index:-125829373;mso-wrap-distance-left:0;mso-wrap-distance-top:17.pt;mso-wrap-distance-right:0;mso-wrap-distance-bottom:34.5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59" w:val="left"/>
                        </w:tabs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Ml IDr Hana </w:t>
                      </w:r>
                      <w:r>
                        <w:rPr>
                          <w:rStyle w:val="CharStyle6"/>
                        </w:rPr>
                        <w:t xml:space="preserve">Digitálně podepsal </w:t>
                      </w: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IVlUUl. Fldlld </w:t>
                      </w:r>
                      <w:r>
                        <w:rPr>
                          <w:rStyle w:val="CharStyle6"/>
                          <w:vertAlign w:val="subscript"/>
                        </w:rPr>
                        <w:t>M</w:t>
                      </w:r>
                      <w:r>
                        <w:rPr>
                          <w:rStyle w:val="CharStyle6"/>
                        </w:rPr>
                        <w:t>UDr. Hana Albrechtová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Albrechtová?:“™</w:t>
                      </w:r>
                      <w:r>
                        <w:rPr>
                          <w:rStyle w:val="CharStyle9"/>
                          <w:vertAlign w:val="superscript"/>
                        </w:rPr>
                        <w:t>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9075" distB="1758315" distL="0" distR="0" simplePos="0" relativeHeight="125829382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219075</wp:posOffset>
                </wp:positionV>
                <wp:extent cx="1621790" cy="1587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179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Prostějově dne 06.11.2025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3.15000000000003pt;margin-top:17.25pt;width:127.7pt;height:12.5pt;z-index:-125829371;mso-wrap-distance-left:0;mso-wrap-distance-top:17.25pt;mso-wrap-distance-right:0;mso-wrap-distance-bottom:138.4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Prostějově dne 06.11.2025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3730" distB="1005840" distL="0" distR="0" simplePos="0" relativeHeight="125829384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633730</wp:posOffset>
                </wp:positionV>
                <wp:extent cx="1398905" cy="49657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8905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7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10.11.2025 R 09:04:55, “ n Tomáš Lyžbicki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1.10000000000002pt;margin-top:49.899999999999999pt;width:110.15000000000001pt;height:39.100000000000001pt;z-index:-125829369;mso-wrap-distance-left:0;mso-wrap-distance-top:49.899999999999999pt;mso-wrap-distance-right:0;mso-wrap-distance-bottom:79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7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10.11.2025 R 09:04:55, “ n Tomáš Lyžbicki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21740" distB="0" distL="0" distR="0" simplePos="0" relativeHeight="125829386" behindDoc="0" locked="0" layoutInCell="1" allowOverlap="1">
                <wp:simplePos x="0" y="0"/>
                <wp:positionH relativeFrom="page">
                  <wp:posOffset>4107180</wp:posOffset>
                </wp:positionH>
                <wp:positionV relativeFrom="paragraph">
                  <wp:posOffset>1221740</wp:posOffset>
                </wp:positionV>
                <wp:extent cx="1414145" cy="91440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914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Tomáš Lyžbicki, MBA předseda představenstva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Prodávající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64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07. 11. 2025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64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15:01:27, Bc. Kamil Stařeček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3.40000000000003pt;margin-top:96.200000000000003pt;width:111.35000000000001pt;height:72.pt;z-index:-125829367;mso-wrap-distance-left:0;mso-wrap-distance-top:96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Tomáš Lyžbicki, MBA 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Prodávající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640"/>
                        <w:jc w:val="left"/>
                      </w:pPr>
                      <w:r>
                        <w:rPr>
                          <w:rStyle w:val="CharStyle12"/>
                        </w:rPr>
                        <w:t>07. 11. 2025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64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15:01:27, Bc. Kamil Stařeček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718310" distB="0" distL="0" distR="0" simplePos="0" relativeHeight="125829388" behindDoc="0" locked="0" layoutInCell="1" allowOverlap="1">
            <wp:simplePos x="0" y="0"/>
            <wp:positionH relativeFrom="page">
              <wp:posOffset>4113530</wp:posOffset>
            </wp:positionH>
            <wp:positionV relativeFrom="paragraph">
              <wp:posOffset>1718310</wp:posOffset>
            </wp:positionV>
            <wp:extent cx="353695" cy="42037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53695" cy="420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5060" w:right="0" w:firstLine="0"/>
        <w:jc w:val="left"/>
      </w:pPr>
      <w:r>
        <w:rPr>
          <w:rStyle w:val="CharStyle3"/>
        </w:rPr>
        <w:t>Bc. Kamil Stařeček člen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5060" w:right="0" w:firstLine="0"/>
        <w:jc w:val="left"/>
      </w:pPr>
      <w:r>
        <w:rPr>
          <w:rStyle w:val="CharStyle3"/>
          <w:b/>
          <w:bCs/>
          <w:i/>
          <w:iCs/>
          <w:sz w:val="19"/>
          <w:szCs w:val="19"/>
        </w:rPr>
        <w:t>Prodávající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234950" distL="114300" distR="1936750" simplePos="0" relativeHeight="125829389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margin">
                  <wp:posOffset>137795</wp:posOffset>
                </wp:positionV>
                <wp:extent cx="798830" cy="1765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Příloha č. 1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6.150000000000006pt;margin-top:10.85pt;width:62.899999999999999pt;height:13.9pt;z-index:-125829364;mso-wrap-distance-left:9.pt;mso-wrap-distance-right:152.5pt;mso-wrap-distance-bottom:18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4"/>
                          <w:b/>
                          <w:bCs/>
                        </w:rPr>
                        <w:t>Příloha č. 1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75" distB="228600" distL="1416050" distR="114300" simplePos="0" relativeHeight="125829391" behindDoc="0" locked="0" layoutInCell="1" allowOverlap="1">
                <wp:simplePos x="0" y="0"/>
                <wp:positionH relativeFrom="page">
                  <wp:posOffset>2395855</wp:posOffset>
                </wp:positionH>
                <wp:positionV relativeFrom="margin">
                  <wp:posOffset>140970</wp:posOffset>
                </wp:positionV>
                <wp:extent cx="1319530" cy="17970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953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Specifikace, ceník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88.65000000000001pt;margin-top:11.1pt;width:103.90000000000001pt;height:14.15pt;z-index:-125829362;mso-wrap-distance-left:111.5pt;mso-wrap-distance-top:0.25pt;mso-wrap-distance-right:9.pt;mso-wrap-distance-bottom:1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4"/>
                          <w:b/>
                          <w:bCs/>
                        </w:rPr>
                        <w:t>Specifikace, ceník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3"/>
          <w:b/>
          <w:bCs/>
        </w:rPr>
        <w:t>Krytí intravenózní kanyly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1" w:val="left"/>
        </w:tabs>
        <w:bidi w:val="0"/>
        <w:spacing w:before="0" w:after="120" w:line="240" w:lineRule="auto"/>
        <w:ind w:left="680" w:right="0" w:hanging="340"/>
        <w:jc w:val="left"/>
      </w:pPr>
      <w:r>
        <w:rPr>
          <w:rStyle w:val="CharStyle3"/>
          <w:b/>
          <w:bCs/>
        </w:rPr>
        <w:t>Sterilní elastická kusová fixační náplast s nástřihem, v celku - pro fixaci jakéhokoliv typu intravenózní kanyly, ideálně s křidélky.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1" w:val="left"/>
        </w:tabs>
        <w:bidi w:val="0"/>
        <w:spacing w:before="0" w:after="120" w:line="240" w:lineRule="auto"/>
        <w:ind w:left="0" w:right="0" w:firstLine="340"/>
        <w:jc w:val="left"/>
      </w:pPr>
      <w:r>
        <w:rPr>
          <w:rStyle w:val="CharStyle3"/>
          <w:b/>
          <w:bCs/>
        </w:rPr>
        <w:t>Materiál: netkaný textil.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1" w:val="left"/>
        </w:tabs>
        <w:bidi w:val="0"/>
        <w:spacing w:before="0" w:after="120" w:line="240" w:lineRule="auto"/>
        <w:ind w:left="0" w:right="0" w:firstLine="340"/>
        <w:jc w:val="left"/>
      </w:pPr>
      <w:r>
        <w:rPr>
          <w:rStyle w:val="CharStyle3"/>
          <w:b/>
          <w:bCs/>
        </w:rPr>
        <w:t>Velikost: ideálně 5 cm x 7 cm, (max. 6 cm x 8 cm).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1" w:val="left"/>
        </w:tabs>
        <w:bidi w:val="0"/>
        <w:spacing w:before="0" w:after="120" w:line="240" w:lineRule="auto"/>
        <w:ind w:left="0" w:right="0" w:firstLine="340"/>
        <w:jc w:val="left"/>
      </w:pPr>
      <w:r>
        <w:rPr>
          <w:rStyle w:val="CharStyle3"/>
          <w:b/>
          <w:bCs/>
        </w:rPr>
        <w:t>Sterilní nepřilnavá antidekubitní a absorpční výstelka.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1" w:val="left"/>
        </w:tabs>
        <w:bidi w:val="0"/>
        <w:spacing w:before="0" w:after="120" w:line="240" w:lineRule="auto"/>
        <w:ind w:left="0" w:right="0" w:firstLine="340"/>
        <w:jc w:val="left"/>
      </w:pPr>
      <w:r>
        <w:rPr>
          <w:rStyle w:val="CharStyle3"/>
          <w:b/>
          <w:bCs/>
        </w:rPr>
        <w:t>Kolem savého polštářku ze všech čtyř stran lepící vrstva.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1" w:val="left"/>
        </w:tabs>
        <w:bidi w:val="0"/>
        <w:spacing w:before="0" w:after="120" w:line="240" w:lineRule="auto"/>
        <w:ind w:left="0" w:right="0" w:firstLine="340"/>
        <w:jc w:val="left"/>
      </w:pPr>
      <w:r>
        <w:rPr>
          <w:rStyle w:val="CharStyle3"/>
          <w:b/>
          <w:bCs/>
        </w:rPr>
        <w:t>Hypoalergenní certifikovaný výrobek.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1" w:val="left"/>
        </w:tabs>
        <w:bidi w:val="0"/>
        <w:spacing w:before="0" w:after="580" w:line="240" w:lineRule="auto"/>
        <w:ind w:left="0" w:right="0" w:firstLine="340"/>
        <w:jc w:val="left"/>
      </w:pPr>
      <w:r>
        <w:rPr>
          <w:rStyle w:val="CharStyle3"/>
          <w:b/>
          <w:bCs/>
        </w:rPr>
        <w:t>Balení: sterilní balení á 1 ks, více ks v balení.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480" w:right="0" w:firstLine="20"/>
        <w:jc w:val="left"/>
      </w:pP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1082040</wp:posOffset>
                </wp:positionH>
                <wp:positionV relativeFrom="margin">
                  <wp:posOffset>2905125</wp:posOffset>
                </wp:positionV>
                <wp:extent cx="1557655" cy="121602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7655" cy="1216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Výrobce/typ: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Cena za 1 ks bez DPH: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Cena za 1 ks vč. DPH: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Počet ks v balení: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Cena za 1 balení bez DPH: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Cena za 1 balení vč. DPH: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85.200000000000003pt;margin-top:228.75pt;width:122.65000000000001pt;height:95.75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Výrobce/typ: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za 1 ks bez DPH: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za 1 ks vč. DPH: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Počet ks v balení: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za 1 balení bez DPH: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za 1 balení vč. DPH: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CharStyle3"/>
          <w:b/>
          <w:bCs/>
        </w:rPr>
        <w:t>Ningbo Pinmed Instruments Co., Ltd. 0,80 Kč bez DPH 0,90 Kč vč. DPH 50 ks v balení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480" w:right="0" w:firstLine="20"/>
        <w:jc w:val="left"/>
      </w:pPr>
      <w:r>
        <w:rPr>
          <w:rStyle w:val="CharStyle3"/>
          <w:b/>
          <w:bCs/>
        </w:rPr>
        <w:t>40,00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1480" w:right="0" w:firstLine="20"/>
        <w:jc w:val="left"/>
        <w:sectPr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1900" w:h="16840"/>
          <w:pgMar w:top="1208" w:right="1619" w:bottom="1904" w:left="1406" w:header="0" w:footer="3" w:gutter="0"/>
          <w:cols w:space="720"/>
          <w:noEndnote/>
          <w:titlePg/>
          <w:rtlGutter w:val="0"/>
          <w:docGrid w:linePitch="360"/>
        </w:sectPr>
      </w:pPr>
      <w:r>
        <w:rPr>
          <w:rStyle w:val="CharStyle3"/>
          <w:b/>
          <w:bCs/>
        </w:rPr>
        <w:t>45,00 Kč vč. DPH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657985" cy="1657985"/>
            <wp:docPr id="31" name="Picut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657985" cy="165798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17"/>
      <w:footerReference w:type="default" r:id="rId18"/>
      <w:footnotePr>
        <w:pos w:val="pageBottom"/>
        <w:numFmt w:val="decimal"/>
        <w:numRestart w:val="continuous"/>
      </w:footnotePr>
      <w:pgSz w:w="11900" w:h="16840"/>
      <w:pgMar w:top="7043" w:right="2089" w:bottom="7043" w:left="1559" w:header="0" w:footer="6615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10036175</wp:posOffset>
              </wp:positionV>
              <wp:extent cx="412686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268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22_2025 DNS ZSM: Intravenózní kanyly 2026 - 2027- část 2 Krytí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2.pt;margin-top:790.25pt;width:324.94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22_2025 DNS ZSM: Intravenózní kanyly 2026 - 2027- část 2 Krytí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1099820</wp:posOffset>
              </wp:positionH>
              <wp:positionV relativeFrom="page">
                <wp:posOffset>10003155</wp:posOffset>
              </wp:positionV>
              <wp:extent cx="4130040" cy="1187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3004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22_2025 DNS ZSM: Intravenózní kanyly 2026 - 2027 - část 2 Kryti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6.600000000000009pt;margin-top:787.64999999999998pt;width:325.19999999999999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22_2025 DNS ZSM: Intravenózní kanyly 2026 - 2027 - část 2 Kryti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1099820</wp:posOffset>
              </wp:positionH>
              <wp:positionV relativeFrom="page">
                <wp:posOffset>10003155</wp:posOffset>
              </wp:positionV>
              <wp:extent cx="4130040" cy="11874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3004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22_2025 DNS ZSM: Intravenózní kanyly 2026 - 2027 - část 2 Kryti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86.600000000000009pt;margin-top:787.64999999999998pt;width:325.19999999999999pt;height:9.34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22_2025 DNS ZSM: Intravenózní kanyly 2026 - 2027 - část 2 Kryti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924560</wp:posOffset>
              </wp:positionH>
              <wp:positionV relativeFrom="page">
                <wp:posOffset>9953625</wp:posOffset>
              </wp:positionV>
              <wp:extent cx="4123690" cy="10985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236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22_2025 DNS ZSM: Intravenóznl kanyly 2026 - 2027 - část 2 Krytí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72.799999999999997pt;margin-top:783.75pt;width:324.69999999999999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22_2025 DNS ZSM: Intravenóznl kanyly 2026 - 2027 - část 2 Krytí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6348730</wp:posOffset>
              </wp:positionH>
              <wp:positionV relativeFrom="page">
                <wp:posOffset>483870</wp:posOffset>
              </wp:positionV>
              <wp:extent cx="539750" cy="946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7"/>
                              <w:rFonts w:ascii="Palatino Linotype" w:eastAsia="Palatino Linotype" w:hAnsi="Palatino Linotype" w:cs="Palatino Linotype"/>
                              <w:sz w:val="22"/>
                              <w:szCs w:val="22"/>
                            </w:rPr>
                            <w:t>PS-12601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9.90000000000003pt;margin-top:38.100000000000001pt;width:42.5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7"/>
                        <w:rFonts w:ascii="Palatino Linotype" w:eastAsia="Palatino Linotype" w:hAnsi="Palatino Linotype" w:cs="Palatino Linotype"/>
                        <w:sz w:val="22"/>
                        <w:szCs w:val="22"/>
                      </w:rPr>
                      <w:t>PS-12601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6348730</wp:posOffset>
              </wp:positionH>
              <wp:positionV relativeFrom="page">
                <wp:posOffset>483870</wp:posOffset>
              </wp:positionV>
              <wp:extent cx="539750" cy="9461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7"/>
                              <w:rFonts w:ascii="Palatino Linotype" w:eastAsia="Palatino Linotype" w:hAnsi="Palatino Linotype" w:cs="Palatino Linotype"/>
                              <w:sz w:val="22"/>
                              <w:szCs w:val="22"/>
                            </w:rPr>
                            <w:t>PS-12601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99.90000000000003pt;margin-top:38.100000000000001pt;width:42.5pt;height:7.4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7"/>
                        <w:rFonts w:ascii="Palatino Linotype" w:eastAsia="Palatino Linotype" w:hAnsi="Palatino Linotype" w:cs="Palatino Linotype"/>
                        <w:sz w:val="22"/>
                        <w:szCs w:val="22"/>
                      </w:rPr>
                      <w:t>PS-12601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6171565</wp:posOffset>
              </wp:positionH>
              <wp:positionV relativeFrom="page">
                <wp:posOffset>540385</wp:posOffset>
              </wp:positionV>
              <wp:extent cx="530225" cy="88265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22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7"/>
                            </w:rPr>
                            <w:t>PS-12601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485.94999999999999pt;margin-top:42.550000000000004pt;width:41.75pt;height:6.9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7"/>
                      </w:rPr>
                      <w:t>PS-12601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Základní text (4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Záhlaví nebo zápatí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spacing w:after="40" w:line="13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auto"/>
      <w:spacing w:after="40" w:line="276" w:lineRule="auto"/>
      <w:ind w:left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auto"/>
      <w:spacing w:after="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image" Target="media/image2.png"/><Relationship Id="rId16" Type="http://schemas.openxmlformats.org/officeDocument/2006/relationships/image" Target="media/image2.png" TargetMode="External"/><Relationship Id="rId17" Type="http://schemas.openxmlformats.org/officeDocument/2006/relationships/header" Target="header5.xml"/><Relationship Id="rId18" Type="http://schemas.openxmlformats.org/officeDocument/2006/relationships/footer" Target="footer5.xml"/></Relationships>
</file>