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A6FFCCC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(uzavřená s</w:t>
      </w:r>
      <w:r w:rsidR="00726857">
        <w:rPr>
          <w:rFonts w:ascii="Arial" w:hAnsi="Arial" w:cs="Arial"/>
          <w:b/>
          <w:bCs/>
          <w:sz w:val="20"/>
          <w:szCs w:val="20"/>
        </w:rPr>
        <w:t> vybraným dodavatelem</w:t>
      </w:r>
      <w:r w:rsidRPr="009D4883">
        <w:rPr>
          <w:rFonts w:ascii="Arial" w:hAnsi="Arial" w:cs="Arial"/>
          <w:b/>
          <w:bCs/>
          <w:sz w:val="20"/>
          <w:szCs w:val="20"/>
        </w:rPr>
        <w:t>)</w:t>
      </w:r>
    </w:p>
    <w:p w14:paraId="2541F793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EC39798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AF85A55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AE4C3E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AFA671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690EE33" w14:textId="77777777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Pr, vl.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3CB335D1" w14:textId="794BDA4A" w:rsidR="00B24046" w:rsidRPr="005F27BF" w:rsidRDefault="00B24046" w:rsidP="006426CD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6426CD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147C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a</w:t>
      </w:r>
    </w:p>
    <w:p w14:paraId="39081629" w14:textId="77777777" w:rsidR="00806172" w:rsidRPr="00806172" w:rsidRDefault="00806172" w:rsidP="0080617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06172">
        <w:rPr>
          <w:rFonts w:ascii="Arial" w:hAnsi="Arial" w:cs="Arial"/>
          <w:b/>
          <w:bCs/>
          <w:sz w:val="20"/>
          <w:szCs w:val="20"/>
        </w:rPr>
        <w:t xml:space="preserve">MEDISTA, </w:t>
      </w:r>
      <w:proofErr w:type="gramStart"/>
      <w:r w:rsidRPr="00806172">
        <w:rPr>
          <w:rFonts w:ascii="Arial" w:hAnsi="Arial" w:cs="Arial"/>
          <w:b/>
          <w:bCs/>
          <w:sz w:val="20"/>
          <w:szCs w:val="20"/>
        </w:rPr>
        <w:t>spol.s</w:t>
      </w:r>
      <w:proofErr w:type="gramEnd"/>
      <w:r w:rsidRPr="00806172">
        <w:rPr>
          <w:rFonts w:ascii="Arial" w:hAnsi="Arial" w:cs="Arial"/>
          <w:b/>
          <w:bCs/>
          <w:sz w:val="20"/>
          <w:szCs w:val="20"/>
        </w:rPr>
        <w:t> r.o.</w:t>
      </w:r>
    </w:p>
    <w:p w14:paraId="06470428" w14:textId="0F8F4B6A" w:rsidR="00806172" w:rsidRPr="00806172" w:rsidRDefault="00806172" w:rsidP="008061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6172">
        <w:rPr>
          <w:rFonts w:ascii="Arial" w:hAnsi="Arial" w:cs="Arial"/>
          <w:sz w:val="20"/>
          <w:szCs w:val="20"/>
        </w:rPr>
        <w:t xml:space="preserve">se sídlem: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06172">
        <w:rPr>
          <w:rFonts w:ascii="Arial" w:hAnsi="Arial" w:cs="Arial"/>
          <w:sz w:val="20"/>
          <w:szCs w:val="20"/>
        </w:rPr>
        <w:t>Dělnická 213/12, 170 00 Praha 7</w:t>
      </w:r>
    </w:p>
    <w:p w14:paraId="6D771D2A" w14:textId="51141F76" w:rsidR="00806172" w:rsidRPr="00806172" w:rsidRDefault="00806172" w:rsidP="008061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6172">
        <w:rPr>
          <w:rFonts w:ascii="Arial" w:hAnsi="Arial" w:cs="Arial"/>
          <w:sz w:val="20"/>
          <w:szCs w:val="20"/>
        </w:rPr>
        <w:t xml:space="preserve">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06172">
        <w:rPr>
          <w:rFonts w:ascii="Arial" w:hAnsi="Arial" w:cs="Arial"/>
          <w:sz w:val="20"/>
          <w:szCs w:val="20"/>
        </w:rPr>
        <w:t>60199865</w:t>
      </w:r>
    </w:p>
    <w:p w14:paraId="0DA6BBAA" w14:textId="2D6CF18C" w:rsidR="00806172" w:rsidRPr="00806172" w:rsidRDefault="00806172" w:rsidP="008061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6172">
        <w:rPr>
          <w:rFonts w:ascii="Arial" w:hAnsi="Arial" w:cs="Arial"/>
          <w:sz w:val="20"/>
          <w:szCs w:val="20"/>
        </w:rPr>
        <w:t xml:space="preserve">DIČ: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06172">
        <w:rPr>
          <w:rFonts w:ascii="Arial" w:hAnsi="Arial" w:cs="Arial"/>
          <w:sz w:val="20"/>
          <w:szCs w:val="20"/>
        </w:rPr>
        <w:t>CZ60199865</w:t>
      </w:r>
    </w:p>
    <w:p w14:paraId="507A0F58" w14:textId="3D5F7F24" w:rsidR="00806172" w:rsidRPr="00806172" w:rsidRDefault="00806172" w:rsidP="008061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6172">
        <w:rPr>
          <w:rFonts w:ascii="Arial" w:hAnsi="Arial" w:cs="Arial"/>
          <w:sz w:val="20"/>
          <w:szCs w:val="20"/>
        </w:rPr>
        <w:t xml:space="preserve">Bankovní spojení: </w:t>
      </w:r>
      <w:r>
        <w:rPr>
          <w:rFonts w:ascii="Arial" w:hAnsi="Arial" w:cs="Arial"/>
          <w:sz w:val="20"/>
          <w:szCs w:val="20"/>
        </w:rPr>
        <w:tab/>
      </w:r>
      <w:r w:rsidR="006426CD">
        <w:rPr>
          <w:rFonts w:ascii="Arial" w:hAnsi="Arial" w:cs="Arial"/>
          <w:sz w:val="20"/>
          <w:szCs w:val="20"/>
        </w:rPr>
        <w:t>XXX</w:t>
      </w:r>
    </w:p>
    <w:p w14:paraId="75AB91B6" w14:textId="77777777" w:rsidR="00806172" w:rsidRPr="00806172" w:rsidRDefault="00806172" w:rsidP="008061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6172">
        <w:rPr>
          <w:rFonts w:ascii="Arial" w:hAnsi="Arial" w:cs="Arial"/>
          <w:sz w:val="20"/>
          <w:szCs w:val="20"/>
        </w:rPr>
        <w:t>Firma je zapsána u MS v Praze, oddíl C, vložka 25026</w:t>
      </w:r>
    </w:p>
    <w:p w14:paraId="5201DECA" w14:textId="20761117" w:rsidR="00806172" w:rsidRPr="00806172" w:rsidRDefault="00806172" w:rsidP="008061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06172">
        <w:rPr>
          <w:rFonts w:ascii="Arial" w:hAnsi="Arial" w:cs="Arial"/>
          <w:sz w:val="20"/>
          <w:szCs w:val="20"/>
        </w:rPr>
        <w:t xml:space="preserve">zastoupena: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06172">
        <w:rPr>
          <w:rFonts w:ascii="Arial" w:hAnsi="Arial" w:cs="Arial"/>
          <w:sz w:val="20"/>
          <w:szCs w:val="20"/>
        </w:rPr>
        <w:t>Ing. Jan Kadlec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47CAB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FA3EFD5" w14:textId="665452CD" w:rsidR="008826A5" w:rsidRPr="00D875F8" w:rsidRDefault="00F50FA8" w:rsidP="008D1336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</w:t>
      </w:r>
      <w:r w:rsidR="00BE1D44">
        <w:rPr>
          <w:rFonts w:ascii="Arial" w:hAnsi="Arial" w:cs="Arial"/>
          <w:sz w:val="20"/>
          <w:szCs w:val="20"/>
        </w:rPr>
        <w:t xml:space="preserve"> v </w:t>
      </w:r>
      <w:r w:rsidR="00BE1D44" w:rsidRPr="00EE39B3">
        <w:rPr>
          <w:rFonts w:ascii="Arial" w:hAnsi="Arial" w:cs="Arial"/>
          <w:sz w:val="20"/>
          <w:szCs w:val="20"/>
        </w:rPr>
        <w:t>režimu VZMR</w:t>
      </w:r>
      <w:r w:rsidRPr="00EE39B3">
        <w:rPr>
          <w:rFonts w:ascii="Arial" w:hAnsi="Arial" w:cs="Arial"/>
          <w:sz w:val="20"/>
          <w:szCs w:val="20"/>
        </w:rPr>
        <w:t xml:space="preserve"> s názvem</w:t>
      </w:r>
      <w:r w:rsidRPr="00EE39B3">
        <w:rPr>
          <w:rFonts w:ascii="Arial" w:hAnsi="Arial" w:cs="Arial"/>
          <w:color w:val="FF0000"/>
          <w:sz w:val="20"/>
          <w:szCs w:val="20"/>
        </w:rPr>
        <w:t xml:space="preserve"> </w:t>
      </w:r>
      <w:r w:rsidR="008D1336" w:rsidRPr="008D1336">
        <w:rPr>
          <w:rFonts w:ascii="Arial" w:hAnsi="Arial" w:cs="Arial"/>
          <w:b/>
          <w:bCs/>
          <w:sz w:val="20"/>
          <w:szCs w:val="20"/>
        </w:rPr>
        <w:t>„Dodávky ZP IVD – Dodávka reagencií a provozních roztoků pro vyšetření glykovaného hemoglobinu včetně zápůjčky zařízení“</w:t>
      </w:r>
      <w:r w:rsidR="008D1336">
        <w:rPr>
          <w:rFonts w:ascii="Arial" w:hAnsi="Arial" w:cs="Arial"/>
          <w:b/>
          <w:bCs/>
          <w:sz w:val="20"/>
          <w:szCs w:val="20"/>
        </w:rPr>
        <w:t>.</w:t>
      </w: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9757D9">
      <w:pPr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3BC58378" w:rsidR="00F875AB" w:rsidRPr="009757D9" w:rsidRDefault="00F875AB" w:rsidP="009757D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Smluvní strany se touto smlouvou zavazují dodržovat ve vzájemném obchodním styku dále uvedené obchodní podmínky, které prohlašují za společné a odsouhlasené pro všechny budoucí obchodně</w:t>
      </w:r>
      <w:r w:rsidR="004A6858" w:rsidRPr="009757D9">
        <w:rPr>
          <w:rFonts w:ascii="Arial" w:hAnsi="Arial" w:cs="Arial"/>
          <w:sz w:val="20"/>
          <w:szCs w:val="20"/>
        </w:rPr>
        <w:noBreakHyphen/>
      </w:r>
      <w:r w:rsidRPr="009757D9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432465B" w14:textId="7E22ECC5" w:rsidR="00F875AB" w:rsidRPr="009757D9" w:rsidRDefault="00F875AB" w:rsidP="009757D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 xml:space="preserve">Předmětem plnění této smlouvy </w:t>
      </w:r>
      <w:r w:rsidR="009C2B42" w:rsidRPr="009757D9">
        <w:rPr>
          <w:rFonts w:ascii="Arial" w:hAnsi="Arial" w:cs="Arial"/>
          <w:b/>
          <w:bCs/>
          <w:sz w:val="20"/>
          <w:szCs w:val="20"/>
        </w:rPr>
        <w:t>jsou</w:t>
      </w:r>
      <w:r w:rsidR="00730DB1" w:rsidRPr="009757D9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9757D9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9757D9">
        <w:rPr>
          <w:rFonts w:ascii="Arial" w:hAnsi="Arial" w:cs="Arial"/>
          <w:sz w:val="20"/>
          <w:szCs w:val="20"/>
        </w:rPr>
        <w:t xml:space="preserve"> </w:t>
      </w:r>
      <w:r w:rsidRPr="009757D9">
        <w:rPr>
          <w:rFonts w:ascii="Arial" w:hAnsi="Arial" w:cs="Arial"/>
          <w:b/>
          <w:sz w:val="20"/>
          <w:szCs w:val="20"/>
        </w:rPr>
        <w:t xml:space="preserve">dodávky </w:t>
      </w:r>
      <w:r w:rsidR="00BE1D44" w:rsidRPr="009757D9">
        <w:rPr>
          <w:rFonts w:ascii="Arial" w:hAnsi="Arial" w:cs="Arial"/>
          <w:b/>
          <w:sz w:val="20"/>
          <w:szCs w:val="20"/>
        </w:rPr>
        <w:t>potřebných reagencií</w:t>
      </w:r>
      <w:r w:rsidR="00730DB1" w:rsidRPr="009757D9">
        <w:rPr>
          <w:rFonts w:ascii="Arial" w:hAnsi="Arial" w:cs="Arial"/>
          <w:b/>
          <w:sz w:val="20"/>
          <w:szCs w:val="20"/>
        </w:rPr>
        <w:t xml:space="preserve"> </w:t>
      </w:r>
      <w:r w:rsidR="00754FC4" w:rsidRPr="009757D9">
        <w:rPr>
          <w:rFonts w:ascii="Arial" w:hAnsi="Arial" w:cs="Arial"/>
          <w:b/>
          <w:sz w:val="20"/>
          <w:szCs w:val="20"/>
        </w:rPr>
        <w:t>a spotřebního</w:t>
      </w:r>
      <w:r w:rsidR="00730DB1" w:rsidRPr="009757D9">
        <w:rPr>
          <w:rFonts w:ascii="Arial" w:hAnsi="Arial" w:cs="Arial"/>
          <w:b/>
          <w:sz w:val="20"/>
          <w:szCs w:val="20"/>
        </w:rPr>
        <w:t xml:space="preserve"> materiálu </w:t>
      </w:r>
      <w:r w:rsidR="00F95FD8" w:rsidRPr="009757D9">
        <w:rPr>
          <w:rFonts w:ascii="Arial" w:hAnsi="Arial" w:cs="Arial"/>
          <w:bCs/>
          <w:sz w:val="20"/>
          <w:szCs w:val="20"/>
        </w:rPr>
        <w:t>dle</w:t>
      </w:r>
      <w:r w:rsidR="00674324" w:rsidRPr="009757D9">
        <w:rPr>
          <w:rFonts w:ascii="Arial" w:hAnsi="Arial" w:cs="Arial"/>
          <w:bCs/>
          <w:sz w:val="20"/>
          <w:szCs w:val="20"/>
        </w:rPr>
        <w:t> </w:t>
      </w:r>
      <w:r w:rsidR="00F95FD8" w:rsidRPr="009757D9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9757D9">
        <w:rPr>
          <w:rFonts w:ascii="Arial" w:hAnsi="Arial" w:cs="Arial"/>
          <w:sz w:val="20"/>
          <w:szCs w:val="20"/>
        </w:rPr>
        <w:t xml:space="preserve">. Podrobná specifikace předmětu plnění </w:t>
      </w:r>
      <w:r w:rsidR="00BE1D44" w:rsidRPr="009757D9">
        <w:rPr>
          <w:rFonts w:ascii="Arial" w:hAnsi="Arial" w:cs="Arial"/>
          <w:sz w:val="20"/>
          <w:szCs w:val="20"/>
        </w:rPr>
        <w:t xml:space="preserve">této smlouvy je uvedena </w:t>
      </w:r>
      <w:r w:rsidR="00BF62E5" w:rsidRPr="009757D9">
        <w:rPr>
          <w:rFonts w:ascii="Arial" w:hAnsi="Arial" w:cs="Arial"/>
          <w:sz w:val="20"/>
          <w:szCs w:val="20"/>
        </w:rPr>
        <w:t>v</w:t>
      </w:r>
      <w:r w:rsidR="00F95FD8" w:rsidRPr="009757D9">
        <w:rPr>
          <w:rFonts w:ascii="Arial" w:hAnsi="Arial" w:cs="Arial"/>
          <w:sz w:val="20"/>
          <w:szCs w:val="20"/>
        </w:rPr>
        <w:t> zadávacích podmínkách veřejné</w:t>
      </w:r>
      <w:r w:rsidR="00730DB1" w:rsidRPr="009757D9">
        <w:rPr>
          <w:rFonts w:ascii="Arial" w:hAnsi="Arial" w:cs="Arial"/>
          <w:sz w:val="20"/>
          <w:szCs w:val="20"/>
        </w:rPr>
        <w:t xml:space="preserve"> </w:t>
      </w:r>
      <w:r w:rsidR="00F95FD8" w:rsidRPr="009757D9">
        <w:rPr>
          <w:rFonts w:ascii="Arial" w:hAnsi="Arial" w:cs="Arial"/>
          <w:sz w:val="20"/>
          <w:szCs w:val="20"/>
        </w:rPr>
        <w:t>zakázk</w:t>
      </w:r>
      <w:r w:rsidR="001C3074" w:rsidRPr="009757D9">
        <w:rPr>
          <w:rFonts w:ascii="Arial" w:hAnsi="Arial" w:cs="Arial"/>
          <w:sz w:val="20"/>
          <w:szCs w:val="20"/>
        </w:rPr>
        <w:t>y</w:t>
      </w:r>
      <w:r w:rsidR="0005303E" w:rsidRPr="009757D9">
        <w:rPr>
          <w:rFonts w:ascii="Arial" w:hAnsi="Arial" w:cs="Arial"/>
          <w:sz w:val="20"/>
          <w:szCs w:val="20"/>
        </w:rPr>
        <w:t xml:space="preserve"> a </w:t>
      </w:r>
      <w:r w:rsidR="00FB5B8D" w:rsidRPr="009757D9">
        <w:rPr>
          <w:rFonts w:ascii="Arial" w:hAnsi="Arial" w:cs="Arial"/>
          <w:sz w:val="20"/>
          <w:szCs w:val="20"/>
        </w:rPr>
        <w:t xml:space="preserve">v </w:t>
      </w:r>
      <w:r w:rsidR="007A7921" w:rsidRPr="009757D9">
        <w:rPr>
          <w:rFonts w:ascii="Arial" w:hAnsi="Arial" w:cs="Arial"/>
          <w:sz w:val="20"/>
          <w:szCs w:val="20"/>
          <w:highlight w:val="yellow"/>
        </w:rPr>
        <w:t>P</w:t>
      </w:r>
      <w:r w:rsidR="00FB5B8D" w:rsidRPr="009757D9">
        <w:rPr>
          <w:rFonts w:ascii="Arial" w:hAnsi="Arial" w:cs="Arial"/>
          <w:sz w:val="20"/>
          <w:szCs w:val="20"/>
          <w:highlight w:val="yellow"/>
        </w:rPr>
        <w:t>říloze č. 1</w:t>
      </w:r>
      <w:r w:rsidR="0005303E" w:rsidRPr="009757D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A7921" w:rsidRPr="009757D9">
        <w:rPr>
          <w:rFonts w:ascii="Arial" w:hAnsi="Arial" w:cs="Arial"/>
          <w:sz w:val="20"/>
          <w:szCs w:val="20"/>
          <w:highlight w:val="yellow"/>
        </w:rPr>
        <w:t>Z</w:t>
      </w:r>
      <w:r w:rsidR="00127D01" w:rsidRPr="009757D9">
        <w:rPr>
          <w:rFonts w:ascii="Arial" w:hAnsi="Arial" w:cs="Arial"/>
          <w:sz w:val="20"/>
          <w:szCs w:val="20"/>
          <w:highlight w:val="yellow"/>
        </w:rPr>
        <w:t>D.</w:t>
      </w:r>
    </w:p>
    <w:p w14:paraId="07C1E582" w14:textId="77777777" w:rsidR="00102AE3" w:rsidRPr="0005303E" w:rsidRDefault="00102AE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48E548A" w14:textId="445ED743" w:rsidR="00F875AB" w:rsidRPr="009757D9" w:rsidRDefault="00F875AB" w:rsidP="009757D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Prodávající se zavazuje podle této smlouvy dodávat Kupujícímu zboží specifikované v této smlouvě</w:t>
      </w:r>
      <w:r w:rsidR="00102AE3" w:rsidRPr="009757D9">
        <w:rPr>
          <w:rFonts w:ascii="Arial" w:hAnsi="Arial" w:cs="Arial"/>
          <w:sz w:val="20"/>
          <w:szCs w:val="20"/>
        </w:rPr>
        <w:t xml:space="preserve"> a </w:t>
      </w:r>
      <w:r w:rsidRPr="009757D9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295F37E" w14:textId="2C28A8A3" w:rsidR="0054723F" w:rsidRPr="009757D9" w:rsidRDefault="00F875AB" w:rsidP="009757D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5F482BF" w14:textId="676AB0F6" w:rsidR="003A4DD3" w:rsidRPr="009757D9" w:rsidRDefault="003A4DD3" w:rsidP="009757D9">
      <w:pPr>
        <w:pStyle w:val="Odstavecseseznamem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9757D9">
        <w:rPr>
          <w:rFonts w:ascii="Arial" w:hAnsi="Arial" w:cs="Arial"/>
          <w:sz w:val="20"/>
          <w:szCs w:val="20"/>
        </w:rPr>
        <w:t>. K</w:t>
      </w:r>
      <w:r w:rsidRPr="009757D9">
        <w:rPr>
          <w:rFonts w:ascii="Arial" w:hAnsi="Arial" w:cs="Arial"/>
          <w:sz w:val="20"/>
          <w:szCs w:val="20"/>
        </w:rPr>
        <w:t>upující je oprávněn určovat konkrétní množství a dobu plnění jednotlivých dílčích dodávek podle svých aktuálních potřeb s ohledem na skladbu pacientů</w:t>
      </w:r>
      <w:r w:rsidR="000E2A3C" w:rsidRPr="009757D9">
        <w:rPr>
          <w:rFonts w:ascii="Arial" w:hAnsi="Arial" w:cs="Arial"/>
          <w:sz w:val="20"/>
          <w:szCs w:val="20"/>
        </w:rPr>
        <w:t xml:space="preserve"> a požadavky klinických partnerů</w:t>
      </w:r>
      <w:r w:rsidRPr="009757D9">
        <w:rPr>
          <w:rFonts w:ascii="Arial" w:hAnsi="Arial" w:cs="Arial"/>
          <w:sz w:val="20"/>
          <w:szCs w:val="20"/>
        </w:rPr>
        <w:t xml:space="preserve">. Kupující není </w:t>
      </w:r>
      <w:r w:rsidRPr="009757D9">
        <w:rPr>
          <w:rFonts w:ascii="Arial" w:hAnsi="Arial" w:cs="Arial"/>
          <w:sz w:val="20"/>
          <w:szCs w:val="20"/>
        </w:rPr>
        <w:lastRenderedPageBreak/>
        <w:t>smluvně zavázán odebrat během doby platnosti této smlouvy v součtu dílčích objednávek rámcově uvedená množství v</w:t>
      </w:r>
      <w:r w:rsidR="000E2A3C" w:rsidRPr="009757D9">
        <w:rPr>
          <w:rFonts w:ascii="Arial" w:hAnsi="Arial" w:cs="Arial"/>
          <w:sz w:val="20"/>
          <w:szCs w:val="20"/>
        </w:rPr>
        <w:t> </w:t>
      </w:r>
      <w:r w:rsidR="002F7CB2" w:rsidRPr="009757D9">
        <w:rPr>
          <w:rFonts w:ascii="Arial" w:hAnsi="Arial" w:cs="Arial"/>
          <w:sz w:val="20"/>
          <w:szCs w:val="20"/>
        </w:rPr>
        <w:t>uvedeném</w:t>
      </w:r>
      <w:r w:rsidRPr="009757D9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k</w:t>
      </w:r>
      <w:r w:rsidR="000E2A3C" w:rsidRPr="009757D9">
        <w:rPr>
          <w:rFonts w:ascii="Arial" w:hAnsi="Arial" w:cs="Arial"/>
          <w:sz w:val="20"/>
          <w:szCs w:val="20"/>
        </w:rPr>
        <w:t> </w:t>
      </w:r>
      <w:r w:rsidRPr="009757D9">
        <w:rPr>
          <w:rFonts w:ascii="Arial" w:hAnsi="Arial" w:cs="Arial"/>
          <w:sz w:val="20"/>
          <w:szCs w:val="20"/>
        </w:rPr>
        <w:t>plnému dodání sta</w:t>
      </w:r>
      <w:r w:rsidR="00BF5A81" w:rsidRPr="009757D9">
        <w:rPr>
          <w:rFonts w:ascii="Arial" w:hAnsi="Arial" w:cs="Arial"/>
          <w:sz w:val="20"/>
          <w:szCs w:val="20"/>
        </w:rPr>
        <w:t>no</w:t>
      </w:r>
      <w:r w:rsidRPr="009757D9">
        <w:rPr>
          <w:rFonts w:ascii="Arial" w:hAnsi="Arial" w:cs="Arial"/>
          <w:sz w:val="20"/>
          <w:szCs w:val="20"/>
        </w:rPr>
        <w:t>vených množstevních kvót, nezakládá to pro Prodávajícího žádné právo požadovat na Kupujícím jakoukoliv náhradu škody z</w:t>
      </w:r>
      <w:r w:rsidR="007A7921" w:rsidRPr="009757D9">
        <w:rPr>
          <w:rFonts w:ascii="Arial" w:hAnsi="Arial" w:cs="Arial"/>
          <w:sz w:val="20"/>
          <w:szCs w:val="20"/>
        </w:rPr>
        <w:t> </w:t>
      </w:r>
      <w:r w:rsidRPr="009757D9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9757D9">
      <w:pPr>
        <w:tabs>
          <w:tab w:val="left" w:pos="284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F361392" w14:textId="794A9C32" w:rsidR="003A4DD3" w:rsidRPr="009757D9" w:rsidRDefault="003A4DD3" w:rsidP="009757D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50A7AD3E" w:rsidR="00F875AB" w:rsidRPr="009757D9" w:rsidRDefault="00F875AB" w:rsidP="009757D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 xml:space="preserve">Budoucí dílčí </w:t>
      </w:r>
      <w:r w:rsidR="00F95FD8" w:rsidRPr="009757D9">
        <w:rPr>
          <w:rFonts w:ascii="Arial" w:hAnsi="Arial" w:cs="Arial"/>
          <w:sz w:val="20"/>
          <w:szCs w:val="20"/>
        </w:rPr>
        <w:t>obchody</w:t>
      </w:r>
      <w:r w:rsidRPr="009757D9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 w:rsidRPr="009757D9">
        <w:rPr>
          <w:rFonts w:ascii="Arial" w:hAnsi="Arial" w:cs="Arial"/>
          <w:sz w:val="20"/>
          <w:szCs w:val="20"/>
        </w:rPr>
        <w:t>0</w:t>
      </w:r>
      <w:r w:rsidRPr="009757D9">
        <w:rPr>
          <w:rFonts w:ascii="Arial" w:hAnsi="Arial" w:cs="Arial"/>
          <w:sz w:val="20"/>
          <w:szCs w:val="20"/>
        </w:rPr>
        <w:t>0 h</w:t>
      </w:r>
      <w:r w:rsidR="007841EE" w:rsidRPr="009757D9">
        <w:rPr>
          <w:rFonts w:ascii="Arial" w:hAnsi="Arial" w:cs="Arial"/>
          <w:sz w:val="20"/>
          <w:szCs w:val="20"/>
        </w:rPr>
        <w:t>odin</w:t>
      </w:r>
      <w:r w:rsidRPr="009757D9">
        <w:rPr>
          <w:rFonts w:ascii="Arial" w:hAnsi="Arial" w:cs="Arial"/>
          <w:sz w:val="20"/>
          <w:szCs w:val="20"/>
        </w:rPr>
        <w:t xml:space="preserve">, a to </w:t>
      </w:r>
      <w:r w:rsidR="006654AD" w:rsidRPr="009757D9">
        <w:rPr>
          <w:rFonts w:ascii="Arial" w:hAnsi="Arial" w:cs="Arial"/>
          <w:sz w:val="20"/>
          <w:szCs w:val="20"/>
        </w:rPr>
        <w:t xml:space="preserve">elektronickou </w:t>
      </w:r>
      <w:r w:rsidRPr="009757D9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9757D9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04FE35EB" w14:textId="797503E6" w:rsidR="00F875AB" w:rsidRPr="009757D9" w:rsidRDefault="00F875AB" w:rsidP="009757D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Minimální finanční objem jednotlivého obchodu není stanoven</w:t>
      </w:r>
      <w:r w:rsidR="00C5221A" w:rsidRPr="009757D9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B6EBC7D" w14:textId="3DAB3991" w:rsidR="00F875AB" w:rsidRPr="009757D9" w:rsidRDefault="00F875AB" w:rsidP="009757D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Prodávající, se zavazuje, že obratem potvrdí obdržení objednávky</w:t>
      </w:r>
      <w:r w:rsidR="0050374A" w:rsidRPr="009757D9">
        <w:rPr>
          <w:rFonts w:ascii="Arial" w:hAnsi="Arial" w:cs="Arial"/>
          <w:sz w:val="20"/>
          <w:szCs w:val="20"/>
        </w:rPr>
        <w:t>,</w:t>
      </w:r>
      <w:r w:rsidR="00A01378" w:rsidRPr="009757D9">
        <w:rPr>
          <w:rFonts w:ascii="Arial" w:hAnsi="Arial" w:cs="Arial"/>
          <w:sz w:val="20"/>
          <w:szCs w:val="20"/>
        </w:rPr>
        <w:t xml:space="preserve"> a že zboží dodá do </w:t>
      </w:r>
      <w:r w:rsidR="00EB1240" w:rsidRPr="009757D9">
        <w:rPr>
          <w:rFonts w:ascii="Arial" w:hAnsi="Arial" w:cs="Arial"/>
          <w:sz w:val="20"/>
          <w:szCs w:val="20"/>
        </w:rPr>
        <w:t>5</w:t>
      </w:r>
      <w:r w:rsidR="00A01378" w:rsidRPr="009757D9">
        <w:rPr>
          <w:rFonts w:ascii="Arial" w:hAnsi="Arial" w:cs="Arial"/>
          <w:sz w:val="20"/>
          <w:szCs w:val="20"/>
        </w:rPr>
        <w:t> </w:t>
      </w:r>
      <w:r w:rsidR="0050374A" w:rsidRPr="009757D9">
        <w:rPr>
          <w:rFonts w:ascii="Arial" w:hAnsi="Arial" w:cs="Arial"/>
          <w:sz w:val="20"/>
          <w:szCs w:val="20"/>
        </w:rPr>
        <w:t xml:space="preserve">pracovních </w:t>
      </w:r>
      <w:r w:rsidR="00912A63" w:rsidRPr="009757D9">
        <w:rPr>
          <w:rFonts w:ascii="Arial" w:hAnsi="Arial" w:cs="Arial"/>
          <w:sz w:val="20"/>
          <w:szCs w:val="20"/>
        </w:rPr>
        <w:t>dnů s možností urgentní</w:t>
      </w:r>
      <w:r w:rsidR="0050374A" w:rsidRPr="009757D9">
        <w:rPr>
          <w:rFonts w:ascii="Arial" w:hAnsi="Arial" w:cs="Arial"/>
          <w:sz w:val="20"/>
          <w:szCs w:val="20"/>
        </w:rPr>
        <w:t xml:space="preserve"> telefonické</w:t>
      </w:r>
      <w:r w:rsidR="00912A63" w:rsidRPr="009757D9">
        <w:rPr>
          <w:rFonts w:ascii="Arial" w:hAnsi="Arial" w:cs="Arial"/>
          <w:sz w:val="20"/>
          <w:szCs w:val="20"/>
        </w:rPr>
        <w:t xml:space="preserve"> objednávky a dodání do </w:t>
      </w:r>
      <w:r w:rsidR="00EB1240" w:rsidRPr="009757D9">
        <w:rPr>
          <w:rFonts w:ascii="Arial" w:hAnsi="Arial" w:cs="Arial"/>
          <w:sz w:val="20"/>
          <w:szCs w:val="20"/>
        </w:rPr>
        <w:t>48</w:t>
      </w:r>
      <w:r w:rsidR="00127D01" w:rsidRPr="009757D9">
        <w:rPr>
          <w:rFonts w:ascii="Arial" w:hAnsi="Arial" w:cs="Arial"/>
          <w:sz w:val="20"/>
          <w:szCs w:val="20"/>
        </w:rPr>
        <w:t> </w:t>
      </w:r>
      <w:r w:rsidRPr="009757D9">
        <w:rPr>
          <w:rFonts w:ascii="Arial" w:hAnsi="Arial" w:cs="Arial"/>
          <w:sz w:val="20"/>
          <w:szCs w:val="20"/>
        </w:rPr>
        <w:t>h</w:t>
      </w:r>
      <w:r w:rsidR="007841EE" w:rsidRPr="009757D9">
        <w:rPr>
          <w:rFonts w:ascii="Arial" w:hAnsi="Arial" w:cs="Arial"/>
          <w:sz w:val="20"/>
          <w:szCs w:val="20"/>
        </w:rPr>
        <w:t xml:space="preserve">odin </w:t>
      </w:r>
      <w:r w:rsidRPr="009757D9">
        <w:rPr>
          <w:rFonts w:ascii="Arial" w:hAnsi="Arial" w:cs="Arial"/>
          <w:sz w:val="20"/>
          <w:szCs w:val="20"/>
        </w:rPr>
        <w:t>od</w:t>
      </w:r>
      <w:r w:rsidR="00A01378" w:rsidRPr="009757D9">
        <w:rPr>
          <w:rFonts w:ascii="Arial" w:hAnsi="Arial" w:cs="Arial"/>
          <w:sz w:val="20"/>
          <w:szCs w:val="20"/>
        </w:rPr>
        <w:t xml:space="preserve"> data a </w:t>
      </w:r>
      <w:r w:rsidR="00E1487C" w:rsidRPr="009757D9">
        <w:rPr>
          <w:rFonts w:ascii="Arial" w:hAnsi="Arial" w:cs="Arial"/>
          <w:sz w:val="20"/>
          <w:szCs w:val="20"/>
        </w:rPr>
        <w:t xml:space="preserve">času </w:t>
      </w:r>
      <w:r w:rsidRPr="009757D9">
        <w:rPr>
          <w:rFonts w:ascii="Arial" w:hAnsi="Arial" w:cs="Arial"/>
          <w:sz w:val="20"/>
          <w:szCs w:val="20"/>
        </w:rPr>
        <w:t>objednání.</w:t>
      </w:r>
      <w:r w:rsidR="003A4DD3" w:rsidRPr="003A4DD3">
        <w:t xml:space="preserve"> </w:t>
      </w:r>
      <w:r w:rsidR="003A4DD3" w:rsidRPr="009757D9">
        <w:rPr>
          <w:rFonts w:ascii="Arial" w:hAnsi="Arial" w:cs="Arial"/>
          <w:sz w:val="20"/>
          <w:szCs w:val="20"/>
        </w:rPr>
        <w:t xml:space="preserve">Připadne-li konec lhůty na sobotu, </w:t>
      </w:r>
      <w:r w:rsidR="00BF5A81" w:rsidRPr="009757D9">
        <w:rPr>
          <w:rFonts w:ascii="Arial" w:hAnsi="Arial" w:cs="Arial"/>
          <w:sz w:val="20"/>
          <w:szCs w:val="20"/>
        </w:rPr>
        <w:t>neděli,</w:t>
      </w:r>
      <w:r w:rsidR="003A4DD3" w:rsidRPr="009757D9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88536AA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5A072B">
        <w:rPr>
          <w:rFonts w:ascii="Arial" w:hAnsi="Arial" w:cs="Arial"/>
          <w:sz w:val="20"/>
          <w:szCs w:val="20"/>
        </w:rPr>
        <w:t>nemocniční</w:t>
      </w:r>
      <w:r w:rsidR="00930135" w:rsidRPr="00B4236F">
        <w:rPr>
          <w:rFonts w:ascii="Arial" w:hAnsi="Arial" w:cs="Arial"/>
          <w:sz w:val="20"/>
          <w:szCs w:val="20"/>
        </w:rPr>
        <w:t xml:space="preserve">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</w:t>
      </w:r>
      <w:r w:rsidR="00BF5A81">
        <w:rPr>
          <w:rFonts w:ascii="Arial" w:hAnsi="Arial" w:cs="Arial"/>
          <w:color w:val="000000"/>
          <w:sz w:val="20"/>
          <w:szCs w:val="20"/>
        </w:rPr>
        <w:t>, Pavilon H</w:t>
      </w:r>
      <w:r w:rsidRPr="00D60143">
        <w:rPr>
          <w:rFonts w:ascii="Arial" w:hAnsi="Arial" w:cs="Arial"/>
          <w:color w:val="000000"/>
          <w:sz w:val="20"/>
          <w:szCs w:val="20"/>
        </w:rPr>
        <w:t>.</w:t>
      </w:r>
    </w:p>
    <w:p w14:paraId="6B1B4862" w14:textId="77777777" w:rsidR="00945FC3" w:rsidRDefault="00945FC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F46B8A5" w14:textId="77777777" w:rsidR="00945FC3" w:rsidRPr="008F5313" w:rsidRDefault="00945FC3" w:rsidP="00945F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17267B39" w14:textId="77777777" w:rsidR="00945FC3" w:rsidRPr="008F5313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3A51E5B1" w14:textId="77777777" w:rsidR="00945FC3" w:rsidRPr="008F5313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E582AD" w14:textId="497E4E70" w:rsidR="00945FC3" w:rsidRPr="009757D9" w:rsidRDefault="00945FC3" w:rsidP="009757D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 xml:space="preserve">Po dobu platnosti této smlouvy se Prodávající zavazuje dodávat zboží podle dohodnuté kupní ceny vzešlé z výběrového řízení, která je u jednotlivých položek zboží uvedena v </w:t>
      </w:r>
      <w:r w:rsidRPr="009757D9">
        <w:rPr>
          <w:rFonts w:ascii="Arial" w:hAnsi="Arial" w:cs="Arial"/>
          <w:sz w:val="20"/>
          <w:szCs w:val="20"/>
          <w:highlight w:val="yellow"/>
        </w:rPr>
        <w:t>Příloze č. 1</w:t>
      </w:r>
      <w:r w:rsidRPr="009757D9">
        <w:rPr>
          <w:rFonts w:ascii="Arial" w:hAnsi="Arial" w:cs="Arial"/>
          <w:sz w:val="20"/>
          <w:szCs w:val="20"/>
        </w:rPr>
        <w:t xml:space="preserve"> této smlouvy.</w:t>
      </w:r>
    </w:p>
    <w:p w14:paraId="69D31CB5" w14:textId="77777777" w:rsidR="00945FC3" w:rsidRPr="007D3958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3014151" w14:textId="1CB9165C" w:rsidR="00945FC3" w:rsidRPr="009757D9" w:rsidRDefault="00945FC3" w:rsidP="009757D9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9757D9">
        <w:rPr>
          <w:rFonts w:ascii="Tahoma" w:hAnsi="Tahoma" w:cs="Tahoma"/>
          <w:color w:val="000000" w:themeColor="text1"/>
          <w:sz w:val="20"/>
          <w:szCs w:val="20"/>
        </w:rPr>
        <w:t>Ceny budou po dobu 12 měsíců od uzavření smlouvy neměnné (fixní). Po této době bude možné na žádost Prodávajícího každoročně (maximálně jednou za 12 měsíců) měnit jednotkové ceny uvedené v příloze č.1 této smlouvy o míru inflace vyjádřenou přírůstkem průměrného ročního indexu spotřebitelských cen za posledních 12 měsíců a vyhlášenou Českým statistickým úřadem v době podání žádosti o navýšení, nejvýše však o 10 % a to i v případě, že průměrná roční míra inflace bude vyšší. Tato změna je možná pouze na základě žádosti dodavatele a písemného dodatku ke smlouvě. Navýšení o inflaci se použije pouze v případě, že míra inflace bude vyšší nebo rovna 3 %. Lhůta na posouzení žádosti je 30 dní. O další navýšení je možné žádat až po uplynutí 12 měsíců od posledního navýšení. Změna ceny nabývá účinnosti dnem nabytí účinnosti dodatku.</w:t>
      </w:r>
    </w:p>
    <w:p w14:paraId="42339A0A" w14:textId="77777777" w:rsidR="00945FC3" w:rsidRDefault="00945FC3" w:rsidP="009757D9">
      <w:pPr>
        <w:ind w:left="426" w:hanging="426"/>
        <w:rPr>
          <w:sz w:val="22"/>
          <w:szCs w:val="22"/>
        </w:rPr>
      </w:pPr>
    </w:p>
    <w:p w14:paraId="50A954C3" w14:textId="211DE9EB" w:rsidR="00945FC3" w:rsidRPr="009757D9" w:rsidRDefault="00945FC3" w:rsidP="009757D9">
      <w:pPr>
        <w:pStyle w:val="Odstavecseseznamem"/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Cena podle bodu 1 tohoto článku je cena konečná a nejvýše přípustná a zahrnuje veškeré náklady Prodávajícího na pořízení zboží jako např. přirážky distributorů, celní poplatky, dopravné, balné apod. K této ceně bude připočteno DPH podle právních předpisů platných v době dodávky zboží.</w:t>
      </w:r>
    </w:p>
    <w:p w14:paraId="49F97844" w14:textId="77777777" w:rsidR="00945FC3" w:rsidRDefault="00945FC3" w:rsidP="00945FC3">
      <w:pPr>
        <w:jc w:val="both"/>
        <w:rPr>
          <w:rFonts w:ascii="Arial" w:hAnsi="Arial" w:cs="Arial"/>
          <w:sz w:val="20"/>
          <w:szCs w:val="20"/>
        </w:rPr>
      </w:pPr>
    </w:p>
    <w:p w14:paraId="0B1FB72B" w14:textId="77777777" w:rsidR="00945FC3" w:rsidRPr="00737D46" w:rsidRDefault="00945FC3" w:rsidP="00945F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VI.</w:t>
      </w:r>
    </w:p>
    <w:p w14:paraId="5AC29EAC" w14:textId="77777777" w:rsidR="00945FC3" w:rsidRPr="00737D46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774E1335" w14:textId="77777777" w:rsidR="00945FC3" w:rsidRPr="00737D46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943D995" w14:textId="56EA2BF0" w:rsidR="00945FC3" w:rsidRPr="009757D9" w:rsidRDefault="00945FC3" w:rsidP="009757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Jednotlivé d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9757D9">
        <w:rPr>
          <w:rFonts w:ascii="Arial" w:hAnsi="Arial" w:cs="Arial"/>
          <w:sz w:val="20"/>
          <w:szCs w:val="20"/>
        </w:rPr>
        <w:t>listům. Prodávající je povinen vystavit a předat Kupujícímu kromě písemné podoby dodacího listu i jeho elektronickou podobu ve formátu kompatibilním s programem lékárny Fakultní Thomayerovy nemocnice (např. PDK 8 nebo PDK 10).</w:t>
      </w:r>
    </w:p>
    <w:p w14:paraId="0AFEF064" w14:textId="77777777" w:rsidR="00945FC3" w:rsidRPr="00737D46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158D5D6" w14:textId="4E8D3F58" w:rsidR="00945FC3" w:rsidRPr="009757D9" w:rsidRDefault="00945FC3" w:rsidP="009757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lastRenderedPageBreak/>
        <w:t>Prodávající má povinnost vystavit a doručit Kupujícímu fakturu společně se zbožím a v případě týdenní sběrné faktury, do 5 dnů od poslední dodávky v týdnu.</w:t>
      </w:r>
    </w:p>
    <w:p w14:paraId="781064B4" w14:textId="77777777" w:rsidR="00945FC3" w:rsidRPr="00737D46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7F4583C" w14:textId="1CFC4E55" w:rsidR="00945FC3" w:rsidRPr="009757D9" w:rsidRDefault="00945FC3" w:rsidP="009757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 xml:space="preserve">Vystavená faktura musí splňovat náležitosti daňového dokladu dle § 29 zákona č. 235/2004 Sb., o dani z přidané hodnoty ve znění pozdějších předpisů. Neobsahuje-li faktura zákonem stanovené náležitosti nebo obsahuje-li nesprávné cenové údaje, je oprávněn ji Kupující do 5 dnů Prodávajícímu vrátit k opravě a doplnění. K datu nového doručení faktury se posouvá i datum splatnosti faktury. </w:t>
      </w:r>
    </w:p>
    <w:p w14:paraId="63E9BF99" w14:textId="77777777" w:rsidR="00945FC3" w:rsidRPr="00737D46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9684D91" w14:textId="174B92F1" w:rsidR="00945FC3" w:rsidRPr="009757D9" w:rsidRDefault="00945FC3" w:rsidP="009757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 xml:space="preserve">Každá faktura je splatná do </w:t>
      </w:r>
      <w:r w:rsidRPr="009757D9">
        <w:rPr>
          <w:rFonts w:ascii="Arial" w:hAnsi="Arial" w:cs="Arial"/>
          <w:b/>
          <w:bCs/>
          <w:sz w:val="20"/>
          <w:szCs w:val="20"/>
        </w:rPr>
        <w:t>6</w:t>
      </w:r>
      <w:r w:rsidRPr="009757D9">
        <w:rPr>
          <w:rFonts w:ascii="Arial" w:hAnsi="Arial" w:cs="Arial"/>
          <w:b/>
          <w:sz w:val="20"/>
          <w:szCs w:val="20"/>
        </w:rPr>
        <w:t>0 dnů</w:t>
      </w:r>
      <w:r w:rsidRPr="009757D9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51746640" w14:textId="77777777" w:rsidR="00945FC3" w:rsidRPr="00737D46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9839663" w14:textId="1736624A" w:rsidR="00945FC3" w:rsidRPr="009757D9" w:rsidRDefault="00945FC3" w:rsidP="009757D9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Veškeré platby mezi smluvními stranami se uskutečňují prostřednictvím bankovního spojení uvedeného v záhlaví této smlouvy.</w:t>
      </w:r>
    </w:p>
    <w:p w14:paraId="482D5ECF" w14:textId="77777777" w:rsidR="00945FC3" w:rsidRPr="00737D46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F9AF502" w14:textId="2113D352" w:rsidR="00945FC3" w:rsidRPr="00D0441C" w:rsidRDefault="00945FC3" w:rsidP="009757D9">
      <w:pPr>
        <w:pStyle w:val="Default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46B5FDFB" w14:textId="77777777" w:rsidR="00945FC3" w:rsidRPr="00D0441C" w:rsidRDefault="00945FC3" w:rsidP="009757D9">
      <w:pPr>
        <w:pStyle w:val="Default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</w:p>
    <w:p w14:paraId="4EDD5F1F" w14:textId="109EBBCC" w:rsidR="00945FC3" w:rsidRDefault="00945FC3" w:rsidP="009757D9">
      <w:pPr>
        <w:pStyle w:val="Default"/>
        <w:numPr>
          <w:ilvl w:val="0"/>
          <w:numId w:val="17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49CBCD7F" w14:textId="77777777" w:rsidR="00945FC3" w:rsidRPr="00D0441C" w:rsidRDefault="00945FC3" w:rsidP="00945FC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2B843CDD" w14:textId="77777777" w:rsidR="00945FC3" w:rsidRPr="00737D46" w:rsidRDefault="00945FC3" w:rsidP="00945FC3">
      <w:pPr>
        <w:jc w:val="both"/>
        <w:rPr>
          <w:rFonts w:ascii="Arial" w:hAnsi="Arial" w:cs="Arial"/>
          <w:sz w:val="20"/>
          <w:szCs w:val="20"/>
        </w:rPr>
      </w:pPr>
    </w:p>
    <w:p w14:paraId="4AAA3346" w14:textId="77777777" w:rsidR="00945FC3" w:rsidRPr="008F5313" w:rsidRDefault="00945FC3" w:rsidP="00945FC3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VII.</w:t>
      </w:r>
    </w:p>
    <w:p w14:paraId="7E7DDC3E" w14:textId="77777777" w:rsidR="00945FC3" w:rsidRPr="008F5313" w:rsidRDefault="00945FC3" w:rsidP="00945FC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3D77323B" w14:textId="77777777" w:rsidR="00945FC3" w:rsidRPr="008F5313" w:rsidRDefault="00945FC3" w:rsidP="00945FC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CED714" w14:textId="537370FB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Prodávajícího, a to takovým způsobem, aby nedošlo k jeho poškození, popř. znehodnocení, záměnám, či kontaminaci, a aby zboží nebylo při přepravě vystaveno nepříznivým vnějším vlivům.</w:t>
      </w:r>
    </w:p>
    <w:p w14:paraId="3A1DE558" w14:textId="77777777" w:rsidR="00945FC3" w:rsidRPr="00AA04AB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7F43AF6" w14:textId="52ACB446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 xml:space="preserve">Dodávka se považuje za splněnou předáním a převzetím zboží a potvrzením dodacího listu oprávněnou osobou Kupujícího. </w:t>
      </w:r>
      <w:r w:rsidRPr="009757D9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D5219D" w:rsidRPr="009757D9">
        <w:rPr>
          <w:rFonts w:ascii="Arial" w:hAnsi="Arial" w:cs="Arial"/>
          <w:sz w:val="20"/>
          <w:szCs w:val="20"/>
        </w:rPr>
        <w:t>8</w:t>
      </w:r>
      <w:r w:rsidRPr="009757D9">
        <w:rPr>
          <w:rFonts w:ascii="Arial" w:hAnsi="Arial" w:cs="Arial"/>
          <w:sz w:val="20"/>
          <w:szCs w:val="20"/>
        </w:rPr>
        <w:t>:00 do 15:00 hodin.</w:t>
      </w:r>
    </w:p>
    <w:p w14:paraId="5F86A89C" w14:textId="77777777" w:rsidR="00945FC3" w:rsidRPr="005F27BF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BFF602F" w14:textId="6C925486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 xml:space="preserve">Podpisem dodacího listu přechází na Kupujícího </w:t>
      </w:r>
      <w:r w:rsidRPr="009757D9">
        <w:rPr>
          <w:rFonts w:ascii="Arial" w:hAnsi="Arial" w:cs="Arial"/>
          <w:b/>
          <w:bCs/>
          <w:sz w:val="20"/>
          <w:szCs w:val="20"/>
        </w:rPr>
        <w:t>vlastnické právo</w:t>
      </w:r>
      <w:r w:rsidRPr="009757D9">
        <w:rPr>
          <w:rFonts w:ascii="Arial" w:hAnsi="Arial" w:cs="Arial"/>
          <w:bCs/>
          <w:sz w:val="20"/>
          <w:szCs w:val="20"/>
        </w:rPr>
        <w:t xml:space="preserve"> k dodanému zboží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1F19BA0D" w14:textId="77777777" w:rsidR="00945FC3" w:rsidRPr="008F5313" w:rsidRDefault="00945FC3" w:rsidP="009757D9">
      <w:pPr>
        <w:autoSpaceDE w:val="0"/>
        <w:autoSpaceDN w:val="0"/>
        <w:adjustRightInd w:val="0"/>
        <w:ind w:left="426" w:hanging="426"/>
        <w:rPr>
          <w:rFonts w:ascii="Arial" w:hAnsi="Arial" w:cs="Arial"/>
          <w:sz w:val="20"/>
          <w:szCs w:val="20"/>
        </w:rPr>
      </w:pPr>
    </w:p>
    <w:p w14:paraId="3903496F" w14:textId="4D6FF247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Pr="009757D9">
        <w:rPr>
          <w:rFonts w:ascii="Arial" w:hAnsi="Arial" w:cs="Arial"/>
          <w:b/>
          <w:color w:val="000000"/>
          <w:sz w:val="20"/>
          <w:szCs w:val="20"/>
        </w:rPr>
        <w:t xml:space="preserve">minimální exspirační doba ode dne dodání činí </w:t>
      </w:r>
      <w:r w:rsidR="008D1336" w:rsidRPr="009757D9">
        <w:rPr>
          <w:rFonts w:ascii="Arial" w:hAnsi="Arial" w:cs="Arial"/>
          <w:b/>
          <w:color w:val="000000"/>
          <w:sz w:val="20"/>
          <w:szCs w:val="20"/>
        </w:rPr>
        <w:t>90</w:t>
      </w:r>
      <w:r w:rsidRPr="009757D9">
        <w:rPr>
          <w:rFonts w:ascii="Arial" w:hAnsi="Arial" w:cs="Arial"/>
          <w:b/>
          <w:color w:val="000000"/>
          <w:sz w:val="20"/>
          <w:szCs w:val="20"/>
        </w:rPr>
        <w:t xml:space="preserve"> dnů,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 a které nemají závady v jakosti ani porušený obal. </w:t>
      </w:r>
      <w:r w:rsidRPr="009757D9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4E24F074" w14:textId="77777777" w:rsidR="00945FC3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A2976C4" w14:textId="41752579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23BE3B3C" w14:textId="77777777" w:rsidR="00945FC3" w:rsidRPr="008F5313" w:rsidRDefault="00945FC3" w:rsidP="009757D9">
      <w:pPr>
        <w:autoSpaceDE w:val="0"/>
        <w:autoSpaceDN w:val="0"/>
        <w:adjustRightInd w:val="0"/>
        <w:ind w:left="851" w:hanging="426"/>
        <w:rPr>
          <w:rFonts w:ascii="Arial" w:hAnsi="Arial" w:cs="Arial"/>
          <w:sz w:val="20"/>
          <w:szCs w:val="20"/>
        </w:rPr>
      </w:pPr>
    </w:p>
    <w:p w14:paraId="53F3345A" w14:textId="1E3D489C" w:rsidR="00945FC3" w:rsidRPr="009757D9" w:rsidRDefault="00945FC3" w:rsidP="009757D9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342C4C71" w14:textId="77777777" w:rsidR="00945FC3" w:rsidRPr="008F5313" w:rsidRDefault="00945FC3" w:rsidP="009757D9">
      <w:pPr>
        <w:autoSpaceDE w:val="0"/>
        <w:autoSpaceDN w:val="0"/>
        <w:adjustRightInd w:val="0"/>
        <w:ind w:left="851" w:hanging="426"/>
        <w:rPr>
          <w:rFonts w:ascii="Arial" w:hAnsi="Arial" w:cs="Arial"/>
          <w:sz w:val="20"/>
          <w:szCs w:val="20"/>
        </w:rPr>
      </w:pPr>
    </w:p>
    <w:p w14:paraId="227D6C89" w14:textId="5B907591" w:rsidR="00945FC3" w:rsidRPr="009757D9" w:rsidRDefault="00945FC3" w:rsidP="009757D9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nesouhlasí-li počet položek nebo množství zboží uvedené na dodacím listě se skutečně dodaným zbožím;</w:t>
      </w:r>
    </w:p>
    <w:p w14:paraId="40B9834F" w14:textId="77777777" w:rsidR="00945FC3" w:rsidRPr="008F5313" w:rsidRDefault="00945FC3" w:rsidP="009757D9">
      <w:pPr>
        <w:autoSpaceDE w:val="0"/>
        <w:autoSpaceDN w:val="0"/>
        <w:adjustRightInd w:val="0"/>
        <w:ind w:left="851" w:hanging="426"/>
        <w:rPr>
          <w:rFonts w:ascii="Arial" w:hAnsi="Arial" w:cs="Arial"/>
          <w:sz w:val="20"/>
          <w:szCs w:val="20"/>
        </w:rPr>
      </w:pPr>
    </w:p>
    <w:p w14:paraId="27EF48BD" w14:textId="6D2F73DF" w:rsidR="00945FC3" w:rsidRPr="009757D9" w:rsidRDefault="00945FC3" w:rsidP="009757D9">
      <w:pPr>
        <w:pStyle w:val="Odstavecseseznamem"/>
        <w:numPr>
          <w:ilvl w:val="1"/>
          <w:numId w:val="19"/>
        </w:numPr>
        <w:autoSpaceDE w:val="0"/>
        <w:autoSpaceDN w:val="0"/>
        <w:adjustRightInd w:val="0"/>
        <w:ind w:left="851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neodpovídá-li kvalita dodávky požadavkům pro transport dodávaných položek dle Správné distribuční praxe.</w:t>
      </w:r>
    </w:p>
    <w:p w14:paraId="21C648BD" w14:textId="77777777" w:rsidR="00945FC3" w:rsidRPr="008F5313" w:rsidRDefault="00945FC3" w:rsidP="009757D9">
      <w:pPr>
        <w:autoSpaceDE w:val="0"/>
        <w:autoSpaceDN w:val="0"/>
        <w:adjustRightInd w:val="0"/>
        <w:ind w:left="426" w:hanging="426"/>
        <w:rPr>
          <w:rFonts w:ascii="Arial" w:hAnsi="Arial" w:cs="Arial"/>
          <w:b/>
          <w:bCs/>
          <w:sz w:val="20"/>
          <w:szCs w:val="20"/>
        </w:rPr>
      </w:pPr>
    </w:p>
    <w:p w14:paraId="4EE1387A" w14:textId="28B3BDA0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757D9">
        <w:rPr>
          <w:rFonts w:ascii="Arial" w:hAnsi="Arial" w:cs="Arial"/>
          <w:bCs/>
          <w:sz w:val="20"/>
          <w:szCs w:val="20"/>
        </w:rPr>
        <w:lastRenderedPageBreak/>
        <w:t>Převážná část předmětu plnění je považována za diagnostické zdravotnické prostředky in vitro (IVD) ve smyslu z. č. 375/2022 Sb., o zdravotnických prostředcích a diagnostických zdravotnických prostředcích in vitro a musí tak vyhovovat všem platným souvisejícím legislativním předpisům a kvalitativním požadavkům potřebným pro akreditaci laboratorních pracovišť.</w:t>
      </w:r>
    </w:p>
    <w:p w14:paraId="3140748A" w14:textId="77777777" w:rsidR="00945FC3" w:rsidRPr="005F27BF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10C3B245" w14:textId="0EA4725D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9757D9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Pr="009757D9">
        <w:rPr>
          <w:rFonts w:ascii="Arial" w:hAnsi="Arial" w:cs="Arial"/>
          <w:b/>
          <w:sz w:val="20"/>
          <w:szCs w:val="20"/>
        </w:rPr>
        <w:t>povinnost VIGILANCE</w:t>
      </w:r>
      <w:r w:rsidRPr="009757D9">
        <w:rPr>
          <w:rFonts w:ascii="Arial" w:hAnsi="Arial" w:cs="Arial"/>
          <w:bCs/>
          <w:sz w:val="20"/>
          <w:szCs w:val="20"/>
        </w:rPr>
        <w:t xml:space="preserve"> – sledování všech dodávaných ZP IVD výrobků ke konečnému uživateli, neprodlené akce a reakce v souvislosti s vigilančními kroky výrobců a SÚKL se všemi povinnostmi a následky z jejich neplnění (např. náhrady škody v případě poškození pacienta atd., </w:t>
      </w:r>
    </w:p>
    <w:p w14:paraId="3E9AB644" w14:textId="77777777" w:rsidR="00945FC3" w:rsidRPr="008F5313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504F2731" w14:textId="12C99B91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Prodávající prohlašuje, že prodávané zboží splňuje požadavky stanovené pro zboží tohoto druhu v České republice včetně požadavků na nakládání s takovým zbožím ze strany Prodávajícího.</w:t>
      </w:r>
    </w:p>
    <w:p w14:paraId="079F7080" w14:textId="77777777" w:rsidR="00945FC3" w:rsidRPr="008F5313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AAB8EFB" w14:textId="1F1CD0C3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Kupující prohlašuje, že je obeznámen s předpisy platnými v České republice, které upravují nakládání s předmětným zbožím, a že povinnosti vyplývající pro něj z těchto předpisů bude důsledně plnit.</w:t>
      </w:r>
    </w:p>
    <w:p w14:paraId="7298FAAA" w14:textId="77777777" w:rsidR="00945FC3" w:rsidRPr="008F5313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1D53089" w14:textId="3D23D77C" w:rsidR="00945FC3" w:rsidRPr="009757D9" w:rsidRDefault="00945FC3" w:rsidP="009757D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V případě nemožnosti plnění ze strany Prodávajícího je tento povinen neprodleně písemně (</w:t>
      </w:r>
      <w:r w:rsidR="00500B39" w:rsidRPr="009757D9">
        <w:rPr>
          <w:rFonts w:ascii="Arial" w:hAnsi="Arial" w:cs="Arial"/>
          <w:sz w:val="20"/>
          <w:szCs w:val="20"/>
        </w:rPr>
        <w:t>elektronickou poštou na e-mail vzakazky.ocn@ftn.cz</w:t>
      </w:r>
      <w:r w:rsidRPr="009757D9">
        <w:rPr>
          <w:rFonts w:ascii="Arial" w:hAnsi="Arial" w:cs="Arial"/>
          <w:sz w:val="20"/>
          <w:szCs w:val="20"/>
        </w:rPr>
        <w:t>) uvědomit Kupujícího o přerušení dodávek. Kupující je oprávněn po dobu přerušení dodávek zajišťovat předmět plnění jiným způsobem. Náklady spojené s tímto alternativním řešením uhradí Prodávající Kupujícímu do 14 dnů po obnovení dodávek, a to formou individuálně dohodnutou s Kupujícím.</w:t>
      </w:r>
    </w:p>
    <w:p w14:paraId="02638735" w14:textId="77777777" w:rsidR="00945FC3" w:rsidRPr="00FC3986" w:rsidRDefault="00945FC3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4F8DC86" w14:textId="37477B56" w:rsidR="00F875AB" w:rsidRPr="000275F8" w:rsidRDefault="00754FC4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VIII.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7074EA71" w:rsidR="00F875AB" w:rsidRPr="009757D9" w:rsidRDefault="00D31328" w:rsidP="009757D9">
      <w:pPr>
        <w:pStyle w:val="Odstavecseseznamem"/>
        <w:numPr>
          <w:ilvl w:val="0"/>
          <w:numId w:val="21"/>
        </w:numPr>
        <w:shd w:val="clear" w:color="auto" w:fill="FFFFFF"/>
        <w:spacing w:before="100" w:beforeAutospacing="1" w:after="100" w:afterAutospacing="1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 w:rsidRPr="009757D9">
        <w:rPr>
          <w:rFonts w:ascii="Arial" w:hAnsi="Arial" w:cs="Arial"/>
          <w:color w:val="000000"/>
          <w:sz w:val="20"/>
          <w:szCs w:val="20"/>
        </w:rPr>
        <w:t>Kupujícího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 w:rsidRPr="009757D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 w:rsidRPr="009757D9">
        <w:rPr>
          <w:rFonts w:ascii="Arial" w:hAnsi="Arial" w:cs="Arial"/>
          <w:color w:val="000000"/>
          <w:sz w:val="20"/>
          <w:szCs w:val="20"/>
        </w:rPr>
        <w:t>Kupujícímu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 w:rsidRPr="009757D9">
        <w:rPr>
          <w:rFonts w:ascii="Arial" w:hAnsi="Arial" w:cs="Arial"/>
          <w:color w:val="000000"/>
          <w:sz w:val="20"/>
          <w:szCs w:val="20"/>
        </w:rPr>
        <w:t> 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r w:rsidR="00945FC3" w:rsidRPr="009757D9">
        <w:rPr>
          <w:rFonts w:ascii="Arial" w:hAnsi="Arial" w:cs="Arial"/>
          <w:color w:val="000000"/>
          <w:sz w:val="20"/>
          <w:szCs w:val="20"/>
        </w:rPr>
        <w:t>prodlení s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 w:rsidRPr="009757D9">
        <w:rPr>
          <w:rFonts w:ascii="Arial" w:hAnsi="Arial" w:cs="Arial"/>
          <w:color w:val="000000"/>
          <w:sz w:val="20"/>
          <w:szCs w:val="20"/>
        </w:rPr>
        <w:t>P</w:t>
      </w:r>
      <w:r w:rsidR="002B7C15" w:rsidRPr="009757D9">
        <w:rPr>
          <w:rFonts w:ascii="Arial" w:hAnsi="Arial" w:cs="Arial"/>
          <w:color w:val="000000"/>
          <w:sz w:val="20"/>
          <w:szCs w:val="20"/>
        </w:rPr>
        <w:t>rodávající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 w:rsidRPr="009757D9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Pr="009757D9">
        <w:rPr>
          <w:rFonts w:ascii="Arial" w:hAnsi="Arial" w:cs="Arial"/>
          <w:color w:val="000000"/>
          <w:sz w:val="20"/>
          <w:szCs w:val="20"/>
        </w:rPr>
        <w:t>po dobu 60 dní po lhůtě splatnosti faktur.</w:t>
      </w:r>
    </w:p>
    <w:p w14:paraId="46519AE7" w14:textId="32402C85" w:rsidR="00F875AB" w:rsidRPr="009757D9" w:rsidRDefault="00F875AB" w:rsidP="009757D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>V případě, že bude Prodávající v prodlení s dodáním zboží podle podmínek této smlouvy, zavazuje se Kupujícímu zaplatit smluvní pokutu ve výši 0,5</w:t>
      </w:r>
      <w:r w:rsidR="00127D01" w:rsidRPr="009757D9">
        <w:rPr>
          <w:rFonts w:ascii="Arial" w:hAnsi="Arial" w:cs="Arial"/>
          <w:color w:val="000000"/>
          <w:sz w:val="20"/>
          <w:szCs w:val="20"/>
        </w:rPr>
        <w:t> </w:t>
      </w:r>
      <w:r w:rsidRPr="009757D9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9757D9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9757D9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 w:rsidRPr="009757D9">
        <w:rPr>
          <w:rFonts w:ascii="Arial" w:hAnsi="Arial" w:cs="Arial"/>
          <w:color w:val="000000"/>
          <w:sz w:val="20"/>
          <w:szCs w:val="20"/>
        </w:rPr>
        <w:t> </w:t>
      </w:r>
      <w:r w:rsidRPr="009757D9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 w:rsidRPr="009757D9">
        <w:rPr>
          <w:rFonts w:ascii="Arial" w:hAnsi="Arial" w:cs="Arial"/>
          <w:color w:val="000000"/>
          <w:sz w:val="20"/>
          <w:szCs w:val="20"/>
        </w:rPr>
        <w:t> 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5F70C54C" w:rsidR="00F875AB" w:rsidRPr="009757D9" w:rsidRDefault="00F875AB" w:rsidP="009757D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 xml:space="preserve">Bude-li Kupující platit za odebrané zboží opakovaně se zpožděním, Prodávající 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>jej písemně upozorní</w:t>
      </w:r>
      <w:r w:rsidR="00BC64FF" w:rsidRPr="009757D9">
        <w:rPr>
          <w:rFonts w:ascii="Arial" w:hAnsi="Arial" w:cs="Arial"/>
          <w:color w:val="000000"/>
          <w:sz w:val="20"/>
          <w:szCs w:val="20"/>
        </w:rPr>
        <w:t>. N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>edojde-li k </w:t>
      </w:r>
      <w:r w:rsidR="00945FC3" w:rsidRPr="009757D9">
        <w:rPr>
          <w:rFonts w:ascii="Arial" w:hAnsi="Arial" w:cs="Arial"/>
          <w:color w:val="000000"/>
          <w:sz w:val="20"/>
          <w:szCs w:val="20"/>
        </w:rPr>
        <w:t>nápravě, může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 w:rsidRPr="009757D9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9757D9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6CC1B3B1" w:rsidR="00F875AB" w:rsidRPr="009757D9" w:rsidRDefault="00BA6229" w:rsidP="009757D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9757D9">
        <w:rPr>
          <w:rFonts w:ascii="Arial" w:hAnsi="Arial" w:cs="Arial"/>
          <w:color w:val="000000"/>
          <w:sz w:val="20"/>
          <w:szCs w:val="20"/>
        </w:rPr>
        <w:t>Nebude</w:t>
      </w:r>
      <w:r w:rsidR="00F875AB" w:rsidRPr="009757D9">
        <w:rPr>
          <w:rFonts w:ascii="Arial" w:hAnsi="Arial" w:cs="Arial"/>
          <w:color w:val="000000"/>
          <w:sz w:val="20"/>
          <w:szCs w:val="20"/>
        </w:rPr>
        <w:t xml:space="preserve">-li </w:t>
      </w:r>
      <w:r w:rsidRPr="009757D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F875AB" w:rsidRPr="009757D9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 w:rsidRPr="009757D9">
        <w:rPr>
          <w:rFonts w:ascii="Arial" w:hAnsi="Arial" w:cs="Arial"/>
          <w:color w:val="000000"/>
          <w:sz w:val="20"/>
          <w:szCs w:val="20"/>
        </w:rPr>
        <w:t>. N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>edojde-li k</w:t>
      </w:r>
      <w:r w:rsidR="001206A7" w:rsidRPr="009757D9">
        <w:rPr>
          <w:rFonts w:ascii="Arial" w:hAnsi="Arial" w:cs="Arial"/>
          <w:color w:val="000000"/>
          <w:sz w:val="20"/>
          <w:szCs w:val="20"/>
        </w:rPr>
        <w:t> 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>nápravě</w:t>
      </w:r>
      <w:r w:rsidR="001206A7" w:rsidRPr="009757D9">
        <w:rPr>
          <w:rFonts w:ascii="Arial" w:hAnsi="Arial" w:cs="Arial"/>
          <w:color w:val="000000"/>
          <w:sz w:val="20"/>
          <w:szCs w:val="20"/>
        </w:rPr>
        <w:t>,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 xml:space="preserve"> může </w:t>
      </w:r>
      <w:r w:rsidR="00945FC3" w:rsidRPr="009757D9">
        <w:rPr>
          <w:rFonts w:ascii="Arial" w:hAnsi="Arial" w:cs="Arial"/>
          <w:color w:val="000000"/>
          <w:sz w:val="20"/>
          <w:szCs w:val="20"/>
        </w:rPr>
        <w:t>Kupující</w:t>
      </w:r>
      <w:r w:rsidR="0035042B" w:rsidRPr="009757D9">
        <w:rPr>
          <w:rFonts w:ascii="Arial" w:hAnsi="Arial" w:cs="Arial"/>
          <w:color w:val="000000"/>
          <w:sz w:val="20"/>
          <w:szCs w:val="20"/>
        </w:rPr>
        <w:t xml:space="preserve"> </w:t>
      </w:r>
      <w:r w:rsidR="00F875AB" w:rsidRPr="009757D9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 w:rsidRPr="009757D9">
        <w:rPr>
          <w:rFonts w:ascii="Arial" w:hAnsi="Arial" w:cs="Arial"/>
          <w:color w:val="000000"/>
          <w:sz w:val="20"/>
          <w:szCs w:val="20"/>
        </w:rPr>
        <w:t xml:space="preserve"> Dále může Kupující od této smlouvy odstoupit, pokud Kupující odstoupí od vedlejší </w:t>
      </w:r>
      <w:r w:rsidR="00945FC3" w:rsidRPr="009757D9">
        <w:rPr>
          <w:rFonts w:ascii="Arial" w:hAnsi="Arial" w:cs="Arial"/>
          <w:color w:val="000000"/>
          <w:sz w:val="20"/>
          <w:szCs w:val="20"/>
        </w:rPr>
        <w:t>smlouvy (</w:t>
      </w:r>
      <w:r w:rsidR="00EB262A" w:rsidRPr="009757D9">
        <w:rPr>
          <w:rFonts w:ascii="Arial" w:hAnsi="Arial" w:cs="Arial"/>
          <w:color w:val="000000"/>
          <w:sz w:val="20"/>
          <w:szCs w:val="20"/>
        </w:rPr>
        <w:t>smlouvy o výpůjčce) z důvodů nedodání předmětu výpůjčky.</w:t>
      </w:r>
    </w:p>
    <w:p w14:paraId="4A0F1689" w14:textId="77777777" w:rsidR="008826A5" w:rsidRPr="00AA04AB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14:paraId="3FE05D70" w14:textId="4C5356E0" w:rsidR="00F875AB" w:rsidRPr="000275F8" w:rsidRDefault="00754FC4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</w:t>
      </w:r>
      <w:r w:rsidR="00F875AB"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485D9DD8" w:rsidR="00F875AB" w:rsidRPr="009757D9" w:rsidRDefault="00F875AB" w:rsidP="009757D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Zjistí-li Kupující po převzetí zboží, že je obal zboží porušen</w:t>
      </w:r>
      <w:r w:rsidR="001206A7" w:rsidRPr="009757D9">
        <w:rPr>
          <w:rFonts w:ascii="Arial" w:hAnsi="Arial" w:cs="Arial"/>
          <w:sz w:val="20"/>
          <w:szCs w:val="20"/>
        </w:rPr>
        <w:t>,</w:t>
      </w:r>
      <w:r w:rsidRPr="009757D9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 w:rsidRPr="009757D9">
        <w:rPr>
          <w:rFonts w:ascii="Arial" w:hAnsi="Arial" w:cs="Arial"/>
          <w:sz w:val="20"/>
          <w:szCs w:val="20"/>
        </w:rPr>
        <w:t> </w:t>
      </w:r>
      <w:r w:rsidRPr="009757D9">
        <w:rPr>
          <w:rFonts w:ascii="Arial" w:hAnsi="Arial" w:cs="Arial"/>
          <w:sz w:val="20"/>
          <w:szCs w:val="20"/>
        </w:rPr>
        <w:t>2</w:t>
      </w:r>
      <w:r w:rsidR="001206A7" w:rsidRPr="009757D9">
        <w:rPr>
          <w:rFonts w:ascii="Arial" w:hAnsi="Arial" w:cs="Arial"/>
          <w:sz w:val="20"/>
          <w:szCs w:val="20"/>
        </w:rPr>
        <w:t> </w:t>
      </w:r>
      <w:r w:rsidRPr="009757D9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ABD7424" w14:textId="16078D1F" w:rsidR="00F875AB" w:rsidRPr="009757D9" w:rsidRDefault="00F875AB" w:rsidP="009757D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 xml:space="preserve">Skryté vady, kterými se rozumí vady vzniklé rozbitím, prázdná balení v originálních baleních </w:t>
      </w:r>
      <w:r w:rsidR="005416E1" w:rsidRPr="009757D9">
        <w:rPr>
          <w:rFonts w:ascii="Arial" w:hAnsi="Arial" w:cs="Arial"/>
          <w:sz w:val="20"/>
          <w:szCs w:val="20"/>
        </w:rPr>
        <w:br/>
      </w:r>
      <w:r w:rsidRPr="009757D9">
        <w:rPr>
          <w:rFonts w:ascii="Arial" w:hAnsi="Arial" w:cs="Arial"/>
          <w:sz w:val="20"/>
          <w:szCs w:val="20"/>
        </w:rPr>
        <w:t xml:space="preserve">či kartónech atd., je Kupující oprávněn reklamovat u Prodávajícího do </w:t>
      </w:r>
      <w:r w:rsidR="006932D8" w:rsidRPr="009757D9">
        <w:rPr>
          <w:rFonts w:ascii="Arial" w:hAnsi="Arial" w:cs="Arial"/>
          <w:sz w:val="20"/>
          <w:szCs w:val="20"/>
        </w:rPr>
        <w:t>90 dnů</w:t>
      </w:r>
      <w:r w:rsidRPr="009757D9">
        <w:rPr>
          <w:rFonts w:ascii="Arial" w:hAnsi="Arial" w:cs="Arial"/>
          <w:sz w:val="20"/>
          <w:szCs w:val="20"/>
        </w:rPr>
        <w:t xml:space="preserve"> od převzetí zboží.</w:t>
      </w:r>
    </w:p>
    <w:p w14:paraId="411D5A00" w14:textId="77777777" w:rsidR="00F875AB" w:rsidRPr="000275F8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E12926F" w14:textId="6FD96D91" w:rsidR="00F875AB" w:rsidRPr="009757D9" w:rsidRDefault="00F875AB" w:rsidP="009757D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Vady jakosti, projevující se tím, že zboží neodpovídá smluvené kvalitě</w:t>
      </w:r>
      <w:r w:rsidR="001206A7" w:rsidRPr="009757D9">
        <w:rPr>
          <w:rFonts w:ascii="Arial" w:hAnsi="Arial" w:cs="Arial"/>
          <w:sz w:val="20"/>
          <w:szCs w:val="20"/>
        </w:rPr>
        <w:t>,</w:t>
      </w:r>
      <w:r w:rsidRPr="009757D9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 w:rsidRPr="009757D9">
        <w:rPr>
          <w:rFonts w:ascii="Arial" w:hAnsi="Arial" w:cs="Arial"/>
          <w:sz w:val="20"/>
          <w:szCs w:val="20"/>
        </w:rPr>
        <w:t xml:space="preserve">reklamací </w:t>
      </w:r>
      <w:r w:rsidRPr="009757D9">
        <w:rPr>
          <w:rFonts w:ascii="Arial" w:hAnsi="Arial" w:cs="Arial"/>
          <w:sz w:val="20"/>
          <w:szCs w:val="20"/>
        </w:rPr>
        <w:t xml:space="preserve">nejpozději </w:t>
      </w:r>
      <w:r w:rsidR="001206A7" w:rsidRPr="009757D9">
        <w:rPr>
          <w:rFonts w:ascii="Arial" w:hAnsi="Arial" w:cs="Arial"/>
          <w:sz w:val="20"/>
          <w:szCs w:val="20"/>
        </w:rPr>
        <w:t>v </w:t>
      </w:r>
      <w:r w:rsidRPr="009757D9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9757D9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43F7A10" w14:textId="5D816098" w:rsidR="00F875AB" w:rsidRPr="009757D9" w:rsidRDefault="00F875AB" w:rsidP="009757D9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lastRenderedPageBreak/>
        <w:t>Prodávající je povinen vyřídit reklamaci podle bodu 1 až 3 do 30 dnů od jejího doručení</w:t>
      </w:r>
      <w:r w:rsidR="001206A7" w:rsidRPr="009757D9">
        <w:rPr>
          <w:rFonts w:ascii="Arial" w:hAnsi="Arial" w:cs="Arial"/>
          <w:sz w:val="20"/>
          <w:szCs w:val="20"/>
        </w:rPr>
        <w:t xml:space="preserve">. Náhrada i doručení nového zboží </w:t>
      </w:r>
      <w:r w:rsidR="00754FC4" w:rsidRPr="009757D9">
        <w:rPr>
          <w:rFonts w:ascii="Arial" w:hAnsi="Arial" w:cs="Arial"/>
          <w:sz w:val="20"/>
          <w:szCs w:val="20"/>
        </w:rPr>
        <w:t>proběhne</w:t>
      </w:r>
      <w:r w:rsidR="001206A7" w:rsidRPr="009757D9">
        <w:rPr>
          <w:rFonts w:ascii="Arial" w:hAnsi="Arial" w:cs="Arial"/>
          <w:sz w:val="20"/>
          <w:szCs w:val="20"/>
        </w:rPr>
        <w:t xml:space="preserve"> na náklady </w:t>
      </w:r>
      <w:r w:rsidR="00B84B38" w:rsidRPr="009757D9">
        <w:rPr>
          <w:rFonts w:ascii="Arial" w:hAnsi="Arial" w:cs="Arial"/>
          <w:sz w:val="20"/>
          <w:szCs w:val="20"/>
        </w:rPr>
        <w:t>P</w:t>
      </w:r>
      <w:r w:rsidR="001206A7" w:rsidRPr="009757D9">
        <w:rPr>
          <w:rFonts w:ascii="Arial" w:hAnsi="Arial" w:cs="Arial"/>
          <w:sz w:val="20"/>
          <w:szCs w:val="20"/>
        </w:rPr>
        <w:t>rodávajícího</w:t>
      </w:r>
      <w:r w:rsidR="00ED510A" w:rsidRPr="009757D9">
        <w:rPr>
          <w:rFonts w:ascii="Arial" w:hAnsi="Arial" w:cs="Arial"/>
          <w:sz w:val="20"/>
          <w:szCs w:val="20"/>
        </w:rPr>
        <w:t>.</w:t>
      </w:r>
    </w:p>
    <w:p w14:paraId="271A7F47" w14:textId="77777777" w:rsidR="00B249A7" w:rsidRDefault="00B249A7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F44D9B" w14:textId="77777777" w:rsidR="00B249A7" w:rsidRDefault="00B249A7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B27A7ED" w14:textId="77777777" w:rsidR="00B249A7" w:rsidRPr="00912DB3" w:rsidRDefault="00B249A7" w:rsidP="00B249A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12DB3">
        <w:rPr>
          <w:rFonts w:ascii="Arial" w:hAnsi="Arial" w:cs="Arial"/>
          <w:b/>
          <w:bCs/>
          <w:sz w:val="20"/>
          <w:szCs w:val="20"/>
        </w:rPr>
        <w:t>X.</w:t>
      </w:r>
    </w:p>
    <w:p w14:paraId="5AB921CC" w14:textId="77777777" w:rsidR="00B342A3" w:rsidRPr="00912DB3" w:rsidRDefault="00B342A3" w:rsidP="00B342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12DB3">
        <w:rPr>
          <w:rFonts w:ascii="Arial" w:hAnsi="Arial" w:cs="Arial"/>
          <w:b/>
          <w:bCs/>
          <w:sz w:val="20"/>
          <w:szCs w:val="20"/>
        </w:rPr>
        <w:t>Zvláštní ujednání o kompenzaci</w:t>
      </w:r>
    </w:p>
    <w:p w14:paraId="2BD54750" w14:textId="77777777" w:rsidR="00B249A7" w:rsidRPr="00912DB3" w:rsidRDefault="00B249A7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6DFD5F" w14:textId="30AE5548" w:rsidR="00B249A7" w:rsidRPr="00912DB3" w:rsidRDefault="00B249A7" w:rsidP="009757D9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2DB3">
        <w:rPr>
          <w:rFonts w:ascii="Arial" w:hAnsi="Arial" w:cs="Arial"/>
          <w:sz w:val="20"/>
          <w:szCs w:val="20"/>
        </w:rPr>
        <w:t>V příloze č. 1 této kupní smlouvy je položkový ceník, v němž prodávající zkalkuloval množství a náklady jednotlivých položek zboží, které je nutné vynaložit na vyšetření za rok.</w:t>
      </w:r>
      <w:r w:rsidRPr="00912DB3">
        <w:rPr>
          <w:rFonts w:ascii="Arial" w:hAnsi="Arial" w:cs="Arial"/>
          <w:bCs/>
          <w:sz w:val="20"/>
          <w:szCs w:val="20"/>
        </w:rPr>
        <w:t xml:space="preserve"> Hodnoty v této tabulce budou referenčními provozními náklady, vůči nimž bude kupujícím prováděno za každý kalendářní rok vyhodnocení reálně dosažených provozních nákladů</w:t>
      </w:r>
      <w:r w:rsidR="00FE3EEC" w:rsidRPr="00912DB3">
        <w:rPr>
          <w:rFonts w:ascii="Arial" w:hAnsi="Arial" w:cs="Arial"/>
          <w:bCs/>
          <w:sz w:val="20"/>
          <w:szCs w:val="20"/>
        </w:rPr>
        <w:t xml:space="preserve"> (v případě prvního, popř. posledního roku trvání smluvního vztahu jeho poměrnou část).</w:t>
      </w:r>
    </w:p>
    <w:p w14:paraId="5D9E1873" w14:textId="77777777" w:rsidR="00B249A7" w:rsidRPr="00912DB3" w:rsidRDefault="00B249A7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51CE632" w14:textId="0E7B20F7" w:rsidR="00B249A7" w:rsidRPr="00912DB3" w:rsidRDefault="00B249A7" w:rsidP="009757D9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2DB3">
        <w:rPr>
          <w:rFonts w:ascii="Arial" w:hAnsi="Arial" w:cs="Arial"/>
          <w:sz w:val="20"/>
          <w:szCs w:val="20"/>
        </w:rPr>
        <w:t xml:space="preserve">Smluvní strany do konce prvního kvartálu každého kalendářního roku provedou vyhodnocení o dodržení této kalkulace. </w:t>
      </w:r>
      <w:r w:rsidRPr="00912DB3">
        <w:rPr>
          <w:rFonts w:ascii="Arial" w:hAnsi="Arial" w:cs="Arial"/>
          <w:bCs/>
          <w:sz w:val="20"/>
          <w:szCs w:val="20"/>
        </w:rPr>
        <w:t xml:space="preserve">Bude-li zjištěno, že za sledovaný kalendářní rok byla skutečná spotřeba materiálu vyšší, než vyplývá z kalkulace uvedené v příloze č. 1 zadávacích podmínek VZ o více než 5 %, vzniká Kupujícímu </w:t>
      </w:r>
      <w:r w:rsidRPr="00912DB3">
        <w:rPr>
          <w:rFonts w:ascii="Arial" w:hAnsi="Arial" w:cs="Arial"/>
          <w:b/>
          <w:bCs/>
          <w:sz w:val="20"/>
          <w:szCs w:val="20"/>
        </w:rPr>
        <w:t>nárok na vyrovnání (</w:t>
      </w:r>
      <w:r w:rsidR="00FE3EEC" w:rsidRPr="00912DB3">
        <w:rPr>
          <w:rFonts w:ascii="Arial" w:hAnsi="Arial" w:cs="Arial"/>
          <w:b/>
          <w:bCs/>
          <w:sz w:val="20"/>
          <w:szCs w:val="20"/>
        </w:rPr>
        <w:t>kompenzace</w:t>
      </w:r>
      <w:r w:rsidRPr="00912DB3">
        <w:rPr>
          <w:rFonts w:ascii="Arial" w:hAnsi="Arial" w:cs="Arial"/>
          <w:b/>
          <w:bCs/>
          <w:sz w:val="20"/>
          <w:szCs w:val="20"/>
        </w:rPr>
        <w:t>)</w:t>
      </w:r>
      <w:r w:rsidRPr="00912DB3">
        <w:rPr>
          <w:rFonts w:ascii="Arial" w:hAnsi="Arial" w:cs="Arial"/>
          <w:bCs/>
          <w:sz w:val="20"/>
          <w:szCs w:val="20"/>
        </w:rPr>
        <w:t xml:space="preserve">, který musí být uplatněn do 60 dnů ode dne vzájemného potvrzení rozdílu v kalkulaci. </w:t>
      </w:r>
      <w:r w:rsidRPr="00912DB3">
        <w:rPr>
          <w:rFonts w:ascii="Arial" w:hAnsi="Arial" w:cs="Arial"/>
          <w:sz w:val="20"/>
          <w:szCs w:val="20"/>
        </w:rPr>
        <w:t>Do výpočtu smluvní sankce se nezahrnují položky, u kterých platí: uchazečem odhadovaná roční spotřeba ≤ 1,05 x reálná roční spotřeba.</w:t>
      </w:r>
    </w:p>
    <w:p w14:paraId="10B7CDA8" w14:textId="77777777" w:rsidR="00B249A7" w:rsidRPr="00912DB3" w:rsidRDefault="00B249A7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2C844696" w14:textId="6A5E17A2" w:rsidR="00FE3EEC" w:rsidRPr="00912DB3" w:rsidRDefault="00B249A7" w:rsidP="009757D9">
      <w:pPr>
        <w:pStyle w:val="Odstavecseseznamem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12DB3">
        <w:rPr>
          <w:rFonts w:ascii="Arial" w:hAnsi="Arial" w:cs="Arial"/>
          <w:sz w:val="20"/>
          <w:szCs w:val="20"/>
        </w:rPr>
        <w:t>Výše smluvní sankce bude dána součtem rozdílů skutečně realizovaných a nabídkových nákladů jednotlivých položek zboží s ohledem na skutečný počet vyšetření.</w:t>
      </w:r>
      <w:r w:rsidR="00FE3EEC" w:rsidRPr="00912DB3">
        <w:rPr>
          <w:rFonts w:ascii="Arial" w:hAnsi="Arial" w:cs="Arial"/>
          <w:sz w:val="20"/>
          <w:szCs w:val="20"/>
        </w:rPr>
        <w:t xml:space="preserve"> Výše kompenzace bude počítána podle následujícího vzorce:</w:t>
      </w:r>
    </w:p>
    <w:p w14:paraId="6994A9AD" w14:textId="77777777" w:rsidR="00FE3EEC" w:rsidRPr="00912DB3" w:rsidRDefault="00FE3EEC" w:rsidP="009757D9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073E531A" w14:textId="77777777" w:rsidR="00FE3EEC" w:rsidRPr="009757D9" w:rsidRDefault="00FE3EEC" w:rsidP="009757D9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9757D9">
        <w:rPr>
          <w:rFonts w:ascii="Arial" w:hAnsi="Arial" w:cs="Arial"/>
          <w:b/>
          <w:bCs/>
          <w:sz w:val="20"/>
          <w:szCs w:val="20"/>
        </w:rPr>
        <w:t>P = ∑ ((B – A) * C)</w:t>
      </w:r>
    </w:p>
    <w:p w14:paraId="7D06CC95" w14:textId="77777777" w:rsidR="00FE3EEC" w:rsidRPr="00912DB3" w:rsidRDefault="00FE3EEC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8E35C8E" w14:textId="4358864A" w:rsidR="00FE3EEC" w:rsidRPr="009757D9" w:rsidRDefault="009757D9" w:rsidP="009757D9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 – výše</w:t>
      </w:r>
      <w:r w:rsidR="00FE3EEC" w:rsidRPr="009757D9">
        <w:rPr>
          <w:rFonts w:ascii="Arial" w:hAnsi="Arial" w:cs="Arial"/>
          <w:sz w:val="20"/>
          <w:szCs w:val="20"/>
        </w:rPr>
        <w:t xml:space="preserve"> kompenzace v Kč vč. DPH</w:t>
      </w:r>
    </w:p>
    <w:p w14:paraId="156260C5" w14:textId="0835D72E" w:rsidR="00FE3EEC" w:rsidRPr="009757D9" w:rsidRDefault="009757D9" w:rsidP="009757D9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– odhadovaný</w:t>
      </w:r>
      <w:r w:rsidR="00FE3EEC" w:rsidRPr="009757D9">
        <w:rPr>
          <w:rFonts w:ascii="Arial" w:hAnsi="Arial" w:cs="Arial"/>
          <w:sz w:val="20"/>
          <w:szCs w:val="20"/>
        </w:rPr>
        <w:t xml:space="preserve"> počet balení položky dle nabídky uchazeče</w:t>
      </w:r>
    </w:p>
    <w:p w14:paraId="7A272D58" w14:textId="631CB3DE" w:rsidR="00FE3EEC" w:rsidRPr="009757D9" w:rsidRDefault="009757D9" w:rsidP="009757D9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 – počet</w:t>
      </w:r>
      <w:r w:rsidR="00FE3EEC" w:rsidRPr="009757D9">
        <w:rPr>
          <w:rFonts w:ascii="Arial" w:hAnsi="Arial" w:cs="Arial"/>
          <w:sz w:val="20"/>
          <w:szCs w:val="20"/>
        </w:rPr>
        <w:t xml:space="preserve"> skutečně objednaných balení položky</w:t>
      </w:r>
    </w:p>
    <w:p w14:paraId="4C03899F" w14:textId="6EC4DA31" w:rsidR="00FE3EEC" w:rsidRPr="009757D9" w:rsidRDefault="009757D9" w:rsidP="009757D9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 – cena</w:t>
      </w:r>
      <w:r w:rsidR="00FE3EEC" w:rsidRPr="009757D9">
        <w:rPr>
          <w:rFonts w:ascii="Arial" w:hAnsi="Arial" w:cs="Arial"/>
          <w:sz w:val="20"/>
          <w:szCs w:val="20"/>
        </w:rPr>
        <w:t xml:space="preserve"> jednoho balení konkrétní položky v Kč vč. DPH</w:t>
      </w:r>
    </w:p>
    <w:p w14:paraId="76595010" w14:textId="3EC36DF5" w:rsidR="00B249A7" w:rsidRPr="00912DB3" w:rsidRDefault="00B249A7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B617231" w14:textId="77777777" w:rsidR="00B249A7" w:rsidRPr="009757D9" w:rsidRDefault="00B249A7" w:rsidP="009757D9">
      <w:pPr>
        <w:pStyle w:val="Odstavecseseznamem"/>
        <w:tabs>
          <w:tab w:val="left" w:pos="426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Pozn.: Vypočtená smluvní sankce nesmí být nižší než skutečné náklady Kupujícího, v tomto případě se výší sankce stávají skutečné náklady nad uvedený odhad Prodávajícím.</w:t>
      </w:r>
    </w:p>
    <w:p w14:paraId="4466AFB8" w14:textId="77777777" w:rsidR="00B249A7" w:rsidRPr="00B249A7" w:rsidRDefault="00B249A7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2701197" w14:textId="77777777" w:rsidR="00B249A7" w:rsidRPr="00B249A7" w:rsidRDefault="00B249A7" w:rsidP="00FA680C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249A7">
        <w:rPr>
          <w:rFonts w:ascii="Arial" w:hAnsi="Arial" w:cs="Arial"/>
          <w:sz w:val="20"/>
          <w:szCs w:val="20"/>
        </w:rPr>
        <w:t>Vypočtenou smluvní sankci může prodávající uhradit dobropisem nebo dodatečnou bezplatnou dodávkou zboží dle dispozic Kupujícího.</w:t>
      </w:r>
    </w:p>
    <w:p w14:paraId="268EB294" w14:textId="77777777" w:rsidR="00FE3EEC" w:rsidRDefault="00FE3EEC" w:rsidP="00FA680C">
      <w:pPr>
        <w:pStyle w:val="Odstavecseseznamem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4062C4FE" w14:textId="5E7A7D2B" w:rsidR="00FA680C" w:rsidRPr="00F87725" w:rsidRDefault="00FA680C" w:rsidP="00FA680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87725">
        <w:rPr>
          <w:rFonts w:ascii="Arial" w:hAnsi="Arial" w:cs="Arial"/>
          <w:b/>
          <w:bCs/>
          <w:sz w:val="22"/>
          <w:szCs w:val="22"/>
        </w:rPr>
        <w:t>XI.</w:t>
      </w:r>
    </w:p>
    <w:p w14:paraId="282C223C" w14:textId="77777777" w:rsidR="00FA680C" w:rsidRPr="00F87725" w:rsidRDefault="00FA680C" w:rsidP="00FA680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87725">
        <w:rPr>
          <w:rFonts w:ascii="Arial" w:hAnsi="Arial" w:cs="Arial"/>
          <w:b/>
          <w:bCs/>
          <w:sz w:val="22"/>
          <w:szCs w:val="22"/>
        </w:rPr>
        <w:t>Obchodní tajemství</w:t>
      </w:r>
    </w:p>
    <w:p w14:paraId="402A2918" w14:textId="77777777" w:rsidR="00FA680C" w:rsidRPr="00F87725" w:rsidRDefault="00FA680C" w:rsidP="00FA680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2C775AA2" w14:textId="77777777" w:rsidR="00FA680C" w:rsidRPr="00F87725" w:rsidRDefault="00FA680C" w:rsidP="00FA680C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87725">
        <w:rPr>
          <w:rFonts w:ascii="Arial" w:eastAsia="Calibri" w:hAnsi="Arial" w:cs="Arial"/>
          <w:sz w:val="22"/>
          <w:szCs w:val="22"/>
        </w:rPr>
        <w:t xml:space="preserve">1) Prodávající považuje údaj o jednotkové ceně zdravotního prostředku, který je uveden v příloze č. 1 této smlouvy, za informace významné ve smyslu zákonné definice obchodního tajemství (§ 504 zákona č. 89/2012 Sb., občanský zákoník), všeobecný přístup k těmto informacím a informacím vedoucím ke zjištění jednotkové ceny zdravotního prostředku může mít podstatný dopad na ekonomické výsledky a tržní postavení Prodávajícího (popř. výrobce zdravotních prostředků). </w:t>
      </w:r>
      <w:r w:rsidRPr="00F87725">
        <w:rPr>
          <w:rFonts w:ascii="Arial" w:eastAsia="Calibri" w:hAnsi="Arial" w:cs="Arial"/>
          <w:bCs/>
          <w:sz w:val="22"/>
          <w:szCs w:val="22"/>
        </w:rPr>
        <w:t xml:space="preserve">Prohlášení o obchodním tajemství je součásti podané nabídky. </w:t>
      </w:r>
    </w:p>
    <w:p w14:paraId="79DCB551" w14:textId="77777777" w:rsidR="00FA680C" w:rsidRPr="00F87725" w:rsidRDefault="00FA680C" w:rsidP="00FA680C">
      <w:pPr>
        <w:suppressAutoHyphens/>
        <w:autoSpaceDN w:val="0"/>
        <w:jc w:val="both"/>
        <w:textAlignment w:val="baseline"/>
        <w:rPr>
          <w:rFonts w:ascii="Arial" w:eastAsia="Calibri" w:hAnsi="Arial" w:cs="Arial"/>
          <w:b/>
          <w:sz w:val="22"/>
          <w:szCs w:val="22"/>
        </w:rPr>
      </w:pPr>
    </w:p>
    <w:p w14:paraId="2324D4AC" w14:textId="77777777" w:rsidR="00FA680C" w:rsidRPr="00F87725" w:rsidRDefault="00FA680C" w:rsidP="00FA680C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87725">
        <w:rPr>
          <w:rFonts w:ascii="Arial" w:eastAsia="Calibri" w:hAnsi="Arial" w:cs="Arial"/>
          <w:sz w:val="22"/>
          <w:szCs w:val="22"/>
        </w:rPr>
        <w:t>2) Údaje dle předchozího odstavce tohoto článku této smlouvy označené jako obchodní tajemství se nezveřejňují v Registru smluv (</w:t>
      </w:r>
      <w:r w:rsidRPr="00F87725">
        <w:rPr>
          <w:rFonts w:ascii="Arial" w:eastAsia="Calibri" w:hAnsi="Arial" w:cs="Arial"/>
          <w:i/>
          <w:sz w:val="22"/>
          <w:szCs w:val="22"/>
        </w:rPr>
        <w:t>zákon o registru smluv).</w:t>
      </w:r>
    </w:p>
    <w:p w14:paraId="56FF81DB" w14:textId="77777777" w:rsidR="00FA680C" w:rsidRPr="00F87725" w:rsidRDefault="00FA680C" w:rsidP="00FA680C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</w:p>
    <w:p w14:paraId="23259151" w14:textId="77777777" w:rsidR="00FA680C" w:rsidRPr="00F87725" w:rsidRDefault="00FA680C" w:rsidP="00FA680C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F87725">
        <w:rPr>
          <w:rFonts w:ascii="Arial" w:eastAsia="Calibri" w:hAnsi="Arial" w:cs="Arial"/>
          <w:sz w:val="22"/>
          <w:szCs w:val="22"/>
        </w:rPr>
        <w:t>3) Obchodní tajemství se neuplatní v případě, že si údaje o jednotkových cenách zdravotního prostředku vyžádá od Kupujícího Ministerstvo zdravotnictví.</w:t>
      </w:r>
    </w:p>
    <w:p w14:paraId="4060106C" w14:textId="77777777" w:rsidR="00FA680C" w:rsidRPr="00FE3EEC" w:rsidRDefault="00FA680C" w:rsidP="009757D9">
      <w:pPr>
        <w:pStyle w:val="Odstavecseseznamem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Cs/>
          <w:sz w:val="20"/>
          <w:szCs w:val="20"/>
          <w:highlight w:val="yellow"/>
        </w:rPr>
      </w:pPr>
    </w:p>
    <w:p w14:paraId="5A991996" w14:textId="77777777" w:rsidR="00654C53" w:rsidRPr="003834F5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</w:p>
    <w:p w14:paraId="3E777A1E" w14:textId="1C20C8FE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t>X</w:t>
      </w:r>
      <w:r w:rsidR="00FA680C">
        <w:rPr>
          <w:rFonts w:ascii="Arial" w:hAnsi="Arial" w:cs="Arial"/>
          <w:b/>
          <w:bCs/>
          <w:sz w:val="20"/>
          <w:szCs w:val="20"/>
        </w:rPr>
        <w:t>I</w:t>
      </w:r>
      <w:r w:rsidR="00B249A7">
        <w:rPr>
          <w:rFonts w:ascii="Arial" w:hAnsi="Arial" w:cs="Arial"/>
          <w:b/>
          <w:bCs/>
          <w:sz w:val="20"/>
          <w:szCs w:val="20"/>
        </w:rPr>
        <w:t>I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281360A6" w:rsidR="006E722C" w:rsidRPr="004B28A1" w:rsidRDefault="006E722C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lastRenderedPageBreak/>
        <w:t xml:space="preserve">Smluvní strany berou na vědomí, že </w:t>
      </w:r>
      <w:r w:rsidR="00754FC4" w:rsidRPr="004B28A1">
        <w:rPr>
          <w:rFonts w:ascii="Arial" w:hAnsi="Arial" w:cs="Arial"/>
          <w:sz w:val="20"/>
          <w:szCs w:val="20"/>
        </w:rPr>
        <w:t>Smlouvy,</w:t>
      </w:r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9836FBD" w14:textId="7EF3DB4D" w:rsidR="00F875AB" w:rsidRPr="004B28A1" w:rsidRDefault="00F875AB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6 o</w:t>
      </w:r>
      <w:r w:rsidR="00754FC4">
        <w:rPr>
          <w:rFonts w:ascii="Arial" w:hAnsi="Arial" w:cs="Arial"/>
          <w:sz w:val="20"/>
          <w:szCs w:val="20"/>
        </w:rPr>
        <w:t>d</w:t>
      </w:r>
      <w:r w:rsidR="00B95C35">
        <w:rPr>
          <w:rFonts w:ascii="Arial" w:hAnsi="Arial" w:cs="Arial"/>
          <w:sz w:val="20"/>
          <w:szCs w:val="20"/>
        </w:rPr>
        <w:t>st.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68B125AB" w14:textId="32CD6F76" w:rsidR="00F875AB" w:rsidRPr="00497F50" w:rsidRDefault="00F875AB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uzavřena na dobu </w:t>
      </w:r>
      <w:r w:rsidR="00C66FEB">
        <w:rPr>
          <w:rFonts w:ascii="Arial" w:hAnsi="Arial" w:cs="Arial"/>
          <w:sz w:val="20"/>
          <w:szCs w:val="20"/>
        </w:rPr>
        <w:t>6</w:t>
      </w:r>
      <w:r w:rsidR="00846A47" w:rsidRPr="00582477">
        <w:rPr>
          <w:rFonts w:ascii="Arial" w:hAnsi="Arial" w:cs="Arial"/>
          <w:sz w:val="20"/>
          <w:szCs w:val="20"/>
        </w:rPr>
        <w:t xml:space="preserve"> let (počítáno ode dne nabytí účinnosti této </w:t>
      </w:r>
      <w:r w:rsidR="00846A47" w:rsidRPr="00497F50">
        <w:rPr>
          <w:rFonts w:ascii="Arial" w:hAnsi="Arial" w:cs="Arial"/>
          <w:sz w:val="20"/>
          <w:szCs w:val="20"/>
        </w:rPr>
        <w:t>smlouvy</w:t>
      </w:r>
      <w:r w:rsidR="0020740B">
        <w:rPr>
          <w:rFonts w:ascii="Arial" w:hAnsi="Arial" w:cs="Arial"/>
          <w:sz w:val="20"/>
          <w:szCs w:val="20"/>
        </w:rPr>
        <w:t>)</w:t>
      </w:r>
      <w:r w:rsidR="00497F50">
        <w:rPr>
          <w:rFonts w:ascii="Arial" w:hAnsi="Arial" w:cs="Arial"/>
          <w:bCs/>
          <w:sz w:val="20"/>
          <w:szCs w:val="20"/>
        </w:rPr>
        <w:t xml:space="preserve"> nebo do </w:t>
      </w:r>
      <w:r w:rsidR="00497F50" w:rsidRPr="00497F50">
        <w:rPr>
          <w:rFonts w:ascii="Arial" w:hAnsi="Arial" w:cs="Arial"/>
          <w:bCs/>
          <w:sz w:val="20"/>
          <w:szCs w:val="20"/>
        </w:rPr>
        <w:t>vyčerpání finančního limitu pro VZMR.</w:t>
      </w:r>
    </w:p>
    <w:p w14:paraId="6EFF0F13" w14:textId="77777777" w:rsidR="006E722C" w:rsidRPr="007116E9" w:rsidRDefault="006E722C" w:rsidP="009757D9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0F290424" w14:textId="28EE7A19" w:rsidR="00F875AB" w:rsidRPr="006E722C" w:rsidRDefault="00F875AB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E39B3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EE39B3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EE39B3">
        <w:rPr>
          <w:rFonts w:ascii="Arial" w:hAnsi="Arial" w:cs="Arial"/>
          <w:sz w:val="20"/>
          <w:szCs w:val="20"/>
        </w:rPr>
        <w:t>výpovědí kterékoliv strany s</w:t>
      </w:r>
      <w:r w:rsidR="00F55F72" w:rsidRPr="00EE39B3">
        <w:rPr>
          <w:rFonts w:ascii="Arial" w:hAnsi="Arial" w:cs="Arial"/>
          <w:sz w:val="20"/>
          <w:szCs w:val="20"/>
        </w:rPr>
        <w:t> </w:t>
      </w:r>
      <w:r w:rsidR="00365E4C" w:rsidRPr="00EE39B3">
        <w:rPr>
          <w:rFonts w:ascii="Arial" w:hAnsi="Arial" w:cs="Arial"/>
          <w:b/>
          <w:bCs/>
          <w:sz w:val="20"/>
          <w:szCs w:val="20"/>
        </w:rPr>
        <w:t>tří</w:t>
      </w:r>
      <w:r w:rsidRPr="00EE39B3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Pr="00EE39B3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EE39B3">
        <w:rPr>
          <w:rFonts w:ascii="Arial" w:hAnsi="Arial" w:cs="Arial"/>
          <w:sz w:val="20"/>
          <w:szCs w:val="20"/>
        </w:rPr>
        <w:t>první den měsíce</w:t>
      </w:r>
      <w:r w:rsidR="00F55F72" w:rsidRPr="006E722C">
        <w:rPr>
          <w:rFonts w:ascii="Arial" w:hAnsi="Arial" w:cs="Arial"/>
          <w:sz w:val="20"/>
          <w:szCs w:val="20"/>
        </w:rPr>
        <w:t xml:space="preserve"> následujícího</w:t>
      </w:r>
      <w:r w:rsidRPr="006E722C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3909B8A" w14:textId="77777777" w:rsidR="00F875AB" w:rsidRPr="008F5313" w:rsidRDefault="00F875AB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7F84FA20" w14:textId="77777777" w:rsidR="00A7195C" w:rsidRPr="006E722C" w:rsidRDefault="00A7195C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>Smlouva byla vypracována ve dvou vyhotoveních, po jedné pro každou smluvní stranu</w:t>
      </w:r>
      <w:r>
        <w:rPr>
          <w:rFonts w:ascii="Arial" w:hAnsi="Arial" w:cs="Arial"/>
          <w:sz w:val="20"/>
          <w:szCs w:val="20"/>
        </w:rPr>
        <w:t>. Pokud je tato smlouva podepsána elektronicky, je vyhotovena v jednom vyhotovení podepsaném elektronicky oběma smluvními stranami.</w:t>
      </w:r>
    </w:p>
    <w:p w14:paraId="550C787F" w14:textId="77777777" w:rsidR="00F875AB" w:rsidRPr="008F5313" w:rsidRDefault="00F875AB" w:rsidP="009757D9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5A7792ED" w14:textId="77777777" w:rsidR="00A007A9" w:rsidRPr="004B28A1" w:rsidRDefault="00F875AB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Veškeré změny smlouvy lze provést pouze písemným dodatkem ve stejném počtu stejnopisů.</w:t>
      </w:r>
    </w:p>
    <w:p w14:paraId="384C726D" w14:textId="77777777" w:rsidR="00A007A9" w:rsidRPr="004B28A1" w:rsidRDefault="00A007A9" w:rsidP="009757D9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9757D9">
      <w:pPr>
        <w:pStyle w:val="Odstavecseseznamem"/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</w:p>
    <w:p w14:paraId="596A9FAC" w14:textId="4E6502AA" w:rsidR="00F875AB" w:rsidRPr="009757D9" w:rsidRDefault="00F875AB" w:rsidP="009757D9">
      <w:pPr>
        <w:pStyle w:val="Odstavecseseznamem"/>
        <w:numPr>
          <w:ilvl w:val="0"/>
          <w:numId w:val="2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9757D9">
        <w:rPr>
          <w:rFonts w:ascii="Arial" w:hAnsi="Arial" w:cs="Arial"/>
          <w:sz w:val="20"/>
          <w:szCs w:val="20"/>
        </w:rPr>
        <w:t>Smluvní strany prohlašují, že si tuto smlouvu před jejím podpisem přečetly, že byla uzavřena podle jejich pravé a svobodné vůle, vážně, určitě a srozumitelně</w:t>
      </w:r>
      <w:r w:rsidR="0087650B" w:rsidRPr="009757D9">
        <w:rPr>
          <w:rFonts w:ascii="Arial" w:hAnsi="Arial" w:cs="Arial"/>
          <w:sz w:val="20"/>
          <w:szCs w:val="20"/>
        </w:rPr>
        <w:t>,</w:t>
      </w:r>
      <w:r w:rsidRPr="009757D9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45790518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E6EEE4" w14:textId="77777777" w:rsidR="009652BF" w:rsidRPr="006426CD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6426CD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Pr="009652BF" w:rsidRDefault="00102AE3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3E7D1125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V </w:t>
      </w:r>
      <w:r w:rsidR="00806172">
        <w:rPr>
          <w:rFonts w:ascii="Arial" w:hAnsi="Arial" w:cs="Arial"/>
          <w:sz w:val="20"/>
          <w:szCs w:val="20"/>
        </w:rPr>
        <w:t>Praze</w:t>
      </w:r>
      <w:r w:rsidRPr="008F5313">
        <w:rPr>
          <w:rFonts w:ascii="Arial" w:hAnsi="Arial" w:cs="Arial"/>
          <w:sz w:val="20"/>
          <w:szCs w:val="20"/>
        </w:rPr>
        <w:t xml:space="preserve"> dne……………………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6426CD">
        <w:rPr>
          <w:rFonts w:ascii="Arial" w:hAnsi="Arial" w:cs="Arial"/>
          <w:sz w:val="20"/>
          <w:szCs w:val="20"/>
        </w:rPr>
        <w:t xml:space="preserve"> 10.11.2025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74E3435" w14:textId="77777777" w:rsidR="000410D5" w:rsidRDefault="000410D5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C62BF33" w14:textId="77777777" w:rsidR="000410D5" w:rsidRDefault="000410D5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A0044F" w14:textId="77777777" w:rsidR="000410D5" w:rsidRPr="008F5313" w:rsidRDefault="000410D5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1EA3364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r w:rsidR="00840CFA" w:rsidRPr="000F13C9">
        <w:rPr>
          <w:rFonts w:ascii="Arial" w:hAnsi="Arial" w:cs="Arial"/>
          <w:sz w:val="20"/>
          <w:szCs w:val="20"/>
        </w:rPr>
        <w:t xml:space="preserve">prodávajícího:  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4769C580" w14:textId="3BF7F136" w:rsidR="001E0213" w:rsidRDefault="008061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Jan Kadlec, jednatel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     </w:t>
      </w:r>
      <w:r w:rsidR="000F13C9">
        <w:rPr>
          <w:rFonts w:ascii="Arial" w:hAnsi="Arial" w:cs="Arial"/>
          <w:sz w:val="20"/>
          <w:szCs w:val="20"/>
        </w:rPr>
        <w:tab/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 xml:space="preserve">oc </w:t>
      </w:r>
      <w:r w:rsidR="0020740B" w:rsidRPr="003A68B8">
        <w:rPr>
          <w:rFonts w:ascii="Arial" w:hAnsi="Arial" w:cs="Arial"/>
          <w:sz w:val="20"/>
          <w:szCs w:val="20"/>
        </w:rPr>
        <w:t>MUDr. Zdeněk</w:t>
      </w:r>
      <w:r w:rsidR="00B24046" w:rsidRPr="003A68B8">
        <w:rPr>
          <w:rFonts w:ascii="Arial" w:hAnsi="Arial" w:cs="Arial"/>
          <w:sz w:val="20"/>
          <w:szCs w:val="20"/>
        </w:rPr>
        <w:t xml:space="preserve">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, ředitel </w:t>
      </w:r>
    </w:p>
    <w:p w14:paraId="0A24B191" w14:textId="77777777" w:rsidR="00FA680C" w:rsidRDefault="00FA680C">
      <w:pPr>
        <w:rPr>
          <w:rFonts w:ascii="Arial" w:hAnsi="Arial" w:cs="Arial"/>
          <w:color w:val="000000"/>
          <w:sz w:val="20"/>
          <w:szCs w:val="20"/>
        </w:rPr>
      </w:pPr>
    </w:p>
    <w:p w14:paraId="3189A024" w14:textId="07D14A9E" w:rsidR="00FA680C" w:rsidRDefault="00FA680C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1E0BC14A" w14:textId="77777777" w:rsidR="00FA680C" w:rsidRDefault="00FA680C">
      <w:pPr>
        <w:rPr>
          <w:rFonts w:ascii="Arial" w:hAnsi="Arial" w:cs="Arial"/>
          <w:sz w:val="20"/>
          <w:szCs w:val="20"/>
        </w:rPr>
        <w:sectPr w:rsidR="00FA680C" w:rsidSect="00582477">
          <w:footerReference w:type="default" r:id="rId11"/>
          <w:headerReference w:type="first" r:id="rId1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283218" w14:textId="7A0459FC" w:rsidR="00FA680C" w:rsidRDefault="00FA680C">
      <w:pPr>
        <w:rPr>
          <w:rFonts w:ascii="Arial" w:hAnsi="Arial" w:cs="Arial"/>
          <w:b/>
          <w:bCs/>
          <w:sz w:val="20"/>
          <w:szCs w:val="20"/>
        </w:rPr>
      </w:pPr>
      <w:r w:rsidRPr="00FA680C"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1 – </w:t>
      </w:r>
      <w:r>
        <w:rPr>
          <w:rFonts w:ascii="Arial" w:hAnsi="Arial" w:cs="Arial"/>
          <w:b/>
          <w:bCs/>
          <w:sz w:val="20"/>
          <w:szCs w:val="20"/>
        </w:rPr>
        <w:t>položkový ceník</w:t>
      </w:r>
    </w:p>
    <w:p w14:paraId="05E7C3FA" w14:textId="77777777" w:rsidR="00F4146F" w:rsidRDefault="00F4146F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"/>
        <w:gridCol w:w="858"/>
        <w:gridCol w:w="858"/>
        <w:gridCol w:w="880"/>
        <w:gridCol w:w="1120"/>
        <w:gridCol w:w="846"/>
        <w:gridCol w:w="735"/>
        <w:gridCol w:w="865"/>
        <w:gridCol w:w="865"/>
        <w:gridCol w:w="886"/>
        <w:gridCol w:w="1032"/>
        <w:gridCol w:w="753"/>
        <w:gridCol w:w="851"/>
        <w:gridCol w:w="430"/>
        <w:gridCol w:w="929"/>
        <w:gridCol w:w="1220"/>
      </w:tblGrid>
      <w:tr w:rsidR="00806172" w:rsidRPr="00F4146F" w14:paraId="318BE1E2" w14:textId="77777777" w:rsidTr="00806172">
        <w:trPr>
          <w:trHeight w:val="915"/>
        </w:trPr>
        <w:tc>
          <w:tcPr>
            <w:tcW w:w="0" w:type="auto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8A4D148" w14:textId="77777777" w:rsidR="00F4146F" w:rsidRPr="00F4146F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146F">
              <w:rPr>
                <w:rFonts w:ascii="Arial" w:hAnsi="Arial" w:cs="Arial"/>
                <w:b/>
                <w:bCs/>
                <w:sz w:val="14"/>
                <w:szCs w:val="14"/>
              </w:rPr>
              <w:t>Vyšetření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05FD6C82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Počet vyšetření/1 rok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6638774A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Počet vyšetření/6 let</w:t>
            </w:r>
          </w:p>
        </w:tc>
        <w:tc>
          <w:tcPr>
            <w:tcW w:w="8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1F453757" w14:textId="77777777" w:rsidR="00F4146F" w:rsidRPr="006426CD" w:rsidRDefault="00F4146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Katalogové číslo</w:t>
            </w:r>
          </w:p>
        </w:tc>
        <w:tc>
          <w:tcPr>
            <w:tcW w:w="11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D68B5D5" w14:textId="77777777" w:rsidR="00F4146F" w:rsidRPr="006426CD" w:rsidRDefault="00F4146F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Název položky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7514932D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Počet vyšetření v 1 balení</w:t>
            </w:r>
          </w:p>
        </w:tc>
        <w:tc>
          <w:tcPr>
            <w:tcW w:w="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15F2DA5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Spotřeba balení za 1 rok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B66D601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Nákupní cena bez DPH/balení (Kč)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232CADA5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Nákupní cena s DPH/balení (Kč)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040E5F26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Nákupní cena bez DPH za 1 rok (Kč)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33CCCC"/>
            <w:vAlign w:val="center"/>
            <w:hideMark/>
          </w:tcPr>
          <w:p w14:paraId="3664DDDE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Nákupní cena bez DPH za 6 let (Kč)</w:t>
            </w:r>
          </w:p>
        </w:tc>
        <w:tc>
          <w:tcPr>
            <w:tcW w:w="7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56A055CE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Nákupní cena s DPH z 1 rok</w:t>
            </w: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(Kč)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6008969A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Nákupní cena s DPH za 6 let</w:t>
            </w: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br/>
              <w:t>(Kč)</w:t>
            </w:r>
          </w:p>
        </w:tc>
        <w:tc>
          <w:tcPr>
            <w:tcW w:w="4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448678D2" w14:textId="77777777" w:rsidR="00F4146F" w:rsidRPr="006426CD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426CD">
              <w:rPr>
                <w:rFonts w:ascii="Arial" w:hAnsi="Arial" w:cs="Arial"/>
                <w:b/>
                <w:bCs/>
                <w:sz w:val="14"/>
                <w:szCs w:val="14"/>
              </w:rPr>
              <w:t>DPH (%)</w:t>
            </w:r>
          </w:p>
        </w:tc>
        <w:tc>
          <w:tcPr>
            <w:tcW w:w="9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33CCCC"/>
            <w:vAlign w:val="center"/>
            <w:hideMark/>
          </w:tcPr>
          <w:p w14:paraId="75D5F930" w14:textId="77777777" w:rsidR="00F4146F" w:rsidRPr="00F4146F" w:rsidRDefault="00F414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14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Třída IVD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33CCCC"/>
            <w:vAlign w:val="center"/>
            <w:hideMark/>
          </w:tcPr>
          <w:p w14:paraId="2CC58BAB" w14:textId="77777777" w:rsidR="00F4146F" w:rsidRPr="00F4146F" w:rsidRDefault="00F4146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146F">
              <w:rPr>
                <w:rFonts w:ascii="Arial" w:hAnsi="Arial" w:cs="Arial"/>
                <w:b/>
                <w:bCs/>
                <w:sz w:val="14"/>
                <w:szCs w:val="14"/>
              </w:rPr>
              <w:t>Poznámky</w:t>
            </w:r>
          </w:p>
        </w:tc>
      </w:tr>
      <w:tr w:rsidR="00806172" w:rsidRPr="00F4146F" w14:paraId="236F975C" w14:textId="77777777" w:rsidTr="00806172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E656EDF" w14:textId="77777777" w:rsidR="00806172" w:rsidRPr="00F4146F" w:rsidRDefault="00806172" w:rsidP="008061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4146F">
              <w:rPr>
                <w:rFonts w:ascii="Arial" w:hAnsi="Arial" w:cs="Arial"/>
                <w:color w:val="000000"/>
                <w:sz w:val="14"/>
                <w:szCs w:val="14"/>
              </w:rPr>
              <w:t>Glykovaný hemoglobin (HbA1c)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45B3DB2" w14:textId="77777777" w:rsidR="00806172" w:rsidRPr="006426CD" w:rsidRDefault="00806172" w:rsidP="008061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26CD">
              <w:rPr>
                <w:rFonts w:ascii="Arial" w:hAnsi="Arial" w:cs="Arial"/>
                <w:sz w:val="14"/>
                <w:szCs w:val="14"/>
              </w:rPr>
              <w:t>8 600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B5AC9F3" w14:textId="77777777" w:rsidR="00806172" w:rsidRPr="006426CD" w:rsidRDefault="00806172" w:rsidP="0080617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426CD">
              <w:rPr>
                <w:rFonts w:ascii="Arial" w:hAnsi="Arial" w:cs="Arial"/>
                <w:sz w:val="14"/>
                <w:szCs w:val="14"/>
              </w:rPr>
              <w:t>51 600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26BE3" w14:textId="358D5142" w:rsidR="00806172" w:rsidRPr="006426CD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6426CD">
              <w:rPr>
                <w:sz w:val="18"/>
                <w:szCs w:val="18"/>
              </w:rPr>
              <w:t>105724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F199A4" w14:textId="21B46BCF" w:rsidR="00806172" w:rsidRPr="006426CD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6426CD">
              <w:rPr>
                <w:sz w:val="18"/>
                <w:szCs w:val="18"/>
              </w:rPr>
              <w:t>Eluent 90A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9FE892" w14:textId="76D44FF2" w:rsidR="00806172" w:rsidRPr="006426CD" w:rsidRDefault="00806172" w:rsidP="00806172">
            <w:pPr>
              <w:jc w:val="right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1 000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A9E12A" w14:textId="484D890F" w:rsidR="00806172" w:rsidRPr="006426CD" w:rsidRDefault="00806172" w:rsidP="00806172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2FBD9B" w14:textId="676F2D21" w:rsidR="00806172" w:rsidRPr="006426CD" w:rsidRDefault="00806172" w:rsidP="008061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4 454,00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89C9BD" w14:textId="76EBD546" w:rsidR="00806172" w:rsidRPr="006426CD" w:rsidRDefault="00806172" w:rsidP="008061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5 389,34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D16C0" w14:textId="537BF7A2" w:rsidR="00806172" w:rsidRPr="006426CD" w:rsidRDefault="00806172" w:rsidP="008061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40 086,00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E9B58" w14:textId="558F8169" w:rsidR="00806172" w:rsidRPr="006426CD" w:rsidRDefault="00806172" w:rsidP="008061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240 516,00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A3F69" w14:textId="13BB46C7" w:rsidR="00806172" w:rsidRPr="006426CD" w:rsidRDefault="00806172" w:rsidP="0080617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48 504,06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F5AB7" w14:textId="480670B7" w:rsidR="00806172" w:rsidRPr="006426CD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6426CD">
              <w:rPr>
                <w:sz w:val="18"/>
                <w:szCs w:val="18"/>
                <w:highlight w:val="black"/>
              </w:rPr>
              <w:t>291 024,36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2B7E178" w14:textId="51DF2DD2" w:rsidR="00806172" w:rsidRPr="006426CD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426CD">
              <w:rPr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3517AE8" w14:textId="2FA24D74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Obecné, IVDD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7E4E69A" w14:textId="00821D02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72" w:rsidRPr="00F4146F" w14:paraId="1EF39DAE" w14:textId="77777777" w:rsidTr="008061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0E702E" w14:textId="77777777" w:rsidR="00806172" w:rsidRPr="00F4146F" w:rsidRDefault="00806172" w:rsidP="008061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F23A53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B46309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824CA" w14:textId="736E17EF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105725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82F06" w14:textId="4B7E92B9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Eluent 90B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0EA9E" w14:textId="25723F67" w:rsidR="00806172" w:rsidRPr="00E67434" w:rsidRDefault="00806172" w:rsidP="00806172">
            <w:pPr>
              <w:jc w:val="right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1 300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5AFC1" w14:textId="656728CC" w:rsidR="00806172" w:rsidRPr="00E67434" w:rsidRDefault="00806172" w:rsidP="00806172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4385B" w14:textId="0B9E9499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4 450,00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2F292" w14:textId="600B9DDA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5 384,50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09A16" w14:textId="5DE94395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31 150,00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43009" w14:textId="22BC27CE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186 900,00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38E46" w14:textId="3DB06319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37 691,50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61ECB" w14:textId="6DE5F0B0" w:rsidR="00806172" w:rsidRPr="00E67434" w:rsidRDefault="00806172" w:rsidP="0080617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226 149,00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7384C40" w14:textId="68295723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5D232C7" w14:textId="595F2474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Obecné, IVDD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BF2DC21" w14:textId="32064BDC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72" w:rsidRPr="00F4146F" w14:paraId="04EB494B" w14:textId="77777777" w:rsidTr="008061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F4DED4" w14:textId="77777777" w:rsidR="00806172" w:rsidRPr="00F4146F" w:rsidRDefault="00806172" w:rsidP="008061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150A7D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401BFA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29FE" w14:textId="27F9E7F7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105726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DBA36" w14:textId="19FB5253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 xml:space="preserve">Eluent 90CV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D614B" w14:textId="4F5E7F43" w:rsidR="00806172" w:rsidRPr="00E67434" w:rsidRDefault="00806172" w:rsidP="00806172">
            <w:pPr>
              <w:jc w:val="right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Nedá se rozpočítat na počty vyšetření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A2C27" w14:textId="2ECC7A67" w:rsidR="00806172" w:rsidRPr="00E67434" w:rsidRDefault="00806172" w:rsidP="00806172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4C8699" w14:textId="5D253A72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4586D" w14:textId="4E653F47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1 936,00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113F4" w14:textId="40BDD02D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7766FD" w14:textId="7E526E06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9 600,00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6A864" w14:textId="1B2EEDDE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1 936,00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66CBCF" w14:textId="20D84299" w:rsidR="00806172" w:rsidRPr="00E67434" w:rsidRDefault="00806172" w:rsidP="0080617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11 616,00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6A5A8FB" w14:textId="717D9F58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C506480" w14:textId="4DF5DC2F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Obecné, IVDD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32C48A1" w14:textId="443E6117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Spotřeba závisí čistě na uživateli, nedá se  rozpočítat na počet vyšetření</w:t>
            </w:r>
          </w:p>
        </w:tc>
      </w:tr>
      <w:tr w:rsidR="00806172" w:rsidRPr="00F4146F" w14:paraId="7D26E9A0" w14:textId="77777777" w:rsidTr="008061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677F03" w14:textId="77777777" w:rsidR="00806172" w:rsidRPr="00F4146F" w:rsidRDefault="00806172" w:rsidP="008061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807BD9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1BDA91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9CE95C" w14:textId="5F127B7D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107374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12B7D" w14:textId="5AE941B6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Hemolysis washing solution 90H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DE35AC" w14:textId="0B95E9F6" w:rsidR="00806172" w:rsidRPr="00E67434" w:rsidRDefault="00806172" w:rsidP="00806172">
            <w:pPr>
              <w:jc w:val="right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600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DEA77" w14:textId="72DD416F" w:rsidR="00806172" w:rsidRPr="00E67434" w:rsidRDefault="00806172" w:rsidP="00806172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8AF0C" w14:textId="5FE88F58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5 600,00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034B5" w14:textId="0352E9A8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6 776,00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2B2F5" w14:textId="407FDB0E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84 000,00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84B7B" w14:textId="16E6C3E6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504 000,00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C4656F" w14:textId="555EF48C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101 640,00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40C32" w14:textId="2A0B57A8" w:rsidR="00806172" w:rsidRPr="00E67434" w:rsidRDefault="00806172" w:rsidP="0080617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609 840,00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104AED6" w14:textId="66DCA701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BB404F6" w14:textId="20A55813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A, IVDR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42F1434" w14:textId="023087C1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72" w:rsidRPr="00F4146F" w14:paraId="7906B2FF" w14:textId="77777777" w:rsidTr="008061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DD9E0D" w14:textId="77777777" w:rsidR="00806172" w:rsidRPr="00F4146F" w:rsidRDefault="00806172" w:rsidP="008061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054D89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7C616D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27894" w14:textId="6B67B71D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105730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C8817B" w14:textId="718BBCCA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Calibrator Kit 90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1C42F8" w14:textId="77ADBB11" w:rsidR="00806172" w:rsidRPr="00E67434" w:rsidRDefault="00806172" w:rsidP="00806172">
            <w:pPr>
              <w:jc w:val="right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12 000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20486" w14:textId="7A7C5289" w:rsidR="00806172" w:rsidRPr="00E67434" w:rsidRDefault="00806172" w:rsidP="00806172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B4801E" w14:textId="126B30F7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1 704,00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3C70E" w14:textId="44741E9C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2 061,84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83ADA" w14:textId="3253FD7B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1 704,00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6A412" w14:textId="5FE37623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10 224,00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12F71" w14:textId="67109CAC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2 061,84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5C0EA" w14:textId="48F7E83A" w:rsidR="00806172" w:rsidRPr="00E67434" w:rsidRDefault="00806172" w:rsidP="0080617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12 371,04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D66BA0E" w14:textId="0DB3E316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8FC9E40" w14:textId="3F5A3738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Obecné, IVDD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4FDE0F" w14:textId="03054626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72" w:rsidRPr="00F4146F" w14:paraId="12F493A0" w14:textId="77777777" w:rsidTr="008061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0DE0C4" w14:textId="77777777" w:rsidR="00806172" w:rsidRPr="00F4146F" w:rsidRDefault="00806172" w:rsidP="008061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748A0E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E12688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01B61" w14:textId="2ACCB4DD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71287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772856" w14:textId="5520CA12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 xml:space="preserve">extendSURE HbA1c     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34BC1" w14:textId="040D2703" w:rsidR="00806172" w:rsidRPr="00E67434" w:rsidRDefault="00806172" w:rsidP="00806172">
            <w:pPr>
              <w:jc w:val="right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Nedá se rozpočítat na počty vyšetření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DDCCA" w14:textId="60BA2D30" w:rsidR="00806172" w:rsidRPr="00E67434" w:rsidRDefault="00806172" w:rsidP="00806172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C1BA2" w14:textId="68868E7D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1 000,00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9CDF0F" w14:textId="05EE8574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1 210,00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2607AF" w14:textId="665A1C12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12 000,00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1981E" w14:textId="088A552B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72 000,00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5A50B" w14:textId="0A7EAC22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14 520,00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9714A" w14:textId="2E32FF4A" w:rsidR="00806172" w:rsidRPr="00E67434" w:rsidRDefault="00806172" w:rsidP="0080617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87 120,00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24BD2A4" w14:textId="2A6998AE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21DC9E3E" w14:textId="6503691F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Vlastní certifikace, IVDD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7AF8100" w14:textId="39F8CBC0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Kontrolní materiál obsahuje 2 lahvičky se dvěma hladinami= Level1+Level2</w:t>
            </w:r>
          </w:p>
        </w:tc>
      </w:tr>
      <w:tr w:rsidR="00806172" w:rsidRPr="00F4146F" w14:paraId="5B69CC80" w14:textId="77777777" w:rsidTr="0080617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D0248F" w14:textId="77777777" w:rsidR="00806172" w:rsidRPr="00F4146F" w:rsidRDefault="00806172" w:rsidP="00806172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76E13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E68680" w14:textId="77777777" w:rsidR="00806172" w:rsidRPr="00F4146F" w:rsidRDefault="00806172" w:rsidP="0080617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C2ADCC" w14:textId="4A584377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4727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24806" w14:textId="06F3093C" w:rsidR="00806172" w:rsidRPr="00806172" w:rsidRDefault="00806172" w:rsidP="00806172">
            <w:pPr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Papír do termotiskárny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1CAA6" w14:textId="4456A5DC" w:rsidR="00806172" w:rsidRPr="00E67434" w:rsidRDefault="00806172" w:rsidP="00806172">
            <w:pPr>
              <w:jc w:val="right"/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1 role, nedá se rozpočítat na počet vyšetření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80C2E" w14:textId="02854654" w:rsidR="00806172" w:rsidRPr="00E67434" w:rsidRDefault="00806172" w:rsidP="00806172">
            <w:pPr>
              <w:rPr>
                <w:rFonts w:ascii="Arial" w:hAnsi="Arial" w:cs="Arial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844A9" w14:textId="4A9EFE92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20,00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EDC4A" w14:textId="1BBD4724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24,20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F5D501" w14:textId="214C0DBB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600,00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96433" w14:textId="03704384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305496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3 600,00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5D463" w14:textId="5A7F8F5B" w:rsidR="00806172" w:rsidRPr="00E67434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726,00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1CE54" w14:textId="4E9754BA" w:rsidR="00806172" w:rsidRPr="00E67434" w:rsidRDefault="00806172" w:rsidP="00806172">
            <w:pPr>
              <w:jc w:val="center"/>
              <w:rPr>
                <w:rFonts w:ascii="Arial" w:hAnsi="Arial" w:cs="Arial"/>
                <w:color w:val="C00000"/>
                <w:sz w:val="18"/>
                <w:szCs w:val="18"/>
                <w:highlight w:val="black"/>
              </w:rPr>
            </w:pPr>
            <w:r w:rsidRPr="00E67434">
              <w:rPr>
                <w:sz w:val="18"/>
                <w:szCs w:val="18"/>
                <w:highlight w:val="black"/>
              </w:rPr>
              <w:t>4 356,00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9C549B9" w14:textId="1CCE46DB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21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0AA3CE9" w14:textId="5FBE9D82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172">
              <w:rPr>
                <w:sz w:val="18"/>
                <w:szCs w:val="18"/>
              </w:rPr>
              <w:t>Není ZP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DEF9668" w14:textId="2EAD5EAB" w:rsidR="00806172" w:rsidRPr="00806172" w:rsidRDefault="00806172" w:rsidP="008061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06172" w:rsidRPr="00F4146F" w14:paraId="6116AF00" w14:textId="77777777" w:rsidTr="00806172">
        <w:trPr>
          <w:trHeight w:val="300"/>
        </w:trPr>
        <w:tc>
          <w:tcPr>
            <w:tcW w:w="6111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CFFCC"/>
            <w:noWrap/>
            <w:vAlign w:val="bottom"/>
            <w:hideMark/>
          </w:tcPr>
          <w:p w14:paraId="383519BD" w14:textId="77777777" w:rsidR="00F4146F" w:rsidRPr="00F4146F" w:rsidRDefault="00F4146F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F4146F">
              <w:rPr>
                <w:rFonts w:ascii="Arial" w:hAnsi="Arial" w:cs="Arial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29465E" w14:textId="77777777" w:rsidR="00F4146F" w:rsidRPr="00F4146F" w:rsidRDefault="00F4146F">
            <w:pPr>
              <w:rPr>
                <w:rFonts w:ascii="Arial" w:hAnsi="Arial" w:cs="Arial"/>
                <w:sz w:val="14"/>
                <w:szCs w:val="14"/>
              </w:rPr>
            </w:pPr>
            <w:r w:rsidRPr="00F4146F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7D74C5" w14:textId="77777777" w:rsidR="00F4146F" w:rsidRPr="00F4146F" w:rsidRDefault="00F4146F">
            <w:pPr>
              <w:rPr>
                <w:rFonts w:ascii="Arial" w:hAnsi="Arial" w:cs="Arial"/>
                <w:sz w:val="14"/>
                <w:szCs w:val="14"/>
              </w:rPr>
            </w:pPr>
            <w:r w:rsidRPr="00F4146F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F55D44" w14:textId="77777777" w:rsidR="00F4146F" w:rsidRPr="00F4146F" w:rsidRDefault="00F4146F">
            <w:pPr>
              <w:rPr>
                <w:rFonts w:ascii="Arial" w:hAnsi="Arial" w:cs="Arial"/>
                <w:sz w:val="14"/>
                <w:szCs w:val="14"/>
              </w:rPr>
            </w:pPr>
            <w:r w:rsidRPr="00F4146F">
              <w:rPr>
                <w:rFonts w:ascii="Arial" w:hAnsi="Arial" w:cs="Arial"/>
                <w:sz w:val="14"/>
                <w:szCs w:val="14"/>
              </w:rPr>
              <w:t> </w:t>
            </w: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center"/>
            <w:hideMark/>
          </w:tcPr>
          <w:p w14:paraId="6D07E047" w14:textId="2CB19720" w:rsidR="00F4146F" w:rsidRPr="00F4146F" w:rsidRDefault="00806172" w:rsidP="00806172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806172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1 026 840,00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33F741" w14:textId="77777777" w:rsidR="00F4146F" w:rsidRPr="00F4146F" w:rsidRDefault="00F4146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F4146F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14:paraId="2D1C0AA8" w14:textId="77777777" w:rsidR="00806172" w:rsidRPr="00806172" w:rsidRDefault="00806172" w:rsidP="00806172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06172">
              <w:rPr>
                <w:rFonts w:ascii="Arial" w:hAnsi="Arial" w:cs="Arial"/>
                <w:color w:val="000000"/>
                <w:sz w:val="14"/>
                <w:szCs w:val="14"/>
              </w:rPr>
              <w:t>1 242 476,40</w:t>
            </w:r>
          </w:p>
          <w:p w14:paraId="7EA1755E" w14:textId="528BABDE" w:rsidR="00F4146F" w:rsidRPr="00F4146F" w:rsidRDefault="00F4146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320818D" w14:textId="77777777" w:rsidR="00F4146F" w:rsidRPr="00F4146F" w:rsidRDefault="00F4146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4146F">
              <w:rPr>
                <w:rFonts w:ascii="Arial" w:hAnsi="Arial" w:cs="Arial"/>
                <w:sz w:val="14"/>
                <w:szCs w:val="14"/>
              </w:rPr>
              <w:t> </w:t>
            </w:r>
          </w:p>
        </w:tc>
      </w:tr>
    </w:tbl>
    <w:p w14:paraId="6E6F1DB8" w14:textId="77777777" w:rsidR="00FA680C" w:rsidRPr="00FA680C" w:rsidRDefault="00FA680C">
      <w:pPr>
        <w:rPr>
          <w:rFonts w:ascii="Arial" w:hAnsi="Arial" w:cs="Arial"/>
          <w:b/>
          <w:bCs/>
          <w:sz w:val="20"/>
          <w:szCs w:val="20"/>
        </w:rPr>
      </w:pPr>
    </w:p>
    <w:sectPr w:rsidR="00FA680C" w:rsidRPr="00FA680C" w:rsidSect="00FA680C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6B56" w14:textId="77777777" w:rsidR="00212EB2" w:rsidRDefault="00212EB2">
      <w:r>
        <w:separator/>
      </w:r>
    </w:p>
  </w:endnote>
  <w:endnote w:type="continuationSeparator" w:id="0">
    <w:p w14:paraId="32EF557B" w14:textId="77777777" w:rsidR="00212EB2" w:rsidRDefault="00212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06B22324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930B33">
      <w:rPr>
        <w:rFonts w:ascii="Arial" w:hAnsi="Arial" w:cs="Arial"/>
        <w:noProof/>
        <w:sz w:val="20"/>
        <w:szCs w:val="20"/>
      </w:rPr>
      <w:t>4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3D82" w14:textId="77777777" w:rsidR="00212EB2" w:rsidRDefault="00212EB2">
      <w:r>
        <w:separator/>
      </w:r>
    </w:p>
  </w:footnote>
  <w:footnote w:type="continuationSeparator" w:id="0">
    <w:p w14:paraId="54B12D28" w14:textId="77777777" w:rsidR="00212EB2" w:rsidRDefault="00212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D6F6" w14:textId="36F474BA" w:rsidR="00582477" w:rsidRDefault="00FA680C">
    <w:pPr>
      <w:pStyle w:val="Zhlav"/>
    </w:pPr>
    <w:r>
      <w:rPr>
        <w:rFonts w:ascii="Arial" w:hAnsi="Arial" w:cs="Arial"/>
        <w:b/>
      </w:rPr>
      <w:t>KS 87/2025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A5B3D"/>
    <w:multiLevelType w:val="hybridMultilevel"/>
    <w:tmpl w:val="037E6E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0847"/>
    <w:multiLevelType w:val="hybridMultilevel"/>
    <w:tmpl w:val="9970D5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E04E2"/>
    <w:multiLevelType w:val="hybridMultilevel"/>
    <w:tmpl w:val="16A87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C715F"/>
    <w:multiLevelType w:val="hybridMultilevel"/>
    <w:tmpl w:val="51BC06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37510"/>
    <w:multiLevelType w:val="hybridMultilevel"/>
    <w:tmpl w:val="E26CF0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63C9"/>
    <w:multiLevelType w:val="hybridMultilevel"/>
    <w:tmpl w:val="E63E7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6F87"/>
    <w:multiLevelType w:val="hybridMultilevel"/>
    <w:tmpl w:val="C9A2DF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504E73"/>
    <w:multiLevelType w:val="hybridMultilevel"/>
    <w:tmpl w:val="B07AEECC"/>
    <w:lvl w:ilvl="0" w:tplc="959E68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B3923"/>
    <w:multiLevelType w:val="hybridMultilevel"/>
    <w:tmpl w:val="7D50C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E46BFE"/>
    <w:multiLevelType w:val="hybridMultilevel"/>
    <w:tmpl w:val="9B8E1B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E085C00"/>
    <w:multiLevelType w:val="hybridMultilevel"/>
    <w:tmpl w:val="74BCB5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36431"/>
    <w:multiLevelType w:val="hybridMultilevel"/>
    <w:tmpl w:val="2ECC91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D7627A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5703B"/>
    <w:multiLevelType w:val="hybridMultilevel"/>
    <w:tmpl w:val="00A64C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D3BD3"/>
    <w:multiLevelType w:val="hybridMultilevel"/>
    <w:tmpl w:val="7D989124"/>
    <w:lvl w:ilvl="0" w:tplc="959E681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132D9"/>
    <w:multiLevelType w:val="hybridMultilevel"/>
    <w:tmpl w:val="2216E8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A6EB5"/>
    <w:multiLevelType w:val="hybridMultilevel"/>
    <w:tmpl w:val="CF4C32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06479">
    <w:abstractNumId w:val="17"/>
  </w:num>
  <w:num w:numId="2" w16cid:durableId="621810774">
    <w:abstractNumId w:val="11"/>
  </w:num>
  <w:num w:numId="3" w16cid:durableId="1703551376">
    <w:abstractNumId w:val="0"/>
  </w:num>
  <w:num w:numId="4" w16cid:durableId="1776709741">
    <w:abstractNumId w:val="14"/>
  </w:num>
  <w:num w:numId="5" w16cid:durableId="1956061499">
    <w:abstractNumId w:val="23"/>
  </w:num>
  <w:num w:numId="6" w16cid:durableId="1407415816">
    <w:abstractNumId w:val="19"/>
  </w:num>
  <w:num w:numId="7" w16cid:durableId="1521506918">
    <w:abstractNumId w:val="4"/>
  </w:num>
  <w:num w:numId="8" w16cid:durableId="1727754533">
    <w:abstractNumId w:val="7"/>
  </w:num>
  <w:num w:numId="9" w16cid:durableId="2033610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227733">
    <w:abstractNumId w:val="9"/>
  </w:num>
  <w:num w:numId="11" w16cid:durableId="554855460">
    <w:abstractNumId w:val="22"/>
  </w:num>
  <w:num w:numId="12" w16cid:durableId="2080637248">
    <w:abstractNumId w:val="5"/>
  </w:num>
  <w:num w:numId="13" w16cid:durableId="510798917">
    <w:abstractNumId w:val="21"/>
  </w:num>
  <w:num w:numId="14" w16cid:durableId="977801550">
    <w:abstractNumId w:val="2"/>
  </w:num>
  <w:num w:numId="15" w16cid:durableId="301084190">
    <w:abstractNumId w:val="8"/>
  </w:num>
  <w:num w:numId="16" w16cid:durableId="1661931982">
    <w:abstractNumId w:val="13"/>
  </w:num>
  <w:num w:numId="17" w16cid:durableId="674766282">
    <w:abstractNumId w:val="18"/>
  </w:num>
  <w:num w:numId="18" w16cid:durableId="1562135011">
    <w:abstractNumId w:val="12"/>
  </w:num>
  <w:num w:numId="19" w16cid:durableId="1461071219">
    <w:abstractNumId w:val="16"/>
  </w:num>
  <w:num w:numId="20" w16cid:durableId="1528986471">
    <w:abstractNumId w:val="1"/>
  </w:num>
  <w:num w:numId="21" w16cid:durableId="1911041398">
    <w:abstractNumId w:val="20"/>
  </w:num>
  <w:num w:numId="22" w16cid:durableId="1948660980">
    <w:abstractNumId w:val="10"/>
  </w:num>
  <w:num w:numId="23" w16cid:durableId="2111386925">
    <w:abstractNumId w:val="15"/>
  </w:num>
  <w:num w:numId="24" w16cid:durableId="361126838">
    <w:abstractNumId w:val="6"/>
  </w:num>
  <w:num w:numId="25" w16cid:durableId="128862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275F8"/>
    <w:rsid w:val="000410D5"/>
    <w:rsid w:val="0005303E"/>
    <w:rsid w:val="0005392C"/>
    <w:rsid w:val="000556E1"/>
    <w:rsid w:val="00057223"/>
    <w:rsid w:val="00057CC8"/>
    <w:rsid w:val="000D1A6B"/>
    <w:rsid w:val="000E1DA7"/>
    <w:rsid w:val="000E20BA"/>
    <w:rsid w:val="000E2A3C"/>
    <w:rsid w:val="000E4DC1"/>
    <w:rsid w:val="000F13C9"/>
    <w:rsid w:val="00100F59"/>
    <w:rsid w:val="00102AE3"/>
    <w:rsid w:val="001155F4"/>
    <w:rsid w:val="00116C20"/>
    <w:rsid w:val="001206A7"/>
    <w:rsid w:val="00122853"/>
    <w:rsid w:val="00127D01"/>
    <w:rsid w:val="00136A1C"/>
    <w:rsid w:val="00142269"/>
    <w:rsid w:val="001427D6"/>
    <w:rsid w:val="00147CAB"/>
    <w:rsid w:val="001537F1"/>
    <w:rsid w:val="00154C61"/>
    <w:rsid w:val="00155196"/>
    <w:rsid w:val="001616D1"/>
    <w:rsid w:val="0016519D"/>
    <w:rsid w:val="0016550C"/>
    <w:rsid w:val="00171749"/>
    <w:rsid w:val="00172285"/>
    <w:rsid w:val="00173CD2"/>
    <w:rsid w:val="00180B76"/>
    <w:rsid w:val="001969B2"/>
    <w:rsid w:val="001A62B8"/>
    <w:rsid w:val="001A7DAF"/>
    <w:rsid w:val="001C3074"/>
    <w:rsid w:val="001C439A"/>
    <w:rsid w:val="001C4B5E"/>
    <w:rsid w:val="001E0213"/>
    <w:rsid w:val="001E2A49"/>
    <w:rsid w:val="001E2D9C"/>
    <w:rsid w:val="001E71C1"/>
    <w:rsid w:val="001F0EA0"/>
    <w:rsid w:val="001F465D"/>
    <w:rsid w:val="001F53DE"/>
    <w:rsid w:val="00205E10"/>
    <w:rsid w:val="0020740B"/>
    <w:rsid w:val="00207452"/>
    <w:rsid w:val="00211ED5"/>
    <w:rsid w:val="00212EB2"/>
    <w:rsid w:val="00225DE1"/>
    <w:rsid w:val="0023466B"/>
    <w:rsid w:val="00240986"/>
    <w:rsid w:val="00244BF7"/>
    <w:rsid w:val="002468D8"/>
    <w:rsid w:val="00256177"/>
    <w:rsid w:val="00264E1E"/>
    <w:rsid w:val="00271453"/>
    <w:rsid w:val="0027192D"/>
    <w:rsid w:val="00272C7B"/>
    <w:rsid w:val="00277330"/>
    <w:rsid w:val="0027796E"/>
    <w:rsid w:val="0028705D"/>
    <w:rsid w:val="002943AC"/>
    <w:rsid w:val="002B2FF0"/>
    <w:rsid w:val="002B731B"/>
    <w:rsid w:val="002B7C15"/>
    <w:rsid w:val="002C6578"/>
    <w:rsid w:val="002D561E"/>
    <w:rsid w:val="002F1D50"/>
    <w:rsid w:val="002F639F"/>
    <w:rsid w:val="002F7CB2"/>
    <w:rsid w:val="00304F50"/>
    <w:rsid w:val="00335894"/>
    <w:rsid w:val="0035042B"/>
    <w:rsid w:val="00365E4C"/>
    <w:rsid w:val="00374629"/>
    <w:rsid w:val="003834F5"/>
    <w:rsid w:val="003860CE"/>
    <w:rsid w:val="003946B4"/>
    <w:rsid w:val="003A4DD3"/>
    <w:rsid w:val="003A68B8"/>
    <w:rsid w:val="003B66F1"/>
    <w:rsid w:val="003B7058"/>
    <w:rsid w:val="003D06C5"/>
    <w:rsid w:val="003D35AE"/>
    <w:rsid w:val="003D5ACE"/>
    <w:rsid w:val="003E6C0E"/>
    <w:rsid w:val="003F4F60"/>
    <w:rsid w:val="00401417"/>
    <w:rsid w:val="00421538"/>
    <w:rsid w:val="0042360C"/>
    <w:rsid w:val="00432229"/>
    <w:rsid w:val="00435F2D"/>
    <w:rsid w:val="00436D0F"/>
    <w:rsid w:val="004429A3"/>
    <w:rsid w:val="00446E57"/>
    <w:rsid w:val="00480545"/>
    <w:rsid w:val="00497F50"/>
    <w:rsid w:val="004A6858"/>
    <w:rsid w:val="004A6BBE"/>
    <w:rsid w:val="004B28A1"/>
    <w:rsid w:val="004E3043"/>
    <w:rsid w:val="004E7E6D"/>
    <w:rsid w:val="00500B39"/>
    <w:rsid w:val="0050374A"/>
    <w:rsid w:val="0051586F"/>
    <w:rsid w:val="00520862"/>
    <w:rsid w:val="00523B32"/>
    <w:rsid w:val="00524C27"/>
    <w:rsid w:val="00525F58"/>
    <w:rsid w:val="00525FA4"/>
    <w:rsid w:val="005416E1"/>
    <w:rsid w:val="0054723F"/>
    <w:rsid w:val="00556BCC"/>
    <w:rsid w:val="00567A34"/>
    <w:rsid w:val="00582477"/>
    <w:rsid w:val="00583FA8"/>
    <w:rsid w:val="00585CAE"/>
    <w:rsid w:val="005935B2"/>
    <w:rsid w:val="005A072B"/>
    <w:rsid w:val="005A3010"/>
    <w:rsid w:val="005B62DB"/>
    <w:rsid w:val="005C2FA4"/>
    <w:rsid w:val="005E615D"/>
    <w:rsid w:val="005E64B4"/>
    <w:rsid w:val="005F27BF"/>
    <w:rsid w:val="005F4132"/>
    <w:rsid w:val="005F4DF0"/>
    <w:rsid w:val="00604F65"/>
    <w:rsid w:val="006077FD"/>
    <w:rsid w:val="00611C67"/>
    <w:rsid w:val="00640287"/>
    <w:rsid w:val="006426CD"/>
    <w:rsid w:val="00654C53"/>
    <w:rsid w:val="006551E6"/>
    <w:rsid w:val="006654AD"/>
    <w:rsid w:val="00674324"/>
    <w:rsid w:val="006838D7"/>
    <w:rsid w:val="006932D8"/>
    <w:rsid w:val="006A04D6"/>
    <w:rsid w:val="006A50B8"/>
    <w:rsid w:val="006C53EA"/>
    <w:rsid w:val="006C7470"/>
    <w:rsid w:val="006C7871"/>
    <w:rsid w:val="006E722C"/>
    <w:rsid w:val="007116E9"/>
    <w:rsid w:val="00726857"/>
    <w:rsid w:val="00730DB1"/>
    <w:rsid w:val="00737D46"/>
    <w:rsid w:val="00754FC4"/>
    <w:rsid w:val="00756DAA"/>
    <w:rsid w:val="007718F6"/>
    <w:rsid w:val="007841EE"/>
    <w:rsid w:val="00784CB0"/>
    <w:rsid w:val="00790185"/>
    <w:rsid w:val="007A5465"/>
    <w:rsid w:val="007A7921"/>
    <w:rsid w:val="007B0CA7"/>
    <w:rsid w:val="007D150E"/>
    <w:rsid w:val="007D35BB"/>
    <w:rsid w:val="007D3958"/>
    <w:rsid w:val="007E0243"/>
    <w:rsid w:val="007E1C8E"/>
    <w:rsid w:val="007F11CA"/>
    <w:rsid w:val="007F3052"/>
    <w:rsid w:val="00806172"/>
    <w:rsid w:val="00806684"/>
    <w:rsid w:val="0083400A"/>
    <w:rsid w:val="00840CFA"/>
    <w:rsid w:val="00842C0C"/>
    <w:rsid w:val="00846A47"/>
    <w:rsid w:val="00861C7F"/>
    <w:rsid w:val="0086314C"/>
    <w:rsid w:val="00864308"/>
    <w:rsid w:val="008760A2"/>
    <w:rsid w:val="0087650B"/>
    <w:rsid w:val="008826A5"/>
    <w:rsid w:val="00883F8B"/>
    <w:rsid w:val="0088545D"/>
    <w:rsid w:val="00891CE4"/>
    <w:rsid w:val="008A3BED"/>
    <w:rsid w:val="008B4BF7"/>
    <w:rsid w:val="008D1336"/>
    <w:rsid w:val="008E765D"/>
    <w:rsid w:val="008F5313"/>
    <w:rsid w:val="0090042A"/>
    <w:rsid w:val="00900E4E"/>
    <w:rsid w:val="00912A63"/>
    <w:rsid w:val="00912DB3"/>
    <w:rsid w:val="00916162"/>
    <w:rsid w:val="00916FB4"/>
    <w:rsid w:val="00920952"/>
    <w:rsid w:val="00925C43"/>
    <w:rsid w:val="00930135"/>
    <w:rsid w:val="00930B33"/>
    <w:rsid w:val="00930FB5"/>
    <w:rsid w:val="00934316"/>
    <w:rsid w:val="009437AC"/>
    <w:rsid w:val="00945FC3"/>
    <w:rsid w:val="0096227B"/>
    <w:rsid w:val="009652BF"/>
    <w:rsid w:val="00970998"/>
    <w:rsid w:val="009757D9"/>
    <w:rsid w:val="009A2194"/>
    <w:rsid w:val="009B748F"/>
    <w:rsid w:val="009C2B42"/>
    <w:rsid w:val="009D1DFD"/>
    <w:rsid w:val="009D4883"/>
    <w:rsid w:val="009F6B45"/>
    <w:rsid w:val="009F7C3F"/>
    <w:rsid w:val="00A007A9"/>
    <w:rsid w:val="00A01378"/>
    <w:rsid w:val="00A0369B"/>
    <w:rsid w:val="00A07D6F"/>
    <w:rsid w:val="00A2243F"/>
    <w:rsid w:val="00A2761F"/>
    <w:rsid w:val="00A378E9"/>
    <w:rsid w:val="00A5248D"/>
    <w:rsid w:val="00A56FA0"/>
    <w:rsid w:val="00A61EE0"/>
    <w:rsid w:val="00A7195C"/>
    <w:rsid w:val="00A915EB"/>
    <w:rsid w:val="00AA04AB"/>
    <w:rsid w:val="00AA78D5"/>
    <w:rsid w:val="00AB1F47"/>
    <w:rsid w:val="00AB40D7"/>
    <w:rsid w:val="00AB6138"/>
    <w:rsid w:val="00AC04C4"/>
    <w:rsid w:val="00AD621B"/>
    <w:rsid w:val="00B07A6E"/>
    <w:rsid w:val="00B24046"/>
    <w:rsid w:val="00B249A7"/>
    <w:rsid w:val="00B342A3"/>
    <w:rsid w:val="00B34AE7"/>
    <w:rsid w:val="00B4236F"/>
    <w:rsid w:val="00B546DF"/>
    <w:rsid w:val="00B84B38"/>
    <w:rsid w:val="00B95C35"/>
    <w:rsid w:val="00B95C6C"/>
    <w:rsid w:val="00BA6229"/>
    <w:rsid w:val="00BB59B1"/>
    <w:rsid w:val="00BC067C"/>
    <w:rsid w:val="00BC19E8"/>
    <w:rsid w:val="00BC64FF"/>
    <w:rsid w:val="00BD2618"/>
    <w:rsid w:val="00BD3047"/>
    <w:rsid w:val="00BD7614"/>
    <w:rsid w:val="00BE1D44"/>
    <w:rsid w:val="00BE5FF6"/>
    <w:rsid w:val="00BF1DA9"/>
    <w:rsid w:val="00BF4199"/>
    <w:rsid w:val="00BF5A81"/>
    <w:rsid w:val="00BF62E5"/>
    <w:rsid w:val="00C12238"/>
    <w:rsid w:val="00C235AE"/>
    <w:rsid w:val="00C37C01"/>
    <w:rsid w:val="00C434A4"/>
    <w:rsid w:val="00C5221A"/>
    <w:rsid w:val="00C6298C"/>
    <w:rsid w:val="00C65035"/>
    <w:rsid w:val="00C66FEB"/>
    <w:rsid w:val="00C714D6"/>
    <w:rsid w:val="00C93AC2"/>
    <w:rsid w:val="00CA7CED"/>
    <w:rsid w:val="00CB5FD0"/>
    <w:rsid w:val="00CD08E6"/>
    <w:rsid w:val="00CE4076"/>
    <w:rsid w:val="00CF1A9D"/>
    <w:rsid w:val="00D0441C"/>
    <w:rsid w:val="00D05554"/>
    <w:rsid w:val="00D109AE"/>
    <w:rsid w:val="00D15F85"/>
    <w:rsid w:val="00D20637"/>
    <w:rsid w:val="00D2285D"/>
    <w:rsid w:val="00D259DF"/>
    <w:rsid w:val="00D31328"/>
    <w:rsid w:val="00D32D98"/>
    <w:rsid w:val="00D37B79"/>
    <w:rsid w:val="00D45552"/>
    <w:rsid w:val="00D4573A"/>
    <w:rsid w:val="00D51281"/>
    <w:rsid w:val="00D5219D"/>
    <w:rsid w:val="00D54836"/>
    <w:rsid w:val="00D60143"/>
    <w:rsid w:val="00D7342F"/>
    <w:rsid w:val="00D76931"/>
    <w:rsid w:val="00D77C06"/>
    <w:rsid w:val="00D80ABF"/>
    <w:rsid w:val="00D875F8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DF7D79"/>
    <w:rsid w:val="00E00E78"/>
    <w:rsid w:val="00E0273C"/>
    <w:rsid w:val="00E1487C"/>
    <w:rsid w:val="00E14C0B"/>
    <w:rsid w:val="00E15DF5"/>
    <w:rsid w:val="00E16A3C"/>
    <w:rsid w:val="00E237E3"/>
    <w:rsid w:val="00E36512"/>
    <w:rsid w:val="00E4317E"/>
    <w:rsid w:val="00E67434"/>
    <w:rsid w:val="00E70AAE"/>
    <w:rsid w:val="00E70C35"/>
    <w:rsid w:val="00E7619A"/>
    <w:rsid w:val="00EA0F21"/>
    <w:rsid w:val="00EB0326"/>
    <w:rsid w:val="00EB0AF1"/>
    <w:rsid w:val="00EB1240"/>
    <w:rsid w:val="00EB262A"/>
    <w:rsid w:val="00EB30A0"/>
    <w:rsid w:val="00ED10FD"/>
    <w:rsid w:val="00ED3D7E"/>
    <w:rsid w:val="00ED4639"/>
    <w:rsid w:val="00ED510A"/>
    <w:rsid w:val="00EE1B37"/>
    <w:rsid w:val="00EE20F4"/>
    <w:rsid w:val="00EE39B3"/>
    <w:rsid w:val="00EF3111"/>
    <w:rsid w:val="00EF5765"/>
    <w:rsid w:val="00EF6DD8"/>
    <w:rsid w:val="00F21CE6"/>
    <w:rsid w:val="00F4146F"/>
    <w:rsid w:val="00F4408C"/>
    <w:rsid w:val="00F45069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A680C"/>
    <w:rsid w:val="00FB5B8D"/>
    <w:rsid w:val="00FB75D4"/>
    <w:rsid w:val="00FC3986"/>
    <w:rsid w:val="00FC7ED6"/>
    <w:rsid w:val="00FD5695"/>
    <w:rsid w:val="00FE3EEC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9EC6-74CD-420A-9CD2-E52ABC952E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956D9A-2701-4113-B5F9-F6530D5F3D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2EA5C-30DE-4681-8EDA-036869B48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80CF28-ECB9-41A2-A222-E5404BD72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2657</Words>
  <Characters>15679</Characters>
  <Application>Microsoft Office Word</Application>
  <DocSecurity>4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Mašterová Hana</cp:lastModifiedBy>
  <cp:revision>2</cp:revision>
  <cp:lastPrinted>2025-10-22T10:57:00Z</cp:lastPrinted>
  <dcterms:created xsi:type="dcterms:W3CDTF">2025-11-11T12:15:00Z</dcterms:created>
  <dcterms:modified xsi:type="dcterms:W3CDTF">2025-11-11T12:15:00Z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2024-09-26T08:36:33Z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151237eb-0350-4f2c-b7b4-be78a72fc4ba</vt:lpwstr>
  </property>
  <property fmtid="{D5CDD505-2E9C-101B-9397-08002B2CF9AE}" pid="8" name="MSIP_Label_c93be096-951f-40f1-830d-c27b8a8c2c27_ContentBits">
    <vt:lpwstr>0</vt:lpwstr>
  </property>
</Properties>
</file>