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80"/>
        <w:gridCol w:w="980"/>
        <w:gridCol w:w="20"/>
        <w:gridCol w:w="20"/>
        <w:gridCol w:w="40"/>
        <w:gridCol w:w="20"/>
        <w:gridCol w:w="20"/>
        <w:gridCol w:w="320"/>
        <w:gridCol w:w="1380"/>
        <w:gridCol w:w="60"/>
        <w:gridCol w:w="20"/>
        <w:gridCol w:w="60"/>
        <w:gridCol w:w="40"/>
        <w:gridCol w:w="840"/>
        <w:gridCol w:w="1380"/>
        <w:gridCol w:w="400"/>
        <w:gridCol w:w="280"/>
        <w:gridCol w:w="240"/>
        <w:gridCol w:w="80"/>
        <w:gridCol w:w="20"/>
        <w:gridCol w:w="80"/>
        <w:gridCol w:w="240"/>
        <w:gridCol w:w="620"/>
        <w:gridCol w:w="20"/>
        <w:gridCol w:w="520"/>
        <w:gridCol w:w="360"/>
        <w:gridCol w:w="140"/>
        <w:gridCol w:w="300"/>
        <w:gridCol w:w="60"/>
        <w:gridCol w:w="860"/>
        <w:gridCol w:w="20"/>
        <w:gridCol w:w="60"/>
        <w:gridCol w:w="1340"/>
        <w:gridCol w:w="40"/>
        <w:gridCol w:w="100"/>
        <w:gridCol w:w="40"/>
        <w:gridCol w:w="20"/>
        <w:gridCol w:w="6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Page:  1 of </w:t>
            </w: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67159267" name="Picture">
</wp:docPr>
                  <a:graphic>
                    <a:graphicData uri="http://schemas.openxmlformats.org/drawingml/2006/picture">
                      <pic:pic>
                        <pic:nvPicPr>
                          <pic:cNvPr id="367159267" name="Picture"/>
                          <pic:cNvPicPr/>
                        </pic:nvPicPr>
                        <pic:blipFill>
                          <a:blip r:embed="img_0_0_0.jpg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Order No.: 0025030080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Customer: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AVČR, v.v.i.</w:t>
              <w:br/>
              <w:t xml:space="preserve">Husinec-Řež 1001</w:t>
              <w:br/>
              <w:t xml:space="preserve">250 68 ŘEŽ U PRAHY</w:t>
              <w:br/>
              <w:t xml:space="preserve">CZECH REPUBLIC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31900"/>
                  <wp:effectExtent l="0" t="0" r="0" b="0"/>
                  <wp:wrapNone/>
                  <wp:docPr id="1367424901" name="Picture">
</wp:docPr>
                  <a:graphic>
                    <a:graphicData uri="http://schemas.openxmlformats.org/drawingml/2006/picture">
                      <pic:pic>
                        <pic:nvPicPr>
                          <pic:cNvPr id="1367424901" name="Picture"/>
                          <pic:cNvPicPr/>
                        </pic:nvPicPr>
                        <pic:blipFill>
                          <a:blip r:embed="img_0_0_28"/>
                          <a:srcRect/>
                          <a:stretch>
                            <a:fillRect l="2352" t="0" r="2352" b="0"/>
                          </a:stretch>
                        </pic:blipFill>
                        <pic:spPr>
                          <a:xfrm rot="0">
                            <a:off x="0" y="0"/>
                            <a:ext cx="10795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Contract:</w:t>
            </w: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25030080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Acc. No.: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Bank: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Supplier</w:t>
            </w:r>
          </w:p>
        </w:tc>
        <w:tc>
          <w:tcPr>
            <w:gridSpan w:val="14"/>
            <w:vMerge w:val="restart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BLD Pharmatech GmbH.</w:t>
              <w:br/>
              <w:t xml:space="preserve">Trippstadter Str. 110</w:t>
              <w:br/>
              <w:t xml:space="preserve">D-67663 Kaiserslautern</w:t>
              <w:br/>
              <w:t xml:space="preserve">GERMANY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VAT No.: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ID No.: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left="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Consignee</w:t>
            </w:r>
          </w:p>
        </w:tc>
        <w:tc>
          <w:tcPr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Müllerová Jana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ID No.:</w:t>
            </w:r>
          </w:p>
        </w:tc>
        <w:tc>
          <w:tcPr>
            <w:gridSpan w:val="4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</w:t>
            </w:r>
          </w:p>
        </w:tc>
        <w:tc>
          <w:tcPr>
            <w:gridSpan w:val="2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VAT No.: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DE328225109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Tel.: 775116175, e-mail: objednavky@iic.cas.cz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Valid until:</w:t>
            </w:r>
          </w:p>
        </w:tc>
        <w:tc>
          <w:tcPr>
            <w:gridSpan w:val="4"/>
            <w:vMerge w:val="restart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Date of delivery:</w:t>
            </w:r>
          </w:p>
        </w:tc>
        <w:tc>
          <w:tcPr>
            <w:gridSpan w:val="4"/>
            <w:vMerge w:val="restart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21.11.2025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Method of payment: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Wire Transfer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Shipping address:</w:t>
            </w:r>
          </w:p>
        </w:tc>
        <w:tc>
          <w:tcPr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Institute of Inorganic Chemistry of the Czech Academy of Sciences, Husinec - Rez 1001, Building 273, 250 68  Husinec - Rez, Czech Republic</w:t>
            </w: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Date of payment: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Invoice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Mode of transport:</w:t>
            </w: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DHL, TNT, Fedex,....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Terms of delivery:</w:t>
            </w: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 w:righ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Deliver: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ID: 24578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Item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Reference number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Quantity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Unit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Unit price excl. VAT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Amount excl. VAT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BD18300  Tetrakis(triphenylphosphine)palladium,  CAS:14221-01-3, 98%, 25 g     (230866)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pcs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300,00 EUR</w:t>
            </w:r>
          </w:p>
        </w:tc>
        <w:tc>
          <w:tcPr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600,00 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BD19038  (1S,2S,3R,5S)-2,6,6 Trimethylbicyclo[3.1.1]heptane-2,3-diol, CAS: 18680-27-8, 97 %, 25 g   (230866)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pcs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25,00 EUR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25,00 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BD27189  2-Bromopyridine, CAS: 109-04-6, 99%, 100 g  (230866)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pcs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28,00 EUR</w:t>
            </w:r>
          </w:p>
        </w:tc>
        <w:tc>
          <w:tcPr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28,00 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BD64358  2,2-Dibromo-1,1-binaphthyl, CAS: 74866-28-7, 98 %, 1 g   (230562+230866)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2,00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pcs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65,00 EUR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130,00 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BD120710  Chloro(1,5-cyclooctadiene)iridium(I) dimer, CAS: 12112-67-3, 97%, 5 g  (230562)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pcs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860,00 EUR</w:t>
            </w:r>
          </w:p>
        </w:tc>
        <w:tc>
          <w:tcPr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860,00 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BD120711  (1,5-Cyclooctadiene)rhodium chloride dimer, CAS: 12092-47-6, 98%, 1  g     (230866)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pcs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270,00 EUR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270,00 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BD139888  3,7-Bis(dimethylamino)phenothiazin-5-ium chloride, CAS: 61-73-4, 95 %, 25g  (230866)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pcs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29,00 EUR</w:t>
            </w:r>
          </w:p>
        </w:tc>
        <w:tc>
          <w:tcPr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29,00 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BD150376  Dirhodium tetraacetate, CAS: 15956-28-2, 98 %, 1 g  (230866)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pcs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265,00 EUR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265,00 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BD153339  Tetraethyl methylenebis(phosphonate), CAS: 1660-94-2, 98 %, 100 g  (230866)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pcs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80,00 EUR</w:t>
            </w:r>
          </w:p>
        </w:tc>
        <w:tc>
          <w:tcPr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80,00 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BD154067  3,3-Bis(4-hydroxy-5-isopropyl-2-methylphenyl)isobenzofuran-1(3H)-one, CAS: 125-20-2, 96 %, 5 g  (230866)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pcs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10,00 EUR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10,00 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Estimated total price (incl. VAT):</w:t>
            </w:r>
          </w:p>
        </w:tc>
        <w:tc>
          <w:tcPr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b w:val="true"/>
              </w:rPr>
              <w:t xml:space="preserve">2 297,00 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Date of issue: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10.11.2025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Internal data of customer : 742501 \ 120 \ 230866 - Škoch \ 0320   Deník: 3 \ Neinvestice - zahraniční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100"/>
        <w:gridCol w:w="80"/>
        <w:gridCol w:w="8340"/>
        <w:gridCol w:w="1400"/>
        <w:gridCol w:w="40"/>
        <w:gridCol w:w="140"/>
        <w:gridCol w:w="34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Page:  2 of 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Order No.: 0025030080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Issued: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Müllerová Jana</w:t>
              <w:br/>
              <w:t xml:space="preserve">Mob.: 775116175, E-mail: objednavky@iic.cas.cz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</w:t>
            </w:r>
            <w:r>
              <w:rPr>
                <w:rFonts w:ascii="Times New Roman" w:hAnsi="Times New Roman" w:eastAsia="Times New Roman" w:cs="Times New Roman"/>
              </w:rPr>
              <w:t xml:space="preserve">Stamp, signature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Internal data of customer : 742501 \ 120 \ 230866 - Škoch \ 0320   Deník: 3 \ Neinvestice - zahraniční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rFonts w:ascii="Times New Roman" w:hAnsi="Times New Roman" w:eastAsia="Times New Roman" w:cs="Times New Roman"/>
      <w:sz w:val="1"/>
    </w:rPr>
  </w:style>
  <w:style w:type="paragraph" w:styleId="normal1">
    <w:name w:val="normal1"/>
    <w:qFormat/>
    <w:basedOn w:val="default_10"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img_0_0_0.jpg" Type="http://schemas.openxmlformats.org/officeDocument/2006/relationships/image" Target="media/img_0_0_0.jpg"/>
 <Relationship Id="img_0_0_28" Type="http://schemas.openxmlformats.org/officeDocument/2006/relationships/image" Target="media/img_0_0_28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hotfix-6.18.1-SNAPSHOT-2961835b2212865be359a43768fc5fa9b356148c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