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AF4" w:rsidRDefault="00D6769B">
      <w:pPr>
        <w:pStyle w:val="Heading110"/>
        <w:keepNext/>
        <w:keepLines/>
      </w:pPr>
      <w:bookmarkStart w:id="0" w:name="bookmark0"/>
      <w:r>
        <w:rPr>
          <w:rStyle w:val="Heading11"/>
          <w:b/>
          <w:bCs/>
        </w:rPr>
        <w:t>Smlouva o poskytování služeb</w:t>
      </w:r>
      <w:bookmarkEnd w:id="0"/>
      <w:r w:rsidR="0065201C">
        <w:rPr>
          <w:rStyle w:val="Heading11"/>
          <w:b/>
          <w:bCs/>
        </w:rPr>
        <w:t xml:space="preserve"> (SML004340)</w:t>
      </w:r>
    </w:p>
    <w:p w:rsidR="002C7AF4" w:rsidRDefault="00D6769B">
      <w:pPr>
        <w:pStyle w:val="Bodytext10"/>
        <w:spacing w:after="560"/>
        <w:jc w:val="center"/>
      </w:pPr>
      <w:r>
        <w:rPr>
          <w:rStyle w:val="Bodytext1"/>
        </w:rPr>
        <w:t>(dále jen „smlouva“)</w:t>
      </w:r>
    </w:p>
    <w:p w:rsidR="002C7AF4" w:rsidRDefault="00D6769B">
      <w:pPr>
        <w:pStyle w:val="Heading510"/>
        <w:keepNext/>
        <w:keepLines/>
        <w:jc w:val="both"/>
      </w:pPr>
      <w:bookmarkStart w:id="1" w:name="bookmark2"/>
      <w:r>
        <w:rPr>
          <w:rStyle w:val="Heading51"/>
          <w:b/>
          <w:bCs/>
          <w:u w:val="none"/>
        </w:rPr>
        <w:t>Krajská nemocnice T. Bati, a. s.</w:t>
      </w:r>
      <w:bookmarkEnd w:id="1"/>
    </w:p>
    <w:p w:rsidR="002C7AF4" w:rsidRDefault="00D6769B">
      <w:pPr>
        <w:pStyle w:val="Bodytext10"/>
        <w:spacing w:after="0"/>
        <w:jc w:val="both"/>
      </w:pPr>
      <w:r>
        <w:rPr>
          <w:rStyle w:val="Bodytext1"/>
        </w:rPr>
        <w:t>sídlo: Havlíčkovo nábřeží 600, 762 75 Zlín</w:t>
      </w:r>
    </w:p>
    <w:p w:rsidR="002C7AF4" w:rsidRDefault="00D6769B">
      <w:pPr>
        <w:pStyle w:val="Bodytext10"/>
        <w:spacing w:after="0"/>
        <w:jc w:val="both"/>
      </w:pPr>
      <w:r>
        <w:rPr>
          <w:rStyle w:val="Bodytext1"/>
        </w:rPr>
        <w:t>IČ: 27661989, DIČ: CZ27661989</w:t>
      </w:r>
    </w:p>
    <w:p w:rsidR="002C7AF4" w:rsidRDefault="00D6769B">
      <w:pPr>
        <w:pStyle w:val="Bodytext10"/>
        <w:spacing w:after="0"/>
        <w:jc w:val="both"/>
      </w:pPr>
      <w:r>
        <w:rPr>
          <w:rStyle w:val="Bodytext1"/>
        </w:rPr>
        <w:t>zapsána v obchodním rejstříku u Krajského soudu v Brně oddíl B., vložka 4437 zastupující Ing. Jan Hrdý, předseda představenstva</w:t>
      </w:r>
    </w:p>
    <w:p w:rsidR="002C7AF4" w:rsidRDefault="00D6769B">
      <w:pPr>
        <w:pStyle w:val="Bodytext10"/>
        <w:spacing w:after="0"/>
        <w:jc w:val="both"/>
      </w:pPr>
      <w:r>
        <w:rPr>
          <w:rStyle w:val="Bodytext1"/>
        </w:rPr>
        <w:t>a Ing. Martin Déva, člen představenstva</w:t>
      </w:r>
    </w:p>
    <w:p w:rsidR="002C7AF4" w:rsidRDefault="00D6769B">
      <w:pPr>
        <w:pStyle w:val="Bodytext10"/>
        <w:spacing w:after="0"/>
        <w:jc w:val="both"/>
      </w:pPr>
      <w:r>
        <w:rPr>
          <w:rStyle w:val="Bodytext1"/>
        </w:rPr>
        <w:t>bankovní spojení: ČSOB</w:t>
      </w:r>
    </w:p>
    <w:p w:rsidR="002C7AF4" w:rsidRDefault="00D6769B">
      <w:pPr>
        <w:pStyle w:val="Bodytext10"/>
        <w:spacing w:after="0"/>
        <w:jc w:val="both"/>
      </w:pPr>
      <w:r>
        <w:rPr>
          <w:rStyle w:val="Bodytext1"/>
        </w:rPr>
        <w:t>číslo účtu: 600800300/0300</w:t>
      </w:r>
    </w:p>
    <w:p w:rsidR="002C7AF4" w:rsidRDefault="00D6769B">
      <w:pPr>
        <w:pStyle w:val="Bodytext10"/>
        <w:spacing w:after="700"/>
        <w:jc w:val="both"/>
      </w:pPr>
      <w:r>
        <w:rPr>
          <w:rStyle w:val="Bodytext1"/>
        </w:rPr>
        <w:t xml:space="preserve">(dále jen </w:t>
      </w:r>
      <w:r>
        <w:rPr>
          <w:rStyle w:val="Bodytext1"/>
          <w:b/>
          <w:bCs/>
        </w:rPr>
        <w:t>„objednatel“</w:t>
      </w:r>
      <w:r>
        <w:rPr>
          <w:rStyle w:val="Bodytext1"/>
        </w:rPr>
        <w:t>)</w:t>
      </w:r>
    </w:p>
    <w:p w:rsidR="002C7AF4" w:rsidRDefault="00D6769B">
      <w:pPr>
        <w:pStyle w:val="Heading510"/>
        <w:keepNext/>
        <w:keepLines/>
        <w:jc w:val="both"/>
      </w:pPr>
      <w:bookmarkStart w:id="2" w:name="bookmark4"/>
      <w:r>
        <w:rPr>
          <w:rStyle w:val="Heading51"/>
          <w:b/>
          <w:bCs/>
          <w:u w:val="none"/>
        </w:rPr>
        <w:t>Uherskohradišťská nemocnice a.s.</w:t>
      </w:r>
      <w:bookmarkEnd w:id="2"/>
    </w:p>
    <w:p w:rsidR="002C7AF4" w:rsidRDefault="00D6769B">
      <w:pPr>
        <w:pStyle w:val="Bodytext10"/>
        <w:spacing w:after="0"/>
        <w:jc w:val="both"/>
      </w:pPr>
      <w:r>
        <w:rPr>
          <w:rStyle w:val="Bodytext1"/>
        </w:rPr>
        <w:t>J. E. Purkyně 365, 686 68 Uherské Hradiště</w:t>
      </w:r>
    </w:p>
    <w:p w:rsidR="002C7AF4" w:rsidRDefault="00D6769B">
      <w:pPr>
        <w:pStyle w:val="Bodytext10"/>
        <w:spacing w:after="0"/>
        <w:jc w:val="both"/>
      </w:pPr>
      <w:r>
        <w:rPr>
          <w:rStyle w:val="Bodytext1"/>
        </w:rPr>
        <w:t>zápis v OR pod spis. zn.: B 4420 u KS v Brně</w:t>
      </w:r>
    </w:p>
    <w:p w:rsidR="002C7AF4" w:rsidRDefault="00D6769B">
      <w:pPr>
        <w:pStyle w:val="Bodytext10"/>
        <w:spacing w:after="0"/>
        <w:jc w:val="both"/>
      </w:pPr>
      <w:r>
        <w:rPr>
          <w:rStyle w:val="Bodytext1"/>
        </w:rPr>
        <w:t>IČO: 27660915</w:t>
      </w:r>
    </w:p>
    <w:p w:rsidR="002C7AF4" w:rsidRDefault="00D6769B">
      <w:pPr>
        <w:pStyle w:val="Bodytext10"/>
        <w:spacing w:after="0"/>
        <w:jc w:val="both"/>
      </w:pPr>
      <w:r>
        <w:rPr>
          <w:rStyle w:val="Bodytext1"/>
        </w:rPr>
        <w:t>DIČ: CZ27660915</w:t>
      </w:r>
    </w:p>
    <w:p w:rsidR="002C7AF4" w:rsidRDefault="00D6769B">
      <w:pPr>
        <w:pStyle w:val="Bodytext10"/>
        <w:spacing w:after="0"/>
        <w:jc w:val="both"/>
      </w:pPr>
      <w:r>
        <w:rPr>
          <w:rStyle w:val="Bodytext1"/>
        </w:rPr>
        <w:t>zastupuje: MUDr. Petr Sládek, předseda představenstva</w:t>
      </w:r>
    </w:p>
    <w:p w:rsidR="002C7AF4" w:rsidRDefault="00D6769B">
      <w:pPr>
        <w:pStyle w:val="Bodytext10"/>
        <w:spacing w:after="0"/>
        <w:jc w:val="both"/>
      </w:pPr>
      <w:r>
        <w:rPr>
          <w:rStyle w:val="Bodytext1"/>
        </w:rPr>
        <w:t>bankovní spojení: ČSOB</w:t>
      </w:r>
    </w:p>
    <w:p w:rsidR="002C7AF4" w:rsidRDefault="00D6769B">
      <w:pPr>
        <w:pStyle w:val="Bodytext10"/>
        <w:spacing w:after="0"/>
        <w:jc w:val="both"/>
      </w:pPr>
      <w:r>
        <w:rPr>
          <w:rStyle w:val="Bodytext1"/>
        </w:rPr>
        <w:t>číslo účtu: 249980999/0300</w:t>
      </w:r>
    </w:p>
    <w:p w:rsidR="002C7AF4" w:rsidRDefault="00D6769B">
      <w:pPr>
        <w:pStyle w:val="Bodytext10"/>
        <w:spacing w:after="460"/>
        <w:jc w:val="both"/>
      </w:pPr>
      <w:r>
        <w:rPr>
          <w:rStyle w:val="Bodytext1"/>
        </w:rPr>
        <w:t xml:space="preserve">(dále jen </w:t>
      </w:r>
      <w:r>
        <w:rPr>
          <w:rStyle w:val="Bodytext1"/>
          <w:b/>
          <w:bCs/>
        </w:rPr>
        <w:t>„zhotovitel“</w:t>
      </w:r>
      <w:r>
        <w:rPr>
          <w:rStyle w:val="Bodytext1"/>
        </w:rPr>
        <w:t>)</w:t>
      </w:r>
    </w:p>
    <w:p w:rsidR="002C7AF4" w:rsidRDefault="00D6769B">
      <w:pPr>
        <w:pStyle w:val="Bodytext10"/>
        <w:spacing w:after="460"/>
        <w:jc w:val="both"/>
      </w:pPr>
      <w:r>
        <w:rPr>
          <w:rStyle w:val="Bodytext1"/>
        </w:rPr>
        <w:t>dle vlastního prohlášení k právnímu jednání způsobilí, uzavírají dále uvedeného dne, měsíce a roku tuto smlouvu:</w:t>
      </w:r>
    </w:p>
    <w:p w:rsidR="002C7AF4" w:rsidRDefault="00D6769B">
      <w:pPr>
        <w:pStyle w:val="Heading510"/>
        <w:keepNext/>
        <w:keepLines/>
      </w:pPr>
      <w:bookmarkStart w:id="3" w:name="bookmark6"/>
      <w:r>
        <w:rPr>
          <w:rStyle w:val="Heading51"/>
          <w:b/>
          <w:bCs/>
          <w:u w:val="none"/>
        </w:rPr>
        <w:t>Článek I.</w:t>
      </w:r>
      <w:bookmarkEnd w:id="3"/>
    </w:p>
    <w:p w:rsidR="002C7AF4" w:rsidRDefault="00D6769B">
      <w:pPr>
        <w:pStyle w:val="Heading510"/>
        <w:keepNext/>
        <w:keepLines/>
        <w:spacing w:after="120"/>
      </w:pPr>
      <w:r>
        <w:rPr>
          <w:rStyle w:val="Heading51"/>
          <w:b/>
          <w:bCs/>
        </w:rPr>
        <w:t>Předmět smlouvy</w:t>
      </w:r>
    </w:p>
    <w:p w:rsidR="002C7AF4" w:rsidRDefault="00D6769B">
      <w:pPr>
        <w:pStyle w:val="Bodytext10"/>
        <w:numPr>
          <w:ilvl w:val="1"/>
          <w:numId w:val="1"/>
        </w:numPr>
        <w:tabs>
          <w:tab w:val="left" w:pos="553"/>
        </w:tabs>
        <w:spacing w:after="120"/>
        <w:ind w:left="580" w:hanging="580"/>
        <w:jc w:val="both"/>
      </w:pPr>
      <w:r>
        <w:rPr>
          <w:rStyle w:val="Bodytext1"/>
        </w:rPr>
        <w:t>Předmětem této smlouvy je závazek zhotovitele zajišťovat pro objednatele převzetí a odvoz nebezpečného odpadu za účelem jeho spálení (dále jen „Služba“) a závazek objednatele za řádně poskytovanou Službu hradit zhotoviteli sjednanou cenu.</w:t>
      </w:r>
    </w:p>
    <w:p w:rsidR="002C7AF4" w:rsidRDefault="00D6769B">
      <w:pPr>
        <w:pStyle w:val="Bodytext10"/>
        <w:numPr>
          <w:ilvl w:val="1"/>
          <w:numId w:val="1"/>
        </w:numPr>
        <w:tabs>
          <w:tab w:val="left" w:pos="553"/>
        </w:tabs>
        <w:spacing w:after="0"/>
        <w:jc w:val="both"/>
      </w:pPr>
      <w:r>
        <w:rPr>
          <w:rStyle w:val="Bodytext1"/>
        </w:rPr>
        <w:t>Práva a povinnosti smluvních stran a specifické podmínky, které se přímo váží ke Službě, včetně</w:t>
      </w:r>
    </w:p>
    <w:p w:rsidR="002C7AF4" w:rsidRDefault="00D6769B">
      <w:pPr>
        <w:pStyle w:val="Bodytext10"/>
        <w:spacing w:after="120"/>
        <w:ind w:firstLine="580"/>
        <w:jc w:val="both"/>
      </w:pPr>
      <w:r>
        <w:rPr>
          <w:rStyle w:val="Bodytext1"/>
        </w:rPr>
        <w:t xml:space="preserve">cenových ujednání, jsou pak podrobně </w:t>
      </w:r>
      <w:proofErr w:type="gramStart"/>
      <w:r>
        <w:rPr>
          <w:rStyle w:val="Bodytext1"/>
        </w:rPr>
        <w:t>upraveny</w:t>
      </w:r>
      <w:proofErr w:type="gramEnd"/>
      <w:r>
        <w:rPr>
          <w:rStyle w:val="Bodytext1"/>
        </w:rPr>
        <w:t xml:space="preserve"> dále v této smlouvě.</w:t>
      </w:r>
    </w:p>
    <w:p w:rsidR="002C7AF4" w:rsidRDefault="00D6769B">
      <w:pPr>
        <w:pStyle w:val="Bodytext10"/>
        <w:numPr>
          <w:ilvl w:val="1"/>
          <w:numId w:val="1"/>
        </w:numPr>
        <w:tabs>
          <w:tab w:val="left" w:pos="553"/>
        </w:tabs>
        <w:spacing w:after="120"/>
        <w:ind w:left="580" w:hanging="580"/>
        <w:jc w:val="both"/>
      </w:pPr>
      <w:r>
        <w:rPr>
          <w:rStyle w:val="Bodytext1"/>
        </w:rPr>
        <w:t>Účelem této smlouvy je stanovení komplexní úpravy oboustranně závazných podmínek poskytování Služby.</w:t>
      </w:r>
    </w:p>
    <w:p w:rsidR="002C7AF4" w:rsidRDefault="00D6769B">
      <w:pPr>
        <w:pStyle w:val="Bodytext10"/>
        <w:numPr>
          <w:ilvl w:val="1"/>
          <w:numId w:val="1"/>
        </w:numPr>
        <w:tabs>
          <w:tab w:val="left" w:pos="553"/>
        </w:tabs>
        <w:spacing w:after="120"/>
        <w:ind w:left="580" w:hanging="580"/>
        <w:jc w:val="both"/>
      </w:pPr>
      <w:r>
        <w:rPr>
          <w:rStyle w:val="Bodytext1"/>
        </w:rPr>
        <w:t>Smluvní strany se dohodly, že veškerá předsmluvní ujednání, která během vyjednávání o uzavření této smlouvy vznikla za účelem uzavření této smlouvy a která mezi sebou uzavřely smluvní strany před nabytím účinnosti této smlouvy, pozbývají účinností této smlouvy platnosti.</w:t>
      </w:r>
    </w:p>
    <w:p w:rsidR="002C7AF4" w:rsidRDefault="00D6769B">
      <w:pPr>
        <w:pStyle w:val="Bodytext10"/>
        <w:numPr>
          <w:ilvl w:val="1"/>
          <w:numId w:val="1"/>
        </w:numPr>
        <w:tabs>
          <w:tab w:val="left" w:pos="553"/>
        </w:tabs>
        <w:spacing w:after="120"/>
        <w:ind w:left="580" w:hanging="580"/>
        <w:jc w:val="both"/>
      </w:pPr>
      <w:r>
        <w:rPr>
          <w:rStyle w:val="Bodytext1"/>
        </w:rPr>
        <w:t>Smluvní strany konstatují, že činnosti dle této smlouvy představují horizontální spolupráci ve smyslu § 12 zákona č. 134/2016 Sb., o zadávání veřejných zakázek.</w:t>
      </w:r>
    </w:p>
    <w:p w:rsidR="002C7AF4" w:rsidRDefault="00D6769B">
      <w:pPr>
        <w:pStyle w:val="Bodytext10"/>
        <w:spacing w:after="460"/>
        <w:ind w:left="580"/>
        <w:jc w:val="both"/>
      </w:pPr>
      <w:r>
        <w:rPr>
          <w:rStyle w:val="Bodytext1"/>
        </w:rPr>
        <w:t>Společným cílem horizontální spolupráce je zefektivnění nakládání s nebezpečným odpadem ze zdravotní péče, které oba subjekty produkují. Cílem je optimalizace procesů, snížení provozních nákladů a dosažení lepších ekologických a ekonomických výsledků obou subjektů.</w:t>
      </w:r>
    </w:p>
    <w:p w:rsidR="002C7AF4" w:rsidRDefault="00D6769B">
      <w:pPr>
        <w:pStyle w:val="Heading510"/>
        <w:keepNext/>
        <w:keepLines/>
      </w:pPr>
      <w:bookmarkStart w:id="4" w:name="bookmark9"/>
      <w:r>
        <w:rPr>
          <w:rStyle w:val="Heading51"/>
          <w:b/>
          <w:bCs/>
          <w:u w:val="none"/>
        </w:rPr>
        <w:lastRenderedPageBreak/>
        <w:t>Článek II.</w:t>
      </w:r>
      <w:bookmarkEnd w:id="4"/>
    </w:p>
    <w:p w:rsidR="002C7AF4" w:rsidRDefault="00D6769B">
      <w:pPr>
        <w:pStyle w:val="Heading510"/>
        <w:keepNext/>
        <w:keepLines/>
        <w:spacing w:after="260"/>
      </w:pPr>
      <w:r>
        <w:rPr>
          <w:rStyle w:val="Heading51"/>
          <w:b/>
          <w:bCs/>
        </w:rPr>
        <w:t>Nebezpečný odpad, jeho převzetí, odvoz a likvidace</w:t>
      </w:r>
    </w:p>
    <w:p w:rsidR="002C7AF4" w:rsidRDefault="00D6769B">
      <w:pPr>
        <w:pStyle w:val="Bodytext10"/>
        <w:numPr>
          <w:ilvl w:val="1"/>
          <w:numId w:val="2"/>
        </w:numPr>
        <w:tabs>
          <w:tab w:val="left" w:pos="553"/>
        </w:tabs>
        <w:spacing w:after="180"/>
        <w:ind w:left="580" w:hanging="580"/>
        <w:jc w:val="both"/>
      </w:pPr>
      <w:r>
        <w:rPr>
          <w:rStyle w:val="Bodytext1"/>
        </w:rPr>
        <w:t>Nebezpečným odpadem dle této smlouvy se rozumí odpad, jehož kódy jsou vymezeny v příloze č. 2 této smlouvy (dále jen „Nebezpečný odpad“). V případě změny těchto kódů bude příloha č. 2 aktualizována tak, že bude nahrazena novou přílohou, kterou písemně odsouhlasí kontaktní osoby smluvních stran. Tato nová příloha č. 2 automaticky nahradí přílohu předcházející.</w:t>
      </w:r>
    </w:p>
    <w:p w:rsidR="002C7AF4" w:rsidRDefault="00D6769B">
      <w:pPr>
        <w:pStyle w:val="Bodytext10"/>
        <w:numPr>
          <w:ilvl w:val="1"/>
          <w:numId w:val="2"/>
        </w:numPr>
        <w:tabs>
          <w:tab w:val="left" w:pos="562"/>
        </w:tabs>
        <w:spacing w:after="220"/>
        <w:ind w:left="580" w:hanging="580"/>
        <w:jc w:val="both"/>
      </w:pPr>
      <w:r>
        <w:rPr>
          <w:rStyle w:val="Bodytext1"/>
        </w:rPr>
        <w:t>Objednatel se zavazuje umísťovat Nebezpečný odpad určený k převzetí výhradně do k tomu určených kontejnerů o objemu 770 litrů červené barvy, které jsou ve vlastnictví objednatele. Zhotovitel zajistí a bude na svůj náklad udržovat označení všech kontejnerů objednatele určených k ukládání a přepravě Nebezpečného odpadu identifikátorem (QR nebo čárový kód) a čitelným evidenčním číslem (dále jen „Kontejner“).</w:t>
      </w:r>
    </w:p>
    <w:p w:rsidR="002C7AF4" w:rsidRDefault="00D6769B">
      <w:pPr>
        <w:pStyle w:val="Bodytext10"/>
        <w:numPr>
          <w:ilvl w:val="1"/>
          <w:numId w:val="2"/>
        </w:numPr>
        <w:tabs>
          <w:tab w:val="left" w:pos="562"/>
        </w:tabs>
        <w:spacing w:after="220"/>
        <w:ind w:left="580" w:hanging="580"/>
        <w:jc w:val="both"/>
      </w:pPr>
      <w:r>
        <w:rPr>
          <w:rStyle w:val="Bodytext1"/>
        </w:rPr>
        <w:t>Objednatel před započetím spolupráce zhotoviteli předložil a fyzicky seznámil pracovníky zhotovitele se všemi sběrnými místy v areálu objednatele, kde se Kontejnery nachází. Ze strany objednatele byl předložen a předán jmenný seznam všech sběrných míst v areálu objednatele, včetně orientační mapy areálu objednatele, se zakreslením sběrných míst a počtem Kontejnerů na všech sběrných místech. V případě potřeby změny v umístění sběrných míst či změny počtu Kontejnerů na sběrném místě, oznámí objednatel změnu zhotoviteli (postačí i e-mailem) a zašle aktualizovaný seznam sběrných míst, včetně aktualizované orientační mapy jejich umístění a počtu Kontejnerů na sběrném místě. Při provádění a oznámení výše popsané změny není nutné vyhotovovat jakýkoli dodatek této smlouvy.</w:t>
      </w:r>
    </w:p>
    <w:p w:rsidR="002C7AF4" w:rsidRDefault="00D6769B">
      <w:pPr>
        <w:pStyle w:val="Bodytext10"/>
        <w:numPr>
          <w:ilvl w:val="1"/>
          <w:numId w:val="2"/>
        </w:numPr>
        <w:tabs>
          <w:tab w:val="left" w:pos="562"/>
        </w:tabs>
        <w:spacing w:after="220"/>
        <w:ind w:left="580" w:hanging="580"/>
        <w:jc w:val="both"/>
      </w:pPr>
      <w:r>
        <w:rPr>
          <w:rStyle w:val="Bodytext1"/>
        </w:rPr>
        <w:t>Zhotovitel se zavazuje na vlastní náklad a nebezpečí zajišťovat nakládku, přepravu a vykládku Nebezpečného odpadu v režimu ADR k tomu vhodným vozidlem, a to v každý pracovní den, pokud se smluvní strany nedohodnou jinak, takto:</w:t>
      </w:r>
    </w:p>
    <w:p w:rsidR="002C7AF4" w:rsidRDefault="00D6769B">
      <w:pPr>
        <w:pStyle w:val="Bodytext10"/>
        <w:spacing w:after="0"/>
        <w:ind w:firstLine="720"/>
        <w:jc w:val="both"/>
      </w:pPr>
      <w:r>
        <w:rPr>
          <w:rStyle w:val="Bodytext1"/>
        </w:rPr>
        <w:t>Pravidelné svozy:</w:t>
      </w:r>
    </w:p>
    <w:p w:rsidR="002C7AF4" w:rsidRDefault="00D6769B">
      <w:pPr>
        <w:pStyle w:val="Bodytext10"/>
        <w:numPr>
          <w:ilvl w:val="0"/>
          <w:numId w:val="3"/>
        </w:numPr>
        <w:tabs>
          <w:tab w:val="left" w:pos="718"/>
        </w:tabs>
        <w:spacing w:after="0" w:line="134" w:lineRule="auto"/>
        <w:ind w:firstLine="380"/>
        <w:jc w:val="both"/>
      </w:pPr>
      <w:proofErr w:type="gramStart"/>
      <w:r>
        <w:rPr>
          <w:rStyle w:val="Bodytext1"/>
        </w:rPr>
        <w:t>pondělí – 3</w:t>
      </w:r>
      <w:proofErr w:type="gramEnd"/>
      <w:r>
        <w:rPr>
          <w:rStyle w:val="Bodytext1"/>
        </w:rPr>
        <w:t xml:space="preserve"> přepravy, maximálně celkem 63 kontejnerů</w:t>
      </w:r>
    </w:p>
    <w:p w:rsidR="002C7AF4" w:rsidRDefault="00D6769B">
      <w:pPr>
        <w:pStyle w:val="Bodytext10"/>
        <w:numPr>
          <w:ilvl w:val="0"/>
          <w:numId w:val="3"/>
        </w:numPr>
        <w:tabs>
          <w:tab w:val="left" w:pos="718"/>
        </w:tabs>
        <w:spacing w:after="0" w:line="134" w:lineRule="auto"/>
        <w:ind w:firstLine="380"/>
        <w:jc w:val="both"/>
      </w:pPr>
      <w:r>
        <w:rPr>
          <w:rStyle w:val="Bodytext1"/>
        </w:rPr>
        <w:t xml:space="preserve">úterý až </w:t>
      </w:r>
      <w:proofErr w:type="gramStart"/>
      <w:r>
        <w:rPr>
          <w:rStyle w:val="Bodytext1"/>
        </w:rPr>
        <w:t>pátek – 2</w:t>
      </w:r>
      <w:proofErr w:type="gramEnd"/>
      <w:r>
        <w:rPr>
          <w:rStyle w:val="Bodytext1"/>
        </w:rPr>
        <w:t xml:space="preserve"> přepravy denně, maximálně celkem 42 kontejnerů</w:t>
      </w:r>
    </w:p>
    <w:p w:rsidR="002C7AF4" w:rsidRDefault="00D6769B">
      <w:pPr>
        <w:pStyle w:val="Bodytext10"/>
        <w:numPr>
          <w:ilvl w:val="0"/>
          <w:numId w:val="3"/>
        </w:numPr>
        <w:tabs>
          <w:tab w:val="left" w:pos="718"/>
        </w:tabs>
        <w:spacing w:after="440" w:line="134" w:lineRule="auto"/>
        <w:ind w:firstLine="380"/>
        <w:jc w:val="both"/>
      </w:pPr>
      <w:proofErr w:type="gramStart"/>
      <w:r>
        <w:rPr>
          <w:rStyle w:val="Bodytext1"/>
        </w:rPr>
        <w:t>sobota – 1</w:t>
      </w:r>
      <w:proofErr w:type="gramEnd"/>
      <w:r>
        <w:rPr>
          <w:rStyle w:val="Bodytext1"/>
        </w:rPr>
        <w:t xml:space="preserve"> přeprava denně, maximálně celkem 21 kontejnerů</w:t>
      </w:r>
    </w:p>
    <w:p w:rsidR="002C7AF4" w:rsidRDefault="00D6769B">
      <w:pPr>
        <w:pStyle w:val="Bodytext10"/>
        <w:spacing w:after="220"/>
        <w:ind w:firstLine="720"/>
        <w:jc w:val="both"/>
      </w:pPr>
      <w:r>
        <w:rPr>
          <w:rStyle w:val="Bodytext1"/>
        </w:rPr>
        <w:t>Nepravidelné svozy:</w:t>
      </w:r>
    </w:p>
    <w:p w:rsidR="002C7AF4" w:rsidRDefault="00D6769B">
      <w:pPr>
        <w:pStyle w:val="Bodytext10"/>
        <w:spacing w:after="440"/>
        <w:ind w:left="580"/>
        <w:jc w:val="both"/>
      </w:pPr>
      <w:r>
        <w:rPr>
          <w:rStyle w:val="Bodytext1"/>
        </w:rPr>
        <w:t>Budou řešeny na základě potřeby objednatele, a to na základě e-mailové objednávky odeslané min. 48hod. před požadovaným provedením odvozu současně na všechny e-mailové adresy odpovědných zástupců zhotovitele uvedených v příloze č. 1 této smlouvy.</w:t>
      </w:r>
    </w:p>
    <w:p w:rsidR="002C7AF4" w:rsidRDefault="00D6769B">
      <w:pPr>
        <w:pStyle w:val="Bodytext10"/>
        <w:spacing w:after="0"/>
        <w:ind w:left="580"/>
        <w:jc w:val="both"/>
      </w:pPr>
      <w:r>
        <w:rPr>
          <w:rStyle w:val="Bodytext1"/>
        </w:rPr>
        <w:t>Za každý na sběrném místě naložený Kontejner, zanechá zhotovitel na tomtéž místě Kontejner prázdný a dezinfikovaný pro další použití.</w:t>
      </w:r>
    </w:p>
    <w:p w:rsidR="002C7AF4" w:rsidRDefault="00D6769B">
      <w:pPr>
        <w:pStyle w:val="Bodytext10"/>
        <w:spacing w:after="220"/>
        <w:ind w:left="580"/>
        <w:jc w:val="both"/>
      </w:pPr>
      <w:r>
        <w:rPr>
          <w:rStyle w:val="Bodytext1"/>
        </w:rPr>
        <w:t>Objednatel se zavazuje zajistit označování Kontejnerů určených k odvozu dohodnutým způsobem.</w:t>
      </w:r>
    </w:p>
    <w:p w:rsidR="002C7AF4" w:rsidRDefault="00D6769B">
      <w:pPr>
        <w:pStyle w:val="Bodytext10"/>
        <w:numPr>
          <w:ilvl w:val="1"/>
          <w:numId w:val="2"/>
        </w:numPr>
        <w:tabs>
          <w:tab w:val="left" w:pos="562"/>
        </w:tabs>
        <w:spacing w:after="220"/>
        <w:ind w:left="580" w:hanging="580"/>
        <w:jc w:val="both"/>
      </w:pPr>
      <w:r>
        <w:rPr>
          <w:rStyle w:val="Bodytext1"/>
        </w:rPr>
        <w:t>Před každým odjezdem vozidla s Kontejnery z areálu objednatele je objednatel povinen zajistit, prostřednictvím svého odpadového hospodáře, vystavení ohlašovacího listu přepravy nebezpečných odpadů (OLPNO) a při odjezdu vozidla z areálu objednatele předání tohoto dokladu potvrzeného za objednatele řidiči vozidla. Tuto součinnost zajistí objednatel tak, aby nedocházelo ke zbytečným prodlevám s odjezdem vozidla.</w:t>
      </w:r>
    </w:p>
    <w:p w:rsidR="002C7AF4" w:rsidRDefault="00D6769B">
      <w:pPr>
        <w:pStyle w:val="Bodytext10"/>
        <w:numPr>
          <w:ilvl w:val="1"/>
          <w:numId w:val="2"/>
        </w:numPr>
        <w:tabs>
          <w:tab w:val="left" w:pos="562"/>
          <w:tab w:val="left" w:pos="1402"/>
        </w:tabs>
        <w:spacing w:after="0"/>
        <w:ind w:left="580" w:hanging="580"/>
        <w:jc w:val="both"/>
      </w:pPr>
      <w:r>
        <w:rPr>
          <w:rStyle w:val="Bodytext1"/>
        </w:rPr>
        <w:t>Zhotovitel se zavazuje zajišťovat ohlašovací povinnost přepravy nebezpečných odpadů v souladu s § 78 a §</w:t>
      </w:r>
      <w:r>
        <w:rPr>
          <w:rStyle w:val="Bodytext1"/>
        </w:rPr>
        <w:tab/>
        <w:t>79 zákona č. 541/2020 Sb., o odpadech prostřednictvím Systému evidence přepravy</w:t>
      </w:r>
    </w:p>
    <w:p w:rsidR="002C7AF4" w:rsidRDefault="00D6769B">
      <w:pPr>
        <w:pStyle w:val="Bodytext10"/>
        <w:spacing w:after="220"/>
        <w:ind w:firstLine="580"/>
        <w:jc w:val="both"/>
      </w:pPr>
      <w:r>
        <w:rPr>
          <w:rStyle w:val="Bodytext1"/>
        </w:rPr>
        <w:t>nebezpečných odpadů (SEPNO).</w:t>
      </w:r>
    </w:p>
    <w:p w:rsidR="002C7AF4" w:rsidRDefault="00D6769B">
      <w:pPr>
        <w:pStyle w:val="Bodytext10"/>
        <w:numPr>
          <w:ilvl w:val="1"/>
          <w:numId w:val="2"/>
        </w:numPr>
        <w:tabs>
          <w:tab w:val="left" w:pos="562"/>
        </w:tabs>
        <w:spacing w:after="220"/>
        <w:ind w:left="580" w:hanging="580"/>
        <w:jc w:val="both"/>
      </w:pPr>
      <w:r>
        <w:rPr>
          <w:rStyle w:val="Bodytext1"/>
        </w:rPr>
        <w:t>Objednatel se zavazuje před započetím spolupráce dodat zhotoviteli na všechny druhy Nebezpečného odpadu, které bude vkládat do Kontejnerů, písemnou informaci o odpadu (PIO) a identifikační list nebezpečného odpadu (ILNO).</w:t>
      </w:r>
    </w:p>
    <w:p w:rsidR="002C7AF4" w:rsidRDefault="00D6769B">
      <w:pPr>
        <w:pStyle w:val="Bodytext10"/>
        <w:numPr>
          <w:ilvl w:val="1"/>
          <w:numId w:val="2"/>
        </w:numPr>
        <w:tabs>
          <w:tab w:val="left" w:pos="562"/>
        </w:tabs>
        <w:spacing w:after="220"/>
        <w:ind w:left="580" w:hanging="580"/>
        <w:jc w:val="both"/>
      </w:pPr>
      <w:r>
        <w:rPr>
          <w:rStyle w:val="Bodytext1"/>
        </w:rPr>
        <w:lastRenderedPageBreak/>
        <w:t>Vážení Nebezpečného odpadu při každé přebírce jednotlivých Kontejnerů bude provádět zhotovitel na kalibrované ověřené váze v prostorách skladu spalovny ve svém areálu. Objednatel souhlasí a prohlašuje, že výsledky vážení budou nezpochybnitelným podkladem pro účetní doklady. Informace o celkovém množství převzatého Nebezpečného odpadu a jednotlivých druzích odpadů bude probíhat denně, předáním vážních dokladů ze strany zhotovitele objednateli formou elektronické komunikace.</w:t>
      </w:r>
      <w:r>
        <w:br w:type="page"/>
      </w:r>
    </w:p>
    <w:p w:rsidR="002C7AF4" w:rsidRDefault="00D6769B">
      <w:pPr>
        <w:pStyle w:val="Heading510"/>
        <w:keepNext/>
        <w:keepLines/>
      </w:pPr>
      <w:bookmarkStart w:id="5" w:name="bookmark12"/>
      <w:r>
        <w:rPr>
          <w:rStyle w:val="Heading51"/>
          <w:b/>
          <w:bCs/>
        </w:rPr>
        <w:lastRenderedPageBreak/>
        <w:t>Článek III.</w:t>
      </w:r>
      <w:bookmarkEnd w:id="5"/>
    </w:p>
    <w:p w:rsidR="002C7AF4" w:rsidRDefault="00D6769B">
      <w:pPr>
        <w:pStyle w:val="Heading510"/>
        <w:keepNext/>
        <w:keepLines/>
        <w:spacing w:after="100"/>
      </w:pPr>
      <w:r>
        <w:rPr>
          <w:rStyle w:val="Heading51"/>
          <w:b/>
          <w:bCs/>
        </w:rPr>
        <w:t>Cena a platební podmínky</w:t>
      </w:r>
    </w:p>
    <w:p w:rsidR="002C7AF4" w:rsidRDefault="00D6769B">
      <w:pPr>
        <w:pStyle w:val="Bodytext10"/>
        <w:numPr>
          <w:ilvl w:val="1"/>
          <w:numId w:val="4"/>
        </w:numPr>
        <w:tabs>
          <w:tab w:val="left" w:pos="569"/>
        </w:tabs>
        <w:ind w:left="580" w:hanging="580"/>
        <w:jc w:val="both"/>
      </w:pPr>
      <w:r>
        <w:rPr>
          <w:rStyle w:val="Bodytext1"/>
        </w:rPr>
        <w:t>Účelem vzájemné spolupráce není ekonomický zisk žádné smluvní strany a podmínkou spolupráce je pouze poskytování takových úhrad ze strany objednatele, které kryjí náklady zhotovitele a nepředstavují pro zhotovitele zisk.</w:t>
      </w:r>
    </w:p>
    <w:p w:rsidR="002C7AF4" w:rsidRDefault="00D6769B">
      <w:pPr>
        <w:pStyle w:val="Bodytext10"/>
        <w:numPr>
          <w:ilvl w:val="1"/>
          <w:numId w:val="4"/>
        </w:numPr>
        <w:tabs>
          <w:tab w:val="left" w:pos="569"/>
        </w:tabs>
        <w:ind w:left="580" w:hanging="580"/>
        <w:jc w:val="both"/>
      </w:pPr>
      <w:r>
        <w:rPr>
          <w:rStyle w:val="Bodytext1"/>
        </w:rPr>
        <w:t xml:space="preserve">Cena za poskytování Služby byla mezi smluvními stranami sjednána dohodou jako cena smluvní ve smyslu zákona č. 526/1990 Sb., o cenách, a to ve výši </w:t>
      </w:r>
      <w:proofErr w:type="spellStart"/>
      <w:r w:rsidR="0065201C">
        <w:rPr>
          <w:rStyle w:val="Bodytext1"/>
        </w:rPr>
        <w:t>xxxxxxxxxxxxxxxx</w:t>
      </w:r>
      <w:proofErr w:type="spellEnd"/>
      <w:r>
        <w:rPr>
          <w:rStyle w:val="Bodytext1"/>
        </w:rPr>
        <w:t xml:space="preserve"> převzatého Nebezpečného odpadu. Tato cena zahrnuje veškeré náklady zhotovitele, včetně nákladů na přepravu Nebezpečného odpadu a jeho likvidaci spálením.</w:t>
      </w:r>
    </w:p>
    <w:p w:rsidR="002C7AF4" w:rsidRDefault="00D6769B">
      <w:pPr>
        <w:pStyle w:val="Bodytext10"/>
        <w:numPr>
          <w:ilvl w:val="1"/>
          <w:numId w:val="4"/>
        </w:numPr>
        <w:tabs>
          <w:tab w:val="left" w:pos="569"/>
        </w:tabs>
        <w:ind w:left="580" w:hanging="580"/>
        <w:jc w:val="both"/>
      </w:pPr>
      <w:r>
        <w:rPr>
          <w:rStyle w:val="Bodytext1"/>
        </w:rPr>
        <w:t>Ke sjednané ceně se připočte daň z přidané hodnoty ve výši dle příslušných právních předpisů právně účinných ke dni uskutečnění zdanitelného plnění.</w:t>
      </w:r>
    </w:p>
    <w:p w:rsidR="002C7AF4" w:rsidRDefault="00D6769B">
      <w:pPr>
        <w:pStyle w:val="Bodytext10"/>
        <w:numPr>
          <w:ilvl w:val="1"/>
          <w:numId w:val="4"/>
        </w:numPr>
        <w:tabs>
          <w:tab w:val="left" w:pos="569"/>
        </w:tabs>
        <w:ind w:left="580" w:hanging="580"/>
        <w:jc w:val="both"/>
      </w:pPr>
      <w:r>
        <w:rPr>
          <w:rStyle w:val="Bodytext1"/>
        </w:rPr>
        <w:t>Cena za poskytování Služby bude zhotovitelem fakturována souhrnně za každý kalendářní měsíc a faktura vždy bude obsahovat vyznačení celkového množství jednotlivých druhů odpadů převzatých v daném měsíci, za který je fakturováno. Fakturovaná cena bude splatná do 30 dnů ode dne doručení faktury. Za datum zaplacení se považuje datum připsání částky na účet zhotovitele.</w:t>
      </w:r>
    </w:p>
    <w:p w:rsidR="002C7AF4" w:rsidRDefault="00D6769B">
      <w:pPr>
        <w:pStyle w:val="Bodytext10"/>
        <w:numPr>
          <w:ilvl w:val="1"/>
          <w:numId w:val="4"/>
        </w:numPr>
        <w:tabs>
          <w:tab w:val="left" w:pos="569"/>
        </w:tabs>
        <w:ind w:left="580" w:hanging="580"/>
        <w:jc w:val="both"/>
      </w:pPr>
      <w:r>
        <w:rPr>
          <w:rStyle w:val="Bodytext1"/>
        </w:rPr>
        <w:t>Objednatel souhlasí, v souladu se zákonem o dani z přidané hodnoty, s vystavováním faktur (daňových dokladů) zhotovitelem v elektronické podobě (dále jen „elektronická faktura“), přičemž tyto elektronické faktury se zasílají z elektronické adresy zhotovitele</w:t>
      </w:r>
      <w:hyperlink r:id="rId7" w:history="1">
        <w:r>
          <w:rPr>
            <w:rStyle w:val="Bodytext1"/>
          </w:rPr>
          <w:t xml:space="preserve"> </w:t>
        </w:r>
        <w:r>
          <w:rPr>
            <w:rStyle w:val="Bodytext1"/>
            <w:color w:val="0000FF"/>
            <w:u w:val="single"/>
          </w:rPr>
          <w:t>financni@nemuh.cz</w:t>
        </w:r>
        <w:r>
          <w:rPr>
            <w:rStyle w:val="Bodytext1"/>
            <w:color w:val="0000FF"/>
          </w:rPr>
          <w:t xml:space="preserve"> </w:t>
        </w:r>
      </w:hyperlink>
      <w:r>
        <w:rPr>
          <w:rStyle w:val="Bodytext1"/>
        </w:rPr>
        <w:t xml:space="preserve">na elektronickou adresu objednatele </w:t>
      </w:r>
      <w:hyperlink r:id="rId8" w:history="1">
        <w:r>
          <w:rPr>
            <w:rStyle w:val="Bodytext1"/>
          </w:rPr>
          <w:t>faktury@bnzlin.cz</w:t>
        </w:r>
      </w:hyperlink>
      <w:r>
        <w:rPr>
          <w:rStyle w:val="Bodytext1"/>
        </w:rPr>
        <w:t>. Objednatel i zhotovitel jsou povinni při změně své elektronické adresy tuto změnu ihned nahlásit druhé smluvní straně.</w:t>
      </w:r>
    </w:p>
    <w:p w:rsidR="002C7AF4" w:rsidRDefault="00D6769B">
      <w:pPr>
        <w:pStyle w:val="Bodytext10"/>
        <w:numPr>
          <w:ilvl w:val="1"/>
          <w:numId w:val="4"/>
        </w:numPr>
        <w:tabs>
          <w:tab w:val="left" w:pos="569"/>
        </w:tabs>
        <w:ind w:left="580" w:hanging="580"/>
        <w:jc w:val="both"/>
      </w:pPr>
      <w:r>
        <w:rPr>
          <w:rStyle w:val="Bodytext1"/>
        </w:rPr>
        <w:t>Do 15. dne kalendářního měsíce následujícího po dnu zdanitelného plnění, je objednatel oprávněn uplatnit u zhotovitele reklamaci fakturované částky. Uplatněná reklamace nemá odkladný účinek pro povinnost vyúčtovanou částku zaplatit ke dni splatnosti.</w:t>
      </w:r>
    </w:p>
    <w:p w:rsidR="002C7AF4" w:rsidRDefault="00D6769B">
      <w:pPr>
        <w:pStyle w:val="Bodytext10"/>
        <w:numPr>
          <w:ilvl w:val="1"/>
          <w:numId w:val="4"/>
        </w:numPr>
        <w:tabs>
          <w:tab w:val="left" w:pos="569"/>
        </w:tabs>
        <w:ind w:left="580" w:hanging="580"/>
        <w:jc w:val="both"/>
      </w:pPr>
      <w:r>
        <w:rPr>
          <w:rStyle w:val="Bodytext1"/>
        </w:rPr>
        <w:t>V případě změny právních předpisů majících vliv na výši nákladů zhotovitele na poskytování Služby nebo v případě významné změny cen vstupů na trhu, majících vliv na změnu výše těchto nákladů zhotovitele, zavazují se smluvní strany jednat o případné úpravě smluvených cen. Pokud se smluvní strany v tomto případě nedohodnou na úpravě ceny do jednoho měsíce ode dne doručení návrhu na jednání zhotovitelem objednateli, je zhotovitel oprávněn tuto smlouvu vypovědět. Výpověď musí být udělena v písemné formě a pro tento případ se sjednává čtyřměsíční výpovědní doba. Výpovědní doba počíná běžet od prvého dne kalendářního měsíce následujícího po měsíci, v němž byla výpověď doručena objednateli.</w:t>
      </w:r>
    </w:p>
    <w:p w:rsidR="002C7AF4" w:rsidRDefault="00D6769B">
      <w:pPr>
        <w:pStyle w:val="Bodytext10"/>
        <w:numPr>
          <w:ilvl w:val="1"/>
          <w:numId w:val="4"/>
        </w:numPr>
        <w:tabs>
          <w:tab w:val="left" w:pos="569"/>
          <w:tab w:val="left" w:pos="4402"/>
        </w:tabs>
        <w:spacing w:after="0"/>
        <w:jc w:val="both"/>
      </w:pPr>
      <w:r>
        <w:rPr>
          <w:rStyle w:val="Bodytext1"/>
        </w:rPr>
        <w:t>Sjednává se právo upravit sjednanou</w:t>
      </w:r>
      <w:r>
        <w:rPr>
          <w:rStyle w:val="Bodytext1"/>
        </w:rPr>
        <w:tab/>
        <w:t>cenu s účinností od 1. dubna každého následujícího</w:t>
      </w:r>
    </w:p>
    <w:p w:rsidR="002C7AF4" w:rsidRDefault="00D6769B">
      <w:pPr>
        <w:pStyle w:val="Bodytext10"/>
        <w:ind w:left="580"/>
        <w:jc w:val="both"/>
      </w:pPr>
      <w:r>
        <w:rPr>
          <w:rStyle w:val="Bodytext1"/>
        </w:rPr>
        <w:t xml:space="preserve">kalendářního roku platnosti této smlouvy na základě změny cen celkových nákladů uvedených v příloze č. 3 této smlouvy. K </w:t>
      </w:r>
      <w:r>
        <w:rPr>
          <w:rStyle w:val="Bodytext1"/>
          <w:rFonts w:ascii="Segoe UI" w:eastAsia="Segoe UI" w:hAnsi="Segoe UI" w:cs="Segoe UI"/>
        </w:rPr>
        <w:t>úpravě ceny může dojít jen na základě dohody smluvních stran, a to na základě uzavřeného písemného dodatku ke smlouvě.</w:t>
      </w:r>
    </w:p>
    <w:p w:rsidR="002C7AF4" w:rsidRDefault="00D6769B">
      <w:pPr>
        <w:pStyle w:val="Bodytext10"/>
        <w:numPr>
          <w:ilvl w:val="1"/>
          <w:numId w:val="4"/>
        </w:numPr>
        <w:tabs>
          <w:tab w:val="left" w:pos="569"/>
        </w:tabs>
        <w:spacing w:after="460"/>
        <w:ind w:left="580" w:hanging="580"/>
        <w:jc w:val="both"/>
      </w:pPr>
      <w:r>
        <w:rPr>
          <w:rStyle w:val="Bodytext1"/>
        </w:rPr>
        <w:t>V případě prodlení objednatele s jakoukoliv úhradou vůči zhotoviteli se sjednává právo zhotovitele na úrok z prodlení ve výši 0,05 % z dlužné částky za každý den prodlení se zaplacením dané částky objednateli.</w:t>
      </w:r>
    </w:p>
    <w:p w:rsidR="002C7AF4" w:rsidRDefault="00D6769B">
      <w:pPr>
        <w:pStyle w:val="Heading510"/>
        <w:keepNext/>
        <w:keepLines/>
      </w:pPr>
      <w:bookmarkStart w:id="6" w:name="bookmark15"/>
      <w:r>
        <w:rPr>
          <w:rStyle w:val="Heading51"/>
          <w:b/>
          <w:bCs/>
          <w:u w:val="none"/>
        </w:rPr>
        <w:t>Článek IV.</w:t>
      </w:r>
      <w:bookmarkEnd w:id="6"/>
    </w:p>
    <w:p w:rsidR="002C7AF4" w:rsidRDefault="00D6769B">
      <w:pPr>
        <w:pStyle w:val="Heading510"/>
        <w:keepNext/>
        <w:keepLines/>
        <w:spacing w:after="100"/>
      </w:pPr>
      <w:r>
        <w:rPr>
          <w:rStyle w:val="Heading51"/>
          <w:b/>
          <w:bCs/>
        </w:rPr>
        <w:t>Ostatní ujednání</w:t>
      </w:r>
    </w:p>
    <w:p w:rsidR="002C7AF4" w:rsidRDefault="00D6769B">
      <w:pPr>
        <w:pStyle w:val="Bodytext10"/>
        <w:numPr>
          <w:ilvl w:val="1"/>
          <w:numId w:val="5"/>
        </w:numPr>
        <w:tabs>
          <w:tab w:val="left" w:pos="569"/>
        </w:tabs>
        <w:ind w:left="580" w:hanging="580"/>
        <w:jc w:val="both"/>
      </w:pPr>
      <w:r>
        <w:rPr>
          <w:rStyle w:val="Bodytext1"/>
        </w:rPr>
        <w:t>Okamžikem převodu vlastnictví k Nebezpečnému odpadu, s nímž se nakládá na základě této smlouvy, z objednatele na zhotovitele, je okamžik, kdy odpad po jeho převzetí zhotovitelem opustí prostor užívaný objednatelem k výkonu jeho podnikatelských aktivit (areál objednatele), tedy překročením hranice tohoto prostoru. Okamžikem převodu vlastnictví k odpadu přechází na zhotovitele odpovědnost za řádnou přepravu a za další odpovídající způsoby nakládání s odpadem, včetně jeho odstranění.</w:t>
      </w:r>
    </w:p>
    <w:p w:rsidR="002C7AF4" w:rsidRDefault="00D6769B">
      <w:pPr>
        <w:pStyle w:val="Bodytext10"/>
        <w:numPr>
          <w:ilvl w:val="1"/>
          <w:numId w:val="5"/>
        </w:numPr>
        <w:tabs>
          <w:tab w:val="left" w:pos="569"/>
        </w:tabs>
        <w:ind w:left="580" w:hanging="580"/>
        <w:jc w:val="both"/>
      </w:pPr>
      <w:r>
        <w:rPr>
          <w:rStyle w:val="Bodytext1"/>
        </w:rPr>
        <w:t xml:space="preserve">Objednatel je povinen před zahájením spolupráce předat zhotoviteli (jako provozovateli zařízení k nakládání s odpady) v písemné formě údaje o odpadu v rozsahu dle příslušných právních předpisů, případně základní popis odpadu včetně stanovení kritických ukazatelů, případně identifikační list nebezpečných odpadů a další doklady a informace dle požadavku zhotovitele. Tyto údaje a doklady je objednatel povinen předat zhotoviteli vždy u prvé z řady dodávek stejného charakteru v jednom </w:t>
      </w:r>
      <w:r>
        <w:rPr>
          <w:rStyle w:val="Bodytext1"/>
        </w:rPr>
        <w:lastRenderedPageBreak/>
        <w:t>kalendářním roce a dále vždy, když dojde ke změně některého z údajů obsažených v dříve předaných informacích a dokladech a vždy na základě výzvy zhotovitele. Pokud se objednatel dohodne se zhotovitelem, že výše uvedenou dokumentaci k odpadu připraví zhotovitel, je objednatel povinen poskytnout zhotoviteli veškeré a pravdivé informace a podklady pro to, aby zhotovitel mohl příslušnou</w:t>
      </w:r>
      <w:r>
        <w:rPr>
          <w:rStyle w:val="Bodytext1"/>
        </w:rPr>
        <w:br w:type="page"/>
      </w:r>
      <w:r>
        <w:rPr>
          <w:rStyle w:val="Bodytext1"/>
        </w:rPr>
        <w:lastRenderedPageBreak/>
        <w:t>dokumentaci připravit. Objednatel je následně povinen věcně dokumentaci k odpadům zkontrolovat a podepsat. Za věcnou správnost dokumentace a zejména soulad dokumentace s předávaným odpadem nese plnou odpovědnost objednatel.</w:t>
      </w:r>
    </w:p>
    <w:p w:rsidR="002C7AF4" w:rsidRDefault="00D6769B">
      <w:pPr>
        <w:pStyle w:val="Bodytext10"/>
        <w:numPr>
          <w:ilvl w:val="1"/>
          <w:numId w:val="5"/>
        </w:numPr>
        <w:tabs>
          <w:tab w:val="left" w:pos="571"/>
        </w:tabs>
        <w:ind w:left="580" w:hanging="580"/>
        <w:jc w:val="both"/>
      </w:pPr>
      <w:r>
        <w:rPr>
          <w:rStyle w:val="Bodytext1"/>
        </w:rPr>
        <w:t>Objednatel je povinen předat zhotoviteli k dalšímu zpracování pouze takový odpad, který z hlediska své povahy, charakteru a materiálového složení odpovídá sjednané kategorii a druhu odpadu a dále všem údajům a dokladům předaných objednatelem zhotoviteli a dokumentaci dle čl. 4.2. této smlouvy. Za soulad předaného odpadu s touto smlouvou a poskytnutými údaji a doklady k předávanému odpadu nese plnou odpovědnost objednatel, který je tak povinen nahradit zhotoviteli v plné výši veškerou újmu, která zhotoviteli v této souvislosti vznikne, včetně škody na zařízení zhotovitele, v němž zhotovitel s převzatým odpadem dále nakládal v dobré víře, že dle údajů a dokladů od objednatele je převzatý odpad pro toto zařízení určen, avšak ve skutečnosti tomu tak nebylo. Zhotovitel nemá povinnost odebírat takový odpad, který svou povahou nebo složením neodpovídá sjednanému charakteru a druhu či nesplňuje jiné parametry oproti údajům a dokladům k danému odpadu. Objednatel je dále povinen zajistit, aby do Kontejnerů byly ukládány výhradně odpady deklarovaného druhu a vlastností.</w:t>
      </w:r>
    </w:p>
    <w:p w:rsidR="002C7AF4" w:rsidRDefault="00D6769B">
      <w:pPr>
        <w:pStyle w:val="Bodytext10"/>
        <w:numPr>
          <w:ilvl w:val="1"/>
          <w:numId w:val="5"/>
        </w:numPr>
        <w:tabs>
          <w:tab w:val="left" w:pos="571"/>
        </w:tabs>
        <w:ind w:left="580" w:hanging="580"/>
        <w:jc w:val="both"/>
      </w:pPr>
      <w:r>
        <w:rPr>
          <w:rStyle w:val="Bodytext1"/>
        </w:rPr>
        <w:t>Objednatel je povinen odstraňovaný odpad předat zhotoviteli v obalech stanovených příslušnými právními předpisy a umožňujícími bezpečnou a plynulou nakládku odpadu na techniku zhotovitele a jeho odvoz do zařízení zhotovitele, kde bude s odpadem dále nakládáno. V případě porušení této povinnosti odpovídá objednatel za způsobenou škodu a zhotovitel není povinen realizaci takové služby provést.</w:t>
      </w:r>
    </w:p>
    <w:p w:rsidR="002C7AF4" w:rsidRDefault="00D6769B">
      <w:pPr>
        <w:pStyle w:val="Bodytext10"/>
        <w:numPr>
          <w:ilvl w:val="1"/>
          <w:numId w:val="5"/>
        </w:numPr>
        <w:tabs>
          <w:tab w:val="left" w:pos="571"/>
        </w:tabs>
        <w:ind w:left="580" w:hanging="580"/>
        <w:jc w:val="both"/>
      </w:pPr>
      <w:r>
        <w:rPr>
          <w:rStyle w:val="Bodytext1"/>
        </w:rPr>
        <w:t>Umístění a druh zařízení, v němž bude s převzatým odpadem dále nakládáno, určuje zhotovitel, nedohodnou-li se smluvní strany jinak.</w:t>
      </w:r>
    </w:p>
    <w:p w:rsidR="002C7AF4" w:rsidRDefault="00D6769B">
      <w:pPr>
        <w:pStyle w:val="Bodytext10"/>
        <w:numPr>
          <w:ilvl w:val="1"/>
          <w:numId w:val="5"/>
        </w:numPr>
        <w:tabs>
          <w:tab w:val="left" w:pos="571"/>
        </w:tabs>
        <w:ind w:left="580" w:hanging="580"/>
        <w:jc w:val="both"/>
      </w:pPr>
      <w:r>
        <w:rPr>
          <w:rStyle w:val="Bodytext1"/>
        </w:rPr>
        <w:t>Zhotovitel je oprávněn poskytování Služby dle této smlouvy zajistit prostřednictvím třetích osob (poddodavatelů), a to i bez předchozího souhlasu objednatele. V takovém případě za plnění povinností touto třetí osobou ve vztahu k objednateli odpovídá zhotovitel tak, jako by plnil sám.</w:t>
      </w:r>
    </w:p>
    <w:p w:rsidR="002C7AF4" w:rsidRDefault="00D6769B">
      <w:pPr>
        <w:pStyle w:val="Bodytext10"/>
        <w:numPr>
          <w:ilvl w:val="1"/>
          <w:numId w:val="5"/>
        </w:numPr>
        <w:tabs>
          <w:tab w:val="left" w:pos="571"/>
        </w:tabs>
        <w:ind w:left="580" w:hanging="580"/>
        <w:jc w:val="both"/>
      </w:pPr>
      <w:r>
        <w:rPr>
          <w:rStyle w:val="Bodytext1"/>
        </w:rPr>
        <w:t>Objednatel uzavřením této smlouvy dává zhotoviteli výslovný souhlas k nezbytnému vstupu na pozemky a do prostor a nemovitostí, jež objednatel vlastní či užívá a které mohou být dotčeny plněním Služby dle této smlouvy. Objednatel se dále zavazuje řádně zajistit dle místních podmínek přístupnost techniky zhotovitele na místa plnění sjednané Služby ve sjednané dny její realizace a dále zajistit, aby ve dnech svozu odpadu byly odpadové nádoby přistaveny a připraveny ke svozu na místě přístupném pro techniku zhotovitele.</w:t>
      </w:r>
    </w:p>
    <w:p w:rsidR="002C7AF4" w:rsidRDefault="00D6769B">
      <w:pPr>
        <w:pStyle w:val="Bodytext10"/>
        <w:numPr>
          <w:ilvl w:val="1"/>
          <w:numId w:val="5"/>
        </w:numPr>
        <w:tabs>
          <w:tab w:val="left" w:pos="571"/>
        </w:tabs>
        <w:ind w:left="580" w:hanging="580"/>
        <w:jc w:val="both"/>
      </w:pPr>
      <w:r>
        <w:rPr>
          <w:rStyle w:val="Bodytext1"/>
        </w:rPr>
        <w:t>V případě zjištění neplnění povinností ze strany zhotovitele musí objednatel na zjištěné závady zhotovitele upozornit. Vady v plnění je objednatel povinen vytknout zhotoviteli písemně a upozornění na vady doručit zhotoviteli do tří pracovních dnů od provedení reklamované Služby. Nehledí se na případné pozdější reklamace a jsou považovány za bezpředmětné (v prekluzi). Nebude-li náprava ze strany zhotovitele učiněna včas a řádně (dle dohody smluvních stran), je objednatel oprávněn uplatnit vůči zhotoviteli nárok na slevu z ceny konkrétní dílčí Služby ve výši 10 % z ceny reklamované dílčí Služby. Nebyla-li cena reklamované dílčí Služby ještě vyúčtována, zhotovitel zohlední tuto slevu z ceny v příslušné faktuře. Byla-li cena již vyúčtována, sleva z ceny bude zohledněna a uhrazena na základě dobropisu k příslušnému daňovému dokladu.</w:t>
      </w:r>
    </w:p>
    <w:p w:rsidR="002C7AF4" w:rsidRDefault="00D6769B">
      <w:pPr>
        <w:pStyle w:val="Bodytext10"/>
        <w:numPr>
          <w:ilvl w:val="1"/>
          <w:numId w:val="5"/>
        </w:numPr>
        <w:tabs>
          <w:tab w:val="left" w:pos="571"/>
        </w:tabs>
        <w:ind w:left="580" w:hanging="580"/>
        <w:jc w:val="both"/>
      </w:pPr>
      <w:r>
        <w:rPr>
          <w:rStyle w:val="Bodytext1"/>
        </w:rPr>
        <w:t>Ve smyslu a za výjimek dle § 2898 občanského zákoníku se povinnost zhotovitele k náhradě újmy způsobené objednateli v souvislosti s plněním dle této smlouvy omezuje maximálně do výše celkové částky 10.000.000,- Kč (slovy: deset miliónů korun českých), přičemž tuto celkovou částku nelze překročit.</w:t>
      </w:r>
    </w:p>
    <w:p w:rsidR="002C7AF4" w:rsidRDefault="00D6769B">
      <w:pPr>
        <w:pStyle w:val="Bodytext10"/>
        <w:numPr>
          <w:ilvl w:val="1"/>
          <w:numId w:val="5"/>
        </w:numPr>
        <w:tabs>
          <w:tab w:val="left" w:pos="571"/>
        </w:tabs>
        <w:ind w:left="580" w:hanging="580"/>
        <w:jc w:val="both"/>
      </w:pPr>
      <w:r>
        <w:rPr>
          <w:rStyle w:val="Bodytext1"/>
        </w:rPr>
        <w:t xml:space="preserve">Objednatel je povinen provést řádné a úplné školení zaměstnanců, zhotovitelem zajištěných pro plnění sjednané Služby, a to z předpisů upravujících bezpečnost a ochranu zdraví při práci (dále jen „BOZP“), požární ochranu (dále jen „PO“) a ostatních dotčených předpisů, včetně objednatelových vnitropodnikových předpisů apod., dopadajících na plnění Služby zhotovitele pro objednatele prováděných dle této smlouvy (dále jen „školení“). Smluvní strany se dohodly, že součástí školení je také vymezení prostor a ploch, na nichž je oprávněn zhotovitel provádět bezpečné plnění Služby, včetně užití příslušných sociálních zařízení v areálu, jenž je užíván objednatelem. Objednatel provede pro zaměstnance zajištěné zhotovitelem školení na své náklady řádně a opakovaně tak, aby byly dodrženy příslušné lhůty, určené pro opakování školení a pokud takové lhůty pro opakování školení právním předpisem nejsou určené, pak tedy tak, aby školení u objednatele vždy proběhlo opakovaně s odstupem nejméně jednou ročně. Zhotovitel neodpovídá za způsobené škody, újmy a další nároky, pokud </w:t>
      </w:r>
      <w:r>
        <w:rPr>
          <w:rStyle w:val="Bodytext1"/>
        </w:rPr>
        <w:lastRenderedPageBreak/>
        <w:t>objednatel neprovedl předem řádné a úplné školení zaměstnanců zhotovitelem zajištěných pro plnění Služby.</w:t>
      </w:r>
      <w:r>
        <w:br w:type="page"/>
      </w:r>
    </w:p>
    <w:p w:rsidR="002C7AF4" w:rsidRDefault="00D6769B">
      <w:pPr>
        <w:pStyle w:val="Bodytext10"/>
        <w:numPr>
          <w:ilvl w:val="1"/>
          <w:numId w:val="5"/>
        </w:numPr>
        <w:tabs>
          <w:tab w:val="left" w:pos="568"/>
        </w:tabs>
        <w:ind w:left="580" w:hanging="580"/>
        <w:jc w:val="both"/>
      </w:pPr>
      <w:r>
        <w:rPr>
          <w:rStyle w:val="Bodytext1"/>
        </w:rPr>
        <w:lastRenderedPageBreak/>
        <w:t>Objednatel se zavazuje před zahájením plnění dle této smlouvy provést hodnocení pracovních rizik, která mohu na společných pracovištích ohrozit zaměstnance zhotovitele, a zhotovitele o nich informovat. Funkci koordinátora, provádějícího opatření k ochraně BOZP a PO na společném pracovišti, plní vedoucí zaměstnanec objednatele odpovědný za pracoviště.</w:t>
      </w:r>
    </w:p>
    <w:p w:rsidR="002C7AF4" w:rsidRDefault="00D6769B">
      <w:pPr>
        <w:pStyle w:val="Bodytext10"/>
        <w:numPr>
          <w:ilvl w:val="1"/>
          <w:numId w:val="5"/>
        </w:numPr>
        <w:tabs>
          <w:tab w:val="left" w:pos="568"/>
        </w:tabs>
        <w:spacing w:after="460"/>
        <w:ind w:left="580" w:hanging="580"/>
        <w:jc w:val="both"/>
      </w:pPr>
      <w:r>
        <w:rPr>
          <w:rStyle w:val="Bodytext1"/>
        </w:rPr>
        <w:t>V případě, že zhotovitel nedodrží řádně sjednanou dobu plnění a termínu odvozu odpadu, sjednaných v této smlouvě a jejich přílohách, je objednatel oprávněn požadovat po zhotoviteli zaplacení smluvní pokuty ve výši 1.000,- Kč za každý takovýto případ a den. Toto se však nevztahuje na případy, kdy zhotovitel nepřevzal další odpad od objednatele z důvodu, že odpad nebyl se strany objednatele k převzetí připraven v dohodnutém obalu.</w:t>
      </w:r>
    </w:p>
    <w:p w:rsidR="002C7AF4" w:rsidRDefault="00D6769B">
      <w:pPr>
        <w:pStyle w:val="Heading510"/>
        <w:keepNext/>
        <w:keepLines/>
      </w:pPr>
      <w:bookmarkStart w:id="7" w:name="bookmark18"/>
      <w:r>
        <w:rPr>
          <w:rStyle w:val="Heading51"/>
          <w:b/>
          <w:bCs/>
          <w:u w:val="none"/>
        </w:rPr>
        <w:t>Článek V.</w:t>
      </w:r>
      <w:bookmarkEnd w:id="7"/>
    </w:p>
    <w:p w:rsidR="002C7AF4" w:rsidRDefault="00D6769B">
      <w:pPr>
        <w:pStyle w:val="Heading510"/>
        <w:keepNext/>
        <w:keepLines/>
        <w:spacing w:after="100"/>
      </w:pPr>
      <w:r>
        <w:rPr>
          <w:rStyle w:val="Heading51"/>
          <w:b/>
          <w:bCs/>
        </w:rPr>
        <w:t>Doba trvání smlouvy</w:t>
      </w:r>
    </w:p>
    <w:p w:rsidR="002C7AF4" w:rsidRDefault="00D6769B">
      <w:pPr>
        <w:pStyle w:val="Bodytext10"/>
        <w:numPr>
          <w:ilvl w:val="1"/>
          <w:numId w:val="6"/>
        </w:numPr>
        <w:tabs>
          <w:tab w:val="left" w:pos="568"/>
        </w:tabs>
        <w:jc w:val="both"/>
      </w:pPr>
      <w:r>
        <w:rPr>
          <w:rStyle w:val="Bodytext1"/>
        </w:rPr>
        <w:t>Tato smlouva je platná dnem podpisu oběma smluvními stranami a účinná dnem 11.11.2025.</w:t>
      </w:r>
    </w:p>
    <w:p w:rsidR="002C7AF4" w:rsidRDefault="00D6769B">
      <w:pPr>
        <w:pStyle w:val="Bodytext10"/>
        <w:numPr>
          <w:ilvl w:val="1"/>
          <w:numId w:val="6"/>
        </w:numPr>
        <w:tabs>
          <w:tab w:val="left" w:pos="568"/>
        </w:tabs>
        <w:ind w:left="580" w:hanging="580"/>
        <w:jc w:val="both"/>
      </w:pPr>
      <w:r>
        <w:rPr>
          <w:rStyle w:val="Bodytext1"/>
        </w:rPr>
        <w:t>Tato smlouva vstupuje v platnost dnem podpisu oběma smluvními stranami a nabývá účinnosti okamžikem uveřejnění v registru smluv podle zákona č. 340/2015 Sb., o zvláštních podmínkách účinnosti některých smluv, uveřejňování těchto smluv a registru smluv (dále jen „zákon o registru smluv“) nebo od data 11.11. 2025, dojde-li k uveřejnění před tímto datem. Uveřejnění v registru smluv zajistí objednatel.</w:t>
      </w:r>
    </w:p>
    <w:p w:rsidR="002C7AF4" w:rsidRDefault="00D6769B">
      <w:pPr>
        <w:pStyle w:val="Bodytext10"/>
        <w:numPr>
          <w:ilvl w:val="1"/>
          <w:numId w:val="6"/>
        </w:numPr>
        <w:tabs>
          <w:tab w:val="left" w:pos="568"/>
        </w:tabs>
        <w:ind w:left="580" w:hanging="580"/>
        <w:jc w:val="both"/>
      </w:pPr>
      <w:r>
        <w:rPr>
          <w:rStyle w:val="Bodytext1"/>
        </w:rPr>
        <w:t>Smluvní strany se dohodly, že v případě, že tato smlouva se uzavře až po datu účinnosti, tzn. po datu 11.11.2025, pak na plnění provedená mezi nimi od data účinnosti, tzn. po datu 11.11.2025 se hledí tak, že byla provedena dle této smlouvy</w:t>
      </w:r>
      <w:r>
        <w:rPr>
          <w:rStyle w:val="Bodytext1"/>
          <w:color w:val="0000FF"/>
        </w:rPr>
        <w:t>.</w:t>
      </w:r>
    </w:p>
    <w:p w:rsidR="002C7AF4" w:rsidRDefault="00D6769B">
      <w:pPr>
        <w:pStyle w:val="Bodytext10"/>
        <w:ind w:firstLine="580"/>
        <w:jc w:val="both"/>
      </w:pPr>
      <w:r>
        <w:rPr>
          <w:rStyle w:val="Bodytext1"/>
        </w:rPr>
        <w:t>Tato smlouva se uzavírá na dobu neurčitou.</w:t>
      </w:r>
    </w:p>
    <w:p w:rsidR="002C7AF4" w:rsidRDefault="00D6769B">
      <w:pPr>
        <w:pStyle w:val="Bodytext10"/>
        <w:spacing w:after="460"/>
        <w:ind w:left="580"/>
        <w:jc w:val="both"/>
      </w:pPr>
      <w:r>
        <w:rPr>
          <w:rStyle w:val="Bodytext1"/>
        </w:rPr>
        <w:t>Objednatel i zhotovitel jsou oprávněni tuto smlouvu písemně vypovědět bez uvedení důvodu. Výpověď musí být udělena v písemné formě a pro tento případ se sjednává šestiměsíční výpovědní doba. Výpovědní doba počíná běžet od prvého dne kalendářního měsíce bezprostředně následujícího po měsíci, v němž byla výpověď doručena smluvní straně, jíž je určena.</w:t>
      </w:r>
    </w:p>
    <w:p w:rsidR="002C7AF4" w:rsidRDefault="00D6769B">
      <w:pPr>
        <w:pStyle w:val="Heading510"/>
        <w:keepNext/>
        <w:keepLines/>
      </w:pPr>
      <w:bookmarkStart w:id="8" w:name="bookmark21"/>
      <w:r>
        <w:rPr>
          <w:rStyle w:val="Heading51"/>
          <w:b/>
          <w:bCs/>
          <w:u w:val="none"/>
        </w:rPr>
        <w:t>Článek VI.</w:t>
      </w:r>
      <w:bookmarkEnd w:id="8"/>
    </w:p>
    <w:p w:rsidR="002C7AF4" w:rsidRDefault="00D6769B">
      <w:pPr>
        <w:pStyle w:val="Heading510"/>
        <w:keepNext/>
        <w:keepLines/>
        <w:spacing w:after="100"/>
      </w:pPr>
      <w:r>
        <w:rPr>
          <w:rStyle w:val="Heading51"/>
          <w:b/>
          <w:bCs/>
        </w:rPr>
        <w:t>Závěrečná ustanovení</w:t>
      </w:r>
    </w:p>
    <w:p w:rsidR="002C7AF4" w:rsidRDefault="00D6769B">
      <w:pPr>
        <w:pStyle w:val="Bodytext10"/>
        <w:numPr>
          <w:ilvl w:val="1"/>
          <w:numId w:val="7"/>
        </w:numPr>
        <w:tabs>
          <w:tab w:val="left" w:pos="568"/>
        </w:tabs>
        <w:ind w:left="580" w:hanging="580"/>
        <w:jc w:val="both"/>
      </w:pPr>
      <w:r>
        <w:rPr>
          <w:rStyle w:val="Bodytext1"/>
        </w:rPr>
        <w:t>Kontaktní údaje odpovědných zástupců smluvních stran jsou uvedeny v příloze č. 1 této smlouvy. Příloha č. 1 se mezi smluvními stranami po vzájemné dohodě aktualizuje dle skutečných potřeb objednatele a zhotovitele. Není-li stanoveno jinak, aktuálně platná příloha nahrazuje v plném rozsahu přílohu časově předcházející.</w:t>
      </w:r>
    </w:p>
    <w:p w:rsidR="002C7AF4" w:rsidRDefault="00D6769B">
      <w:pPr>
        <w:pStyle w:val="Bodytext10"/>
        <w:numPr>
          <w:ilvl w:val="1"/>
          <w:numId w:val="7"/>
        </w:numPr>
        <w:tabs>
          <w:tab w:val="left" w:pos="568"/>
        </w:tabs>
        <w:ind w:left="580" w:hanging="580"/>
        <w:jc w:val="both"/>
      </w:pPr>
      <w:r>
        <w:rPr>
          <w:rStyle w:val="Bodytext1"/>
        </w:rPr>
        <w:t>Změny této smlouvy musí být prováděny písemným, chronologicky číslovaným dodatkem uzavřeným na základě dohody statutárních zástupců smluvních stran, nestanoví-li tato smlouva jinou formu provedení změny.</w:t>
      </w:r>
    </w:p>
    <w:p w:rsidR="002C7AF4" w:rsidRDefault="00D6769B">
      <w:pPr>
        <w:pStyle w:val="Bodytext10"/>
        <w:numPr>
          <w:ilvl w:val="1"/>
          <w:numId w:val="7"/>
        </w:numPr>
        <w:tabs>
          <w:tab w:val="left" w:pos="568"/>
        </w:tabs>
        <w:ind w:left="580" w:hanging="580"/>
        <w:jc w:val="both"/>
      </w:pPr>
      <w:r>
        <w:rPr>
          <w:rStyle w:val="Bodytext1"/>
        </w:rPr>
        <w:t>Objednatel se zavazuje nepověřit v době platnosti této smlouvy sjednanými činnostmi, tedy poskytováním sjednaných služeb, jinou právnickou nebo podnikající fyzickou osobu.</w:t>
      </w:r>
    </w:p>
    <w:p w:rsidR="002C7AF4" w:rsidRDefault="00D6769B">
      <w:pPr>
        <w:pStyle w:val="Bodytext10"/>
        <w:numPr>
          <w:ilvl w:val="1"/>
          <w:numId w:val="7"/>
        </w:numPr>
        <w:tabs>
          <w:tab w:val="left" w:pos="568"/>
        </w:tabs>
        <w:ind w:left="580" w:hanging="580"/>
        <w:jc w:val="both"/>
      </w:pPr>
      <w:r>
        <w:rPr>
          <w:rStyle w:val="Bodytext1"/>
        </w:rPr>
        <w:t xml:space="preserve">Veškerá právní jednání týkající se změn nebo ukončení této smlouvy, jakož i reklamace, vytčení vad plnění a výzvy ke zjednání nápravy při porušení povinností z této smlouvy musí mít písemnou formu, musí být podepsána oprávněnými zástupci stran a být doručována způsobem uvedeným v tomto článku. Za řádné doručení písemností se mezi smluvními stranami považuje jejich doručení datovou schránkou, formou doporučené pošty, osobně proti podpisu k tomu kompetentního pracovníka smluvní strany, jíž je písemnost určena, případně dalšími způsoby doručení, jež jsou obvyklé a odpovídají zásadám poctivého obchodního styku. Účinky doručení nastanou i v tom případě, </w:t>
      </w:r>
      <w:proofErr w:type="gramStart"/>
      <w:r>
        <w:rPr>
          <w:rStyle w:val="Bodytext1"/>
        </w:rPr>
        <w:t xml:space="preserve">odmítne- </w:t>
      </w:r>
      <w:proofErr w:type="spellStart"/>
      <w:r>
        <w:rPr>
          <w:rStyle w:val="Bodytext1"/>
        </w:rPr>
        <w:t>li</w:t>
      </w:r>
      <w:proofErr w:type="spellEnd"/>
      <w:proofErr w:type="gramEnd"/>
      <w:r>
        <w:rPr>
          <w:rStyle w:val="Bodytext1"/>
        </w:rPr>
        <w:t xml:space="preserve"> strana, jíž je písemnost určena, převzetí této písemnosti. Písemnost se považuje za doručenou v případě uložení zásilky na poště (u držitele poštovní licence) třetím dnem jejího uložení, jestliže si ji adresát nevyzvedl. Pokud nelze písemnost doručit na adresu uvedenou ve smlouvě či objednávce a jiná adresa není známa, považuje se za den doručení den vrácení nedoručené zásilky, i když se o ní adresát nedověděl. V případě pochybností se písemnost považuje za doručenou třetí den od jejího předání k doporučené poštovní přepravě. Ustanovení tohoto bodu se nevztahuje na doručování faktur, jež jsou doručovány </w:t>
      </w:r>
      <w:r>
        <w:rPr>
          <w:rStyle w:val="Bodytext1"/>
        </w:rPr>
        <w:lastRenderedPageBreak/>
        <w:t>elektronickou formou nebo formou běžné pošty.</w:t>
      </w:r>
    </w:p>
    <w:p w:rsidR="002C7AF4" w:rsidRDefault="00D6769B">
      <w:pPr>
        <w:pStyle w:val="Bodytext10"/>
        <w:numPr>
          <w:ilvl w:val="1"/>
          <w:numId w:val="7"/>
        </w:numPr>
        <w:tabs>
          <w:tab w:val="left" w:pos="568"/>
        </w:tabs>
        <w:spacing w:after="120"/>
        <w:ind w:left="580" w:hanging="580"/>
        <w:jc w:val="both"/>
      </w:pPr>
      <w:r>
        <w:rPr>
          <w:rStyle w:val="Bodytext1"/>
        </w:rPr>
        <w:t>Veškerá ostatní právní jednání neuvedená výše v čl. 6.3. a komunikace mezi smluvními stranami, zejména týkající se operativních jednání o plnění dle této smlouvy, mohou být zasílána v elektronické formě na adresy odpovědných osob, jejichž jména a kontaktní údaje jsou uvedeny v příloze č. 1 této</w:t>
      </w:r>
      <w:r>
        <w:rPr>
          <w:rStyle w:val="Bodytext1"/>
        </w:rPr>
        <w:br w:type="page"/>
      </w:r>
      <w:r>
        <w:rPr>
          <w:rStyle w:val="Bodytext1"/>
        </w:rPr>
        <w:lastRenderedPageBreak/>
        <w:t>smlouvy. Každá ze smluvních stran je povinna bez prodlení informovat druhou smluvní stranu o změně odpovědných osob a případně jejich kontaktních údajů a iniciovat tak uzavření nové přílohy č. 1.</w:t>
      </w:r>
    </w:p>
    <w:p w:rsidR="002C7AF4" w:rsidRDefault="00D6769B">
      <w:pPr>
        <w:pStyle w:val="Bodytext10"/>
        <w:numPr>
          <w:ilvl w:val="1"/>
          <w:numId w:val="7"/>
        </w:numPr>
        <w:tabs>
          <w:tab w:val="left" w:pos="571"/>
        </w:tabs>
        <w:spacing w:after="120"/>
        <w:ind w:left="580" w:hanging="580"/>
        <w:jc w:val="both"/>
      </w:pPr>
      <w:r>
        <w:rPr>
          <w:rStyle w:val="Bodytext1"/>
        </w:rPr>
        <w:t>Ukáže-li se v průběhu trvání smluvního vztahu některé ustanovení této smlouvy jako právně neplatné nebo neúčinné, neznamená tato skutečnost neplatnost smlouvy jako celku. Takováto ustanovení smlouvy se nahradí ustanoveními svým smyslem a obsahem nejbližšími těmto ustanovením (použití zásad analogie).</w:t>
      </w:r>
    </w:p>
    <w:p w:rsidR="002C7AF4" w:rsidRDefault="00D6769B">
      <w:pPr>
        <w:pStyle w:val="Bodytext10"/>
        <w:numPr>
          <w:ilvl w:val="1"/>
          <w:numId w:val="7"/>
        </w:numPr>
        <w:tabs>
          <w:tab w:val="left" w:pos="571"/>
        </w:tabs>
        <w:spacing w:after="120"/>
        <w:ind w:left="580" w:hanging="580"/>
        <w:jc w:val="both"/>
      </w:pPr>
      <w:r>
        <w:rPr>
          <w:rStyle w:val="Bodytext1"/>
        </w:rPr>
        <w:t>Smluvní strany se výslovně dohodly, že všechny spory vznikající z této smlouvy a v souvislosti s ní se rozhodují s konečnou platností u věcně a místně příslušných soudů České republiky.</w:t>
      </w:r>
    </w:p>
    <w:p w:rsidR="002C7AF4" w:rsidRDefault="00D6769B">
      <w:pPr>
        <w:pStyle w:val="Bodytext10"/>
        <w:numPr>
          <w:ilvl w:val="1"/>
          <w:numId w:val="7"/>
        </w:numPr>
        <w:tabs>
          <w:tab w:val="left" w:pos="571"/>
        </w:tabs>
        <w:spacing w:after="120"/>
        <w:ind w:left="580" w:hanging="580"/>
        <w:jc w:val="both"/>
      </w:pPr>
      <w:r>
        <w:rPr>
          <w:rStyle w:val="Bodytext1"/>
        </w:rPr>
        <w:t>Smluvní strany se dohodly, že se pro promlčení práv podle této smlouvy uplatní zákonná promlčecí lhůta.</w:t>
      </w:r>
    </w:p>
    <w:p w:rsidR="002C7AF4" w:rsidRDefault="00D6769B">
      <w:pPr>
        <w:pStyle w:val="Bodytext10"/>
        <w:numPr>
          <w:ilvl w:val="1"/>
          <w:numId w:val="7"/>
        </w:numPr>
        <w:tabs>
          <w:tab w:val="left" w:pos="571"/>
        </w:tabs>
        <w:spacing w:after="120"/>
        <w:ind w:left="580" w:hanging="580"/>
        <w:jc w:val="both"/>
      </w:pPr>
      <w:r>
        <w:rPr>
          <w:rStyle w:val="Bodytext1"/>
        </w:rPr>
        <w:t>Tato smlouva je vyhotovena v elektronické podobě a bude opatřena elektronickými podpisy oprávněných zástupců smluvních stran.</w:t>
      </w:r>
    </w:p>
    <w:p w:rsidR="002C7AF4" w:rsidRDefault="00D6769B">
      <w:pPr>
        <w:pStyle w:val="Bodytext10"/>
        <w:numPr>
          <w:ilvl w:val="1"/>
          <w:numId w:val="7"/>
        </w:numPr>
        <w:tabs>
          <w:tab w:val="left" w:pos="571"/>
        </w:tabs>
        <w:spacing w:after="120"/>
        <w:ind w:left="580" w:hanging="580"/>
        <w:jc w:val="both"/>
      </w:pPr>
      <w:r>
        <w:rPr>
          <w:rStyle w:val="Bodytext1"/>
        </w:rPr>
        <w:t>Smluvní strany vylučují aplikaci § 1740, odst. 3 a § 1744 občanského zákoníku, tedy vylučují možnost akceptace nabídky s dodatkem nebo odchylkou nebo způsobem, že se podle takové nabídky strana, jíž je určena, zachová, zejména přijme či poskytne plnění.</w:t>
      </w:r>
    </w:p>
    <w:p w:rsidR="002C7AF4" w:rsidRDefault="00D6769B">
      <w:pPr>
        <w:pStyle w:val="Bodytext10"/>
        <w:numPr>
          <w:ilvl w:val="1"/>
          <w:numId w:val="7"/>
        </w:numPr>
        <w:tabs>
          <w:tab w:val="left" w:pos="571"/>
        </w:tabs>
        <w:spacing w:after="120"/>
        <w:ind w:left="580" w:hanging="580"/>
        <w:jc w:val="both"/>
      </w:pPr>
      <w:r>
        <w:rPr>
          <w:rStyle w:val="Bodytext1"/>
        </w:rPr>
        <w:t>Jakékoliv všeobecné obchodní podmínky objednatele, které si objednatel vydává jednostranně, nejsou pro zhotovitele závazné, i kdyby je zhotovitel objednateli potvrdil anebo pokud by byly uvedeny na listinách objednatele (např. faktura apod.). To však nebrání smluvním stranám o nich jednat, odstranit z nich ustanovení, která nejsou pro realizaci služeb vhodná anebo jsou pro realizaci služeb v rozporu s ujednáním v této smlouvě a ta ustanovení na nichž se smluvní dohodnou, pak vtělit do těla této smlouvy anebo do některé z příloh smlouvy.</w:t>
      </w:r>
    </w:p>
    <w:p w:rsidR="002C7AF4" w:rsidRDefault="00D6769B">
      <w:pPr>
        <w:pStyle w:val="Bodytext10"/>
        <w:numPr>
          <w:ilvl w:val="1"/>
          <w:numId w:val="7"/>
        </w:numPr>
        <w:tabs>
          <w:tab w:val="left" w:pos="571"/>
        </w:tabs>
        <w:spacing w:after="120"/>
        <w:ind w:left="580" w:hanging="580"/>
        <w:jc w:val="both"/>
      </w:pPr>
      <w:r>
        <w:rPr>
          <w:rStyle w:val="Bodytext1"/>
        </w:rPr>
        <w:t>Smluvní strany prohlašují, že se seznámily se všemi ustanoveními této smlouvy (včetně jejích příloh) a všechna tato ustanovení byla dobře čitelná a srozumitelná, a že před uzavřením smlouvy využily možnosti dodatečného vysvětlení ustanovení. Žádná ze smluvních stran neshledala, že by některé ustanovení bylo pro ni zvláště nevýhodné, hrubě odporovalo obchodním zvyklostem nebo zásadě poctivého obchodního styku. Obě smluvní strany prohlašují, že tato smlouva je výrazem jejich pravé a svobodné vůle, učiněné nikoliv v tísni či za nápadně nevýhodných podmínek, výslovně berou na vědomí, že jsou svými projevy vůle vázáni a na důkaz toho tuto smlouvu podepisují.</w:t>
      </w:r>
    </w:p>
    <w:p w:rsidR="002C7AF4" w:rsidRDefault="00D6769B">
      <w:pPr>
        <w:pStyle w:val="Bodytext10"/>
        <w:numPr>
          <w:ilvl w:val="1"/>
          <w:numId w:val="7"/>
        </w:numPr>
        <w:tabs>
          <w:tab w:val="left" w:pos="571"/>
        </w:tabs>
        <w:spacing w:after="0"/>
      </w:pPr>
      <w:r>
        <w:rPr>
          <w:rStyle w:val="Bodytext1"/>
        </w:rPr>
        <w:t>Nedílnou součástí této smlouvy jsou následující přílohy:</w:t>
      </w:r>
    </w:p>
    <w:p w:rsidR="002C7AF4" w:rsidRDefault="00D6769B">
      <w:pPr>
        <w:pStyle w:val="Bodytext10"/>
        <w:spacing w:after="0"/>
        <w:ind w:firstLine="580"/>
      </w:pPr>
      <w:r>
        <w:rPr>
          <w:rStyle w:val="Bodytext1"/>
        </w:rPr>
        <w:t>Příloha č. 1 – Kontaktní údaje odpovědných zástupců smluvních stran,</w:t>
      </w:r>
    </w:p>
    <w:p w:rsidR="002C7AF4" w:rsidRDefault="00D6769B">
      <w:pPr>
        <w:pStyle w:val="Bodytext10"/>
        <w:spacing w:after="0"/>
        <w:ind w:firstLine="580"/>
      </w:pPr>
      <w:r>
        <w:rPr>
          <w:rStyle w:val="Bodytext1"/>
        </w:rPr>
        <w:t>Příloha č. 2 – Kódy nebezpečných odpadů.</w:t>
      </w:r>
    </w:p>
    <w:p w:rsidR="002C7AF4" w:rsidRDefault="00D6769B">
      <w:pPr>
        <w:pStyle w:val="Bodytext10"/>
        <w:spacing w:after="680"/>
        <w:ind w:firstLine="580"/>
      </w:pPr>
      <w:r>
        <w:rPr>
          <w:rStyle w:val="Bodytext1"/>
        </w:rPr>
        <w:t>Příloha č. 3 – Kalkulace ceny služeb.</w:t>
      </w:r>
    </w:p>
    <w:p w:rsidR="002C7AF4" w:rsidRDefault="00D6769B">
      <w:pPr>
        <w:pStyle w:val="Bodytext10"/>
        <w:spacing w:after="320"/>
        <w:ind w:left="1860"/>
      </w:pPr>
      <w:r>
        <w:rPr>
          <w:noProof/>
        </w:rPr>
        <mc:AlternateContent>
          <mc:Choice Requires="wps">
            <w:drawing>
              <wp:anchor distT="0" distB="1197610" distL="114300" distR="114300" simplePos="0" relativeHeight="125829378" behindDoc="0" locked="0" layoutInCell="1" allowOverlap="1">
                <wp:simplePos x="0" y="0"/>
                <wp:positionH relativeFrom="page">
                  <wp:posOffset>712470</wp:posOffset>
                </wp:positionH>
                <wp:positionV relativeFrom="paragraph">
                  <wp:posOffset>12700</wp:posOffset>
                </wp:positionV>
                <wp:extent cx="1847215" cy="17081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847215" cy="170815"/>
                        </a:xfrm>
                        <a:prstGeom prst="rect">
                          <a:avLst/>
                        </a:prstGeom>
                        <a:noFill/>
                      </wps:spPr>
                      <wps:txbx>
                        <w:txbxContent>
                          <w:p w:rsidR="002C7AF4" w:rsidRDefault="00D6769B">
                            <w:pPr>
                              <w:pStyle w:val="Bodytext10"/>
                              <w:spacing w:after="0"/>
                            </w:pPr>
                            <w:r>
                              <w:rPr>
                                <w:rStyle w:val="Bodytext1"/>
                              </w:rPr>
                              <w:t>Ve Zlíně dne: dle data u podpisů</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6.100000000000001pt;margin-top:1.pt;width:145.45000000000002pt;height:13.450000000000001pt;z-index:-125829375;mso-wrap-distance-left:9.pt;mso-wrap-distance-right:9.pt;mso-wrap-distance-bottom:94.2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Ve Zlíně dne: dle data u podpisů</w:t>
                      </w:r>
                    </w:p>
                  </w:txbxContent>
                </v:textbox>
                <w10:wrap type="square" side="right" anchorx="page"/>
              </v:shape>
            </w:pict>
          </mc:Fallback>
        </mc:AlternateContent>
      </w:r>
      <w:r>
        <w:rPr>
          <w:noProof/>
        </w:rPr>
        <mc:AlternateContent>
          <mc:Choice Requires="wps">
            <w:drawing>
              <wp:anchor distT="389890" distB="0" distL="114300" distR="294005" simplePos="0" relativeHeight="125829380" behindDoc="0" locked="0" layoutInCell="1" allowOverlap="1">
                <wp:simplePos x="0" y="0"/>
                <wp:positionH relativeFrom="page">
                  <wp:posOffset>712470</wp:posOffset>
                </wp:positionH>
                <wp:positionV relativeFrom="paragraph">
                  <wp:posOffset>402590</wp:posOffset>
                </wp:positionV>
                <wp:extent cx="1667510" cy="97853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667510" cy="978535"/>
                        </a:xfrm>
                        <a:prstGeom prst="rect">
                          <a:avLst/>
                        </a:prstGeom>
                        <a:noFill/>
                      </wps:spPr>
                      <wps:txbx>
                        <w:txbxContent>
                          <w:p w:rsidR="002C7AF4" w:rsidRDefault="00D6769B" w:rsidP="0065201C">
                            <w:pPr>
                              <w:pStyle w:val="Bodytext30"/>
                              <w:spacing w:after="0" w:line="276" w:lineRule="auto"/>
                            </w:pPr>
                            <w:r>
                              <w:rPr>
                                <w:rStyle w:val="Bodytext3"/>
                              </w:rPr>
                              <w:t>'</w:t>
                            </w:r>
                          </w:p>
                          <w:p w:rsidR="002C7AF4" w:rsidRDefault="00D6769B">
                            <w:pPr>
                              <w:pStyle w:val="Bodytext10"/>
                              <w:spacing w:after="0"/>
                            </w:pPr>
                            <w:r>
                              <w:rPr>
                                <w:rStyle w:val="Bodytext1"/>
                                <w:b/>
                                <w:bCs/>
                                <w:lang w:val="en-US" w:eastAsia="en-US" w:bidi="en-US"/>
                              </w:rPr>
                              <w:t xml:space="preserve">Za </w:t>
                            </w:r>
                            <w:proofErr w:type="spellStart"/>
                            <w:r>
                              <w:rPr>
                                <w:rStyle w:val="Bodytext1"/>
                                <w:b/>
                                <w:bCs/>
                                <w:lang w:val="en-US" w:eastAsia="en-US" w:bidi="en-US"/>
                              </w:rPr>
                              <w:t>objednatele</w:t>
                            </w:r>
                            <w:proofErr w:type="spellEnd"/>
                            <w:r>
                              <w:rPr>
                                <w:rStyle w:val="Bodytext1"/>
                                <w:b/>
                                <w:bCs/>
                                <w:lang w:val="en-US" w:eastAsia="en-US" w:bidi="en-US"/>
                              </w:rPr>
                              <w:t>:</w:t>
                            </w:r>
                          </w:p>
                          <w:p w:rsidR="002C7AF4" w:rsidRDefault="00D6769B">
                            <w:pPr>
                              <w:pStyle w:val="Bodytext10"/>
                              <w:spacing w:after="0"/>
                              <w:rPr>
                                <w:rStyle w:val="Bodytext1"/>
                              </w:rPr>
                            </w:pPr>
                            <w:r>
                              <w:rPr>
                                <w:rStyle w:val="Bodytext1"/>
                                <w:lang w:val="en-US" w:eastAsia="en-US" w:bidi="en-US"/>
                              </w:rPr>
                              <w:t xml:space="preserve">Ing. Jan </w:t>
                            </w:r>
                            <w:r>
                              <w:rPr>
                                <w:rStyle w:val="Bodytext1"/>
                              </w:rPr>
                              <w:t>Hrdý předseda představenstva</w:t>
                            </w:r>
                          </w:p>
                          <w:p w:rsidR="0065201C" w:rsidRDefault="0065201C">
                            <w:pPr>
                              <w:pStyle w:val="Bodytext10"/>
                              <w:spacing w:after="0"/>
                              <w:rPr>
                                <w:rStyle w:val="Bodytext1"/>
                              </w:rPr>
                            </w:pPr>
                            <w:r>
                              <w:rPr>
                                <w:rStyle w:val="Bodytext1"/>
                                <w:lang w:val="en-US" w:eastAsia="en-US" w:bidi="en-US"/>
                              </w:rPr>
                              <w:t xml:space="preserve">Ing. Martin </w:t>
                            </w:r>
                            <w:r>
                              <w:rPr>
                                <w:rStyle w:val="Bodytext1"/>
                              </w:rPr>
                              <w:t>Déva člen představenstva</w:t>
                            </w:r>
                          </w:p>
                          <w:p w:rsidR="0065201C" w:rsidRDefault="0065201C">
                            <w:pPr>
                              <w:pStyle w:val="Bodytext10"/>
                              <w:spacing w:after="0"/>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left:0;text-align:left;margin-left:56.1pt;margin-top:31.7pt;width:131.3pt;height:77.05pt;z-index:125829380;visibility:visible;mso-wrap-style:square;mso-wrap-distance-left:9pt;mso-wrap-distance-top:30.7pt;mso-wrap-distance-right:23.1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" filled="f" stroked="f">
                <v:textbox inset="0,0,0,0">
                  <w:txbxContent>
                    <w:p w:rsidR="002C7AF4" w:rsidRDefault="00D6769B" w:rsidP="0065201C">
                      <w:pPr>
                        <w:pStyle w:val="Bodytext30"/>
                        <w:spacing w:after="0" w:line="276" w:lineRule="auto"/>
                      </w:pPr>
                      <w:r>
                        <w:rPr>
                          <w:rStyle w:val="Bodytext3"/>
                        </w:rPr>
                        <w:t>'</w:t>
                      </w:r>
                    </w:p>
                    <w:p w:rsidR="002C7AF4" w:rsidRDefault="00D6769B">
                      <w:pPr>
                        <w:pStyle w:val="Bodytext10"/>
                        <w:spacing w:after="0"/>
                      </w:pPr>
                      <w:r>
                        <w:rPr>
                          <w:rStyle w:val="Bodytext1"/>
                          <w:b/>
                          <w:bCs/>
                          <w:lang w:val="en-US" w:eastAsia="en-US" w:bidi="en-US"/>
                        </w:rPr>
                        <w:t xml:space="preserve">Za </w:t>
                      </w:r>
                      <w:proofErr w:type="spellStart"/>
                      <w:r>
                        <w:rPr>
                          <w:rStyle w:val="Bodytext1"/>
                          <w:b/>
                          <w:bCs/>
                          <w:lang w:val="en-US" w:eastAsia="en-US" w:bidi="en-US"/>
                        </w:rPr>
                        <w:t>objednatele</w:t>
                      </w:r>
                      <w:proofErr w:type="spellEnd"/>
                      <w:r>
                        <w:rPr>
                          <w:rStyle w:val="Bodytext1"/>
                          <w:b/>
                          <w:bCs/>
                          <w:lang w:val="en-US" w:eastAsia="en-US" w:bidi="en-US"/>
                        </w:rPr>
                        <w:t>:</w:t>
                      </w:r>
                    </w:p>
                    <w:p w:rsidR="002C7AF4" w:rsidRDefault="00D6769B">
                      <w:pPr>
                        <w:pStyle w:val="Bodytext10"/>
                        <w:spacing w:after="0"/>
                        <w:rPr>
                          <w:rStyle w:val="Bodytext1"/>
                        </w:rPr>
                      </w:pPr>
                      <w:r>
                        <w:rPr>
                          <w:rStyle w:val="Bodytext1"/>
                          <w:lang w:val="en-US" w:eastAsia="en-US" w:bidi="en-US"/>
                        </w:rPr>
                        <w:t xml:space="preserve">Ing. Jan </w:t>
                      </w:r>
                      <w:r>
                        <w:rPr>
                          <w:rStyle w:val="Bodytext1"/>
                        </w:rPr>
                        <w:t>Hrdý předseda představenstva</w:t>
                      </w:r>
                    </w:p>
                    <w:p w:rsidR="0065201C" w:rsidRDefault="0065201C">
                      <w:pPr>
                        <w:pStyle w:val="Bodytext10"/>
                        <w:spacing w:after="0"/>
                        <w:rPr>
                          <w:rStyle w:val="Bodytext1"/>
                        </w:rPr>
                      </w:pPr>
                      <w:r>
                        <w:rPr>
                          <w:rStyle w:val="Bodytext1"/>
                          <w:lang w:val="en-US" w:eastAsia="en-US" w:bidi="en-US"/>
                        </w:rPr>
                        <w:t xml:space="preserve">Ing. Martin </w:t>
                      </w:r>
                      <w:r>
                        <w:rPr>
                          <w:rStyle w:val="Bodytext1"/>
                        </w:rPr>
                        <w:t>Déva člen představenstva</w:t>
                      </w:r>
                    </w:p>
                    <w:p w:rsidR="0065201C" w:rsidRDefault="0065201C">
                      <w:pPr>
                        <w:pStyle w:val="Bodytext10"/>
                        <w:spacing w:after="0"/>
                      </w:pPr>
                    </w:p>
                  </w:txbxContent>
                </v:textbox>
                <w10:wrap type="square" side="right" anchorx="page"/>
              </v:shape>
            </w:pict>
          </mc:Fallback>
        </mc:AlternateContent>
      </w:r>
      <w:r>
        <w:rPr>
          <w:rStyle w:val="Bodytext1"/>
          <w:lang w:val="en-US" w:eastAsia="en-US" w:bidi="en-US"/>
        </w:rPr>
        <w:t xml:space="preserve">V </w:t>
      </w:r>
      <w:r>
        <w:rPr>
          <w:rStyle w:val="Bodytext1"/>
        </w:rPr>
        <w:t>Uherském H</w:t>
      </w:r>
      <w:r w:rsidR="0065201C">
        <w:rPr>
          <w:rStyle w:val="Bodytext1"/>
        </w:rPr>
        <w:t>r</w:t>
      </w:r>
      <w:r>
        <w:rPr>
          <w:rStyle w:val="Bodytext1"/>
        </w:rPr>
        <w:t xml:space="preserve">adišti </w:t>
      </w:r>
      <w:proofErr w:type="spellStart"/>
      <w:r>
        <w:rPr>
          <w:rStyle w:val="Bodytext1"/>
          <w:lang w:val="en-US" w:eastAsia="en-US" w:bidi="en-US"/>
        </w:rPr>
        <w:t>dne</w:t>
      </w:r>
      <w:proofErr w:type="spellEnd"/>
      <w:r>
        <w:rPr>
          <w:rStyle w:val="Bodytext1"/>
          <w:lang w:val="en-US" w:eastAsia="en-US" w:bidi="en-US"/>
        </w:rPr>
        <w:t xml:space="preserve">: </w:t>
      </w:r>
      <w:proofErr w:type="spellStart"/>
      <w:r>
        <w:rPr>
          <w:rStyle w:val="Bodytext1"/>
          <w:lang w:val="en-US" w:eastAsia="en-US" w:bidi="en-US"/>
        </w:rPr>
        <w:t>dle</w:t>
      </w:r>
      <w:proofErr w:type="spellEnd"/>
      <w:r>
        <w:rPr>
          <w:rStyle w:val="Bodytext1"/>
          <w:lang w:val="en-US" w:eastAsia="en-US" w:bidi="en-US"/>
        </w:rPr>
        <w:t xml:space="preserve"> data u </w:t>
      </w:r>
      <w:proofErr w:type="spellStart"/>
      <w:r>
        <w:rPr>
          <w:rStyle w:val="Bodytext1"/>
          <w:lang w:val="en-US" w:eastAsia="en-US" w:bidi="en-US"/>
        </w:rPr>
        <w:t>podpis</w:t>
      </w:r>
      <w:r w:rsidR="003D66FF">
        <w:rPr>
          <w:rStyle w:val="Bodytext1"/>
          <w:lang w:val="en-US" w:eastAsia="en-US" w:bidi="en-US"/>
        </w:rPr>
        <w:t>ů</w:t>
      </w:r>
      <w:bookmarkStart w:id="9" w:name="_GoBack"/>
      <w:bookmarkEnd w:id="9"/>
      <w:proofErr w:type="spellEnd"/>
    </w:p>
    <w:p w:rsidR="002C7AF4" w:rsidRDefault="002C7AF4">
      <w:pPr>
        <w:pStyle w:val="Bodytext20"/>
        <w:ind w:left="3080"/>
      </w:pPr>
    </w:p>
    <w:p w:rsidR="002C7AF4" w:rsidRDefault="002C7AF4" w:rsidP="0065201C">
      <w:pPr>
        <w:pStyle w:val="Bodytext20"/>
        <w:ind w:left="0"/>
      </w:pPr>
    </w:p>
    <w:p w:rsidR="002C7AF4" w:rsidRDefault="00D6769B" w:rsidP="0065201C">
      <w:pPr>
        <w:pStyle w:val="Heading510"/>
        <w:keepNext/>
        <w:keepLines/>
        <w:ind w:left="3276" w:firstLine="264"/>
        <w:jc w:val="left"/>
      </w:pPr>
      <w:bookmarkStart w:id="10" w:name="bookmark24"/>
      <w:r>
        <w:rPr>
          <w:rStyle w:val="Heading51"/>
          <w:b/>
          <w:bCs/>
          <w:u w:val="none"/>
          <w:lang w:val="en-US" w:eastAsia="en-US" w:bidi="en-US"/>
        </w:rPr>
        <w:t xml:space="preserve">Za </w:t>
      </w:r>
      <w:proofErr w:type="spellStart"/>
      <w:r>
        <w:rPr>
          <w:rStyle w:val="Heading51"/>
          <w:b/>
          <w:bCs/>
          <w:u w:val="none"/>
          <w:lang w:val="en-US" w:eastAsia="en-US" w:bidi="en-US"/>
        </w:rPr>
        <w:t>zhotovitele</w:t>
      </w:r>
      <w:proofErr w:type="spellEnd"/>
      <w:r>
        <w:rPr>
          <w:rStyle w:val="Heading51"/>
          <w:b/>
          <w:bCs/>
          <w:u w:val="none"/>
          <w:lang w:val="en-US" w:eastAsia="en-US" w:bidi="en-US"/>
        </w:rPr>
        <w:t>:</w:t>
      </w:r>
      <w:bookmarkEnd w:id="10"/>
    </w:p>
    <w:p w:rsidR="002C7AF4" w:rsidRDefault="00D6769B" w:rsidP="0065201C">
      <w:pPr>
        <w:pStyle w:val="Bodytext10"/>
        <w:spacing w:after="0"/>
        <w:ind w:left="3012" w:firstLine="264"/>
      </w:pPr>
      <w:r>
        <w:rPr>
          <w:rStyle w:val="Bodytext1"/>
          <w:lang w:val="en-US" w:eastAsia="en-US" w:bidi="en-US"/>
        </w:rPr>
        <w:t xml:space="preserve">MUDr. Petr </w:t>
      </w:r>
      <w:r>
        <w:rPr>
          <w:rStyle w:val="Bodytext1"/>
        </w:rPr>
        <w:t>Sládek</w:t>
      </w:r>
    </w:p>
    <w:p w:rsidR="0065201C" w:rsidRDefault="00D6769B" w:rsidP="0065201C">
      <w:pPr>
        <w:pStyle w:val="Bodytext10"/>
        <w:spacing w:after="320"/>
        <w:ind w:left="1860" w:firstLine="264"/>
        <w:rPr>
          <w:rStyle w:val="Bodytext1"/>
        </w:rPr>
      </w:pPr>
      <w:r>
        <w:rPr>
          <w:rStyle w:val="Bodytext1"/>
        </w:rPr>
        <w:t>předseda představenstv</w:t>
      </w:r>
      <w:r w:rsidR="0065201C">
        <w:rPr>
          <w:rStyle w:val="Bodytext1"/>
        </w:rPr>
        <w:t>a</w:t>
      </w:r>
    </w:p>
    <w:p w:rsidR="0065201C" w:rsidRDefault="0065201C" w:rsidP="0065201C">
      <w:pPr>
        <w:pStyle w:val="Bodytext10"/>
        <w:spacing w:after="320"/>
        <w:ind w:left="1860"/>
        <w:rPr>
          <w:rStyle w:val="Bodytext1"/>
          <w:b/>
          <w:bCs/>
          <w:lang w:val="en-US" w:eastAsia="en-US" w:bidi="en-US"/>
        </w:rPr>
      </w:pPr>
    </w:p>
    <w:p w:rsidR="002C7AF4" w:rsidRDefault="002C7AF4">
      <w:pPr>
        <w:pStyle w:val="Bodytext10"/>
        <w:spacing w:after="220"/>
        <w:rPr>
          <w:rStyle w:val="Bodytext1"/>
          <w:b/>
          <w:bCs/>
        </w:rPr>
      </w:pPr>
    </w:p>
    <w:p w:rsidR="0065201C" w:rsidRDefault="0065201C">
      <w:pPr>
        <w:pStyle w:val="Bodytext10"/>
        <w:spacing w:after="220"/>
        <w:rPr>
          <w:rStyle w:val="Bodytext1"/>
          <w:b/>
          <w:bCs/>
        </w:rPr>
      </w:pPr>
    </w:p>
    <w:p w:rsidR="0065201C" w:rsidRDefault="0065201C">
      <w:pPr>
        <w:pStyle w:val="Bodytext10"/>
        <w:spacing w:after="220"/>
        <w:rPr>
          <w:rStyle w:val="Bodytext1"/>
          <w:b/>
          <w:bCs/>
        </w:rPr>
      </w:pPr>
    </w:p>
    <w:p w:rsidR="0065201C" w:rsidRDefault="0065201C">
      <w:pPr>
        <w:pStyle w:val="Bodytext10"/>
        <w:spacing w:after="220"/>
        <w:rPr>
          <w:rStyle w:val="Bodytext1"/>
          <w:b/>
          <w:bCs/>
        </w:rPr>
      </w:pPr>
    </w:p>
    <w:p w:rsidR="0065201C" w:rsidRDefault="0065201C">
      <w:pPr>
        <w:pStyle w:val="Bodytext10"/>
        <w:spacing w:after="220"/>
        <w:rPr>
          <w:rStyle w:val="Bodytext1"/>
          <w:b/>
          <w:bCs/>
        </w:rPr>
      </w:pPr>
    </w:p>
    <w:p w:rsidR="0065201C" w:rsidRDefault="0065201C">
      <w:pPr>
        <w:pStyle w:val="Bodytext10"/>
        <w:spacing w:after="220"/>
        <w:rPr>
          <w:rStyle w:val="Bodytext1"/>
          <w:b/>
          <w:bCs/>
        </w:rPr>
      </w:pPr>
    </w:p>
    <w:p w:rsidR="0065201C" w:rsidRDefault="0065201C">
      <w:pPr>
        <w:pStyle w:val="Bodytext10"/>
        <w:spacing w:after="220"/>
      </w:pPr>
      <w:r>
        <w:t>Příloha č. 1 – Kontaktní údaje odpovědných zástupců smluvních stran</w:t>
      </w:r>
    </w:p>
    <w:p w:rsidR="0065201C" w:rsidRDefault="0065201C">
      <w:pPr>
        <w:pStyle w:val="Bodytext10"/>
        <w:spacing w:after="220"/>
      </w:pPr>
      <w:r>
        <w:t>Za zhotovitele:</w:t>
      </w:r>
    </w:p>
    <w:p w:rsidR="002C7AF4" w:rsidRDefault="0065201C">
      <w:pPr>
        <w:pStyle w:val="Bodytext10"/>
        <w:spacing w:after="0"/>
      </w:pPr>
      <w:proofErr w:type="spellStart"/>
      <w:r>
        <w:rPr>
          <w:rStyle w:val="Bodytext1"/>
          <w:b/>
          <w:bCs/>
        </w:rPr>
        <w:t>xxxxxxxxxxxxxx</w:t>
      </w:r>
      <w:proofErr w:type="spellEnd"/>
      <w:r w:rsidR="00D6769B">
        <w:rPr>
          <w:rStyle w:val="Bodytext1"/>
          <w:b/>
          <w:bCs/>
        </w:rPr>
        <w:t xml:space="preserve">, provozně správní náměstek </w:t>
      </w:r>
      <w:proofErr w:type="spellStart"/>
      <w:r>
        <w:rPr>
          <w:rStyle w:val="Bodytext1"/>
          <w:b/>
          <w:bCs/>
        </w:rPr>
        <w:t>xxxxxxxxxxxxxxxxxxxxxxx</w:t>
      </w:r>
      <w:proofErr w:type="spellEnd"/>
    </w:p>
    <w:p w:rsidR="002C7AF4" w:rsidRDefault="0065201C">
      <w:pPr>
        <w:pStyle w:val="Bodytext10"/>
        <w:spacing w:after="0"/>
      </w:pPr>
      <w:proofErr w:type="spellStart"/>
      <w:r>
        <w:rPr>
          <w:rStyle w:val="Bodytext1"/>
          <w:b/>
          <w:bCs/>
        </w:rPr>
        <w:t>xxxxxxxxxxxx</w:t>
      </w:r>
      <w:proofErr w:type="spellEnd"/>
      <w:r w:rsidR="00D6769B">
        <w:rPr>
          <w:rStyle w:val="Bodytext1"/>
          <w:b/>
          <w:bCs/>
        </w:rPr>
        <w:t xml:space="preserve">, vedoucí útvaru energetika/životní prostředí </w:t>
      </w:r>
      <w:proofErr w:type="spellStart"/>
      <w:r>
        <w:rPr>
          <w:rStyle w:val="Bodytext1"/>
          <w:b/>
          <w:bCs/>
        </w:rPr>
        <w:t>xxxxxxxxxxxxxxxxxxxxx</w:t>
      </w:r>
      <w:proofErr w:type="spellEnd"/>
    </w:p>
    <w:p w:rsidR="002C7AF4" w:rsidRDefault="0065201C" w:rsidP="0065201C">
      <w:pPr>
        <w:pStyle w:val="Bodytext10"/>
        <w:spacing w:after="0"/>
      </w:pPr>
      <w:proofErr w:type="spellStart"/>
      <w:r>
        <w:rPr>
          <w:rStyle w:val="Bodytext1"/>
          <w:b/>
          <w:bCs/>
        </w:rPr>
        <w:t>xxxxxxxxxxxxxxxxxxxxxx</w:t>
      </w:r>
      <w:proofErr w:type="spellEnd"/>
      <w:r w:rsidR="00D6769B">
        <w:rPr>
          <w:rStyle w:val="Bodytext1"/>
          <w:b/>
          <w:bCs/>
        </w:rPr>
        <w:t>, technik</w:t>
      </w:r>
      <w:r>
        <w:rPr>
          <w:rStyle w:val="Bodytext1"/>
          <w:b/>
          <w:bCs/>
        </w:rPr>
        <w:t xml:space="preserve"> </w:t>
      </w:r>
      <w:proofErr w:type="spellStart"/>
      <w:r>
        <w:rPr>
          <w:rStyle w:val="Bodytext1"/>
          <w:b/>
          <w:bCs/>
        </w:rPr>
        <w:t>xxxxxxxxxxxxxxxxxxx</w:t>
      </w:r>
      <w:proofErr w:type="spellEnd"/>
    </w:p>
    <w:p w:rsidR="002C7AF4" w:rsidRDefault="00D6769B">
      <w:pPr>
        <w:pStyle w:val="Bodytext10"/>
        <w:spacing w:after="220"/>
      </w:pPr>
      <w:r>
        <w:rPr>
          <w:rStyle w:val="Bodytext1"/>
          <w:b/>
          <w:bCs/>
        </w:rPr>
        <w:t>Za objednatele:</w:t>
      </w:r>
    </w:p>
    <w:p w:rsidR="002C7AF4" w:rsidRDefault="0065201C">
      <w:pPr>
        <w:pStyle w:val="Bodytext10"/>
        <w:spacing w:after="0"/>
      </w:pPr>
      <w:proofErr w:type="spellStart"/>
      <w:r>
        <w:rPr>
          <w:rStyle w:val="Bodytext1"/>
          <w:b/>
          <w:bCs/>
        </w:rPr>
        <w:t>xxxxxxxxxxxxx</w:t>
      </w:r>
      <w:proofErr w:type="spellEnd"/>
      <w:r w:rsidR="00D6769B">
        <w:rPr>
          <w:rStyle w:val="Bodytext1"/>
          <w:b/>
          <w:bCs/>
        </w:rPr>
        <w:t xml:space="preserve">, náměstek pro provoz a bezpečnost </w:t>
      </w:r>
      <w:proofErr w:type="spellStart"/>
      <w:r>
        <w:rPr>
          <w:rStyle w:val="Bodytext1"/>
          <w:b/>
          <w:bCs/>
        </w:rPr>
        <w:t>xxxxxxxxxxxxxxxxxxx</w:t>
      </w:r>
      <w:proofErr w:type="spellEnd"/>
    </w:p>
    <w:p w:rsidR="002C7AF4" w:rsidRDefault="0065201C">
      <w:pPr>
        <w:pStyle w:val="Bodytext10"/>
        <w:spacing w:after="0"/>
      </w:pPr>
      <w:proofErr w:type="spellStart"/>
      <w:r>
        <w:rPr>
          <w:rStyle w:val="Bodytext1"/>
          <w:b/>
          <w:bCs/>
        </w:rPr>
        <w:t>xxxxxxxxxxxxx</w:t>
      </w:r>
      <w:proofErr w:type="spellEnd"/>
      <w:r w:rsidR="00D6769B">
        <w:rPr>
          <w:rStyle w:val="Bodytext1"/>
          <w:b/>
          <w:bCs/>
        </w:rPr>
        <w:t>, vedoucí oddělení provozu a bezpečnost</w:t>
      </w:r>
      <w:r>
        <w:rPr>
          <w:rStyle w:val="Bodytext1"/>
          <w:b/>
          <w:bCs/>
        </w:rPr>
        <w:t xml:space="preserve">i </w:t>
      </w:r>
      <w:proofErr w:type="spellStart"/>
      <w:r>
        <w:rPr>
          <w:rStyle w:val="Bodytext1"/>
          <w:b/>
          <w:bCs/>
        </w:rPr>
        <w:t>xxxxxxxxxxxxxxxxxxxxxxxx</w:t>
      </w:r>
      <w:proofErr w:type="spellEnd"/>
    </w:p>
    <w:p w:rsidR="002C7AF4" w:rsidRDefault="0065201C">
      <w:pPr>
        <w:pStyle w:val="Bodytext10"/>
        <w:spacing w:after="0"/>
        <w:sectPr w:rsidR="002C7AF4">
          <w:headerReference w:type="default" r:id="rId9"/>
          <w:pgSz w:w="11900" w:h="16840"/>
          <w:pgMar w:top="1825" w:right="1085" w:bottom="1825" w:left="1109" w:header="0" w:footer="1397" w:gutter="0"/>
          <w:cols w:space="720"/>
          <w:noEndnote/>
          <w:docGrid w:linePitch="360"/>
        </w:sectPr>
      </w:pPr>
      <w:proofErr w:type="spellStart"/>
      <w:r>
        <w:rPr>
          <w:rStyle w:val="Bodytext1"/>
          <w:b/>
          <w:bCs/>
        </w:rPr>
        <w:t>xxxxxxxxxxxxxxx</w:t>
      </w:r>
      <w:proofErr w:type="spellEnd"/>
      <w:r w:rsidR="00D6769B">
        <w:rPr>
          <w:rStyle w:val="Bodytext1"/>
          <w:b/>
          <w:bCs/>
        </w:rPr>
        <w:t>, specializovaný technik (od</w:t>
      </w:r>
      <w:r>
        <w:rPr>
          <w:rStyle w:val="Bodytext1"/>
          <w:b/>
          <w:bCs/>
        </w:rPr>
        <w:t xml:space="preserve">pady) </w:t>
      </w:r>
      <w:proofErr w:type="spellStart"/>
      <w:r>
        <w:rPr>
          <w:rStyle w:val="Bodytext1"/>
          <w:b/>
          <w:bCs/>
        </w:rPr>
        <w:t>xxxxxxxxxxxxxxxxxxxx</w:t>
      </w:r>
      <w:proofErr w:type="spellEnd"/>
    </w:p>
    <w:p w:rsidR="002C7AF4" w:rsidRDefault="00D6769B">
      <w:pPr>
        <w:pStyle w:val="Tablecaption10"/>
      </w:pPr>
      <w:r>
        <w:rPr>
          <w:rStyle w:val="Tablecaption1"/>
          <w:b/>
          <w:bCs/>
        </w:rPr>
        <w:lastRenderedPageBreak/>
        <w:t xml:space="preserve">Příloha č. 2 </w:t>
      </w:r>
      <w:r>
        <w:rPr>
          <w:rStyle w:val="Tablecaption1"/>
        </w:rPr>
        <w:t>– Kódy likvidovaných nebezpečných odpadů</w:t>
      </w:r>
    </w:p>
    <w:tbl>
      <w:tblPr>
        <w:tblOverlap w:val="never"/>
        <w:tblW w:w="0" w:type="auto"/>
        <w:tblLayout w:type="fixed"/>
        <w:tblCellMar>
          <w:left w:w="10" w:type="dxa"/>
          <w:right w:w="10" w:type="dxa"/>
        </w:tblCellMar>
        <w:tblLook w:val="04A0" w:firstRow="1" w:lastRow="0" w:firstColumn="1" w:lastColumn="0" w:noHBand="0" w:noVBand="1"/>
      </w:tblPr>
      <w:tblGrid>
        <w:gridCol w:w="984"/>
        <w:gridCol w:w="2424"/>
        <w:gridCol w:w="4550"/>
      </w:tblGrid>
      <w:tr w:rsidR="002C7AF4">
        <w:trPr>
          <w:trHeight w:hRule="exact" w:val="1349"/>
        </w:trPr>
        <w:tc>
          <w:tcPr>
            <w:tcW w:w="984" w:type="dxa"/>
            <w:tcBorders>
              <w:top w:val="single" w:sz="4" w:space="0" w:color="auto"/>
              <w:left w:val="single" w:sz="4" w:space="0" w:color="auto"/>
            </w:tcBorders>
            <w:shd w:val="clear" w:color="auto" w:fill="auto"/>
            <w:vAlign w:val="center"/>
          </w:tcPr>
          <w:p w:rsidR="002C7AF4" w:rsidRDefault="00D6769B">
            <w:pPr>
              <w:pStyle w:val="Other10"/>
              <w:spacing w:after="0"/>
              <w:ind w:firstLine="220"/>
            </w:pPr>
            <w:r>
              <w:rPr>
                <w:rStyle w:val="Other1"/>
                <w:rFonts w:ascii="Segoe UI" w:eastAsia="Segoe UI" w:hAnsi="Segoe UI" w:cs="Segoe UI"/>
              </w:rPr>
              <w:t>Pol. č.</w:t>
            </w:r>
          </w:p>
        </w:tc>
        <w:tc>
          <w:tcPr>
            <w:tcW w:w="2424" w:type="dxa"/>
            <w:tcBorders>
              <w:top w:val="single" w:sz="4" w:space="0" w:color="auto"/>
              <w:left w:val="single" w:sz="4" w:space="0" w:color="auto"/>
            </w:tcBorders>
            <w:shd w:val="clear" w:color="auto" w:fill="auto"/>
            <w:vAlign w:val="center"/>
          </w:tcPr>
          <w:p w:rsidR="002C7AF4" w:rsidRDefault="00D6769B">
            <w:pPr>
              <w:pStyle w:val="Other10"/>
              <w:spacing w:after="0"/>
              <w:jc w:val="center"/>
            </w:pPr>
            <w:r>
              <w:rPr>
                <w:rStyle w:val="Other1"/>
                <w:rFonts w:ascii="Segoe UI" w:eastAsia="Segoe UI" w:hAnsi="Segoe UI" w:cs="Segoe UI"/>
              </w:rPr>
              <w:t>Kód odpadu</w:t>
            </w:r>
          </w:p>
        </w:tc>
        <w:tc>
          <w:tcPr>
            <w:tcW w:w="4550" w:type="dxa"/>
            <w:tcBorders>
              <w:top w:val="single" w:sz="4" w:space="0" w:color="auto"/>
              <w:left w:val="single" w:sz="4" w:space="0" w:color="auto"/>
              <w:right w:val="single" w:sz="4" w:space="0" w:color="auto"/>
            </w:tcBorders>
            <w:shd w:val="clear" w:color="auto" w:fill="auto"/>
            <w:vAlign w:val="center"/>
          </w:tcPr>
          <w:p w:rsidR="002C7AF4" w:rsidRDefault="00D6769B">
            <w:pPr>
              <w:pStyle w:val="Other10"/>
              <w:spacing w:after="0"/>
              <w:jc w:val="center"/>
            </w:pPr>
            <w:r>
              <w:rPr>
                <w:rStyle w:val="Other1"/>
                <w:rFonts w:ascii="Segoe UI" w:eastAsia="Segoe UI" w:hAnsi="Segoe UI" w:cs="Segoe UI"/>
              </w:rPr>
              <w:t>druh odpadu</w:t>
            </w:r>
          </w:p>
        </w:tc>
      </w:tr>
      <w:tr w:rsidR="002C7AF4">
        <w:trPr>
          <w:trHeight w:hRule="exact" w:val="1022"/>
        </w:trPr>
        <w:tc>
          <w:tcPr>
            <w:tcW w:w="984" w:type="dxa"/>
            <w:tcBorders>
              <w:top w:val="single" w:sz="4" w:space="0" w:color="auto"/>
              <w:left w:val="single" w:sz="4" w:space="0" w:color="auto"/>
            </w:tcBorders>
            <w:shd w:val="clear" w:color="auto" w:fill="auto"/>
            <w:vAlign w:val="center"/>
          </w:tcPr>
          <w:p w:rsidR="002C7AF4" w:rsidRDefault="00D6769B">
            <w:pPr>
              <w:pStyle w:val="Other10"/>
              <w:spacing w:after="0"/>
              <w:ind w:firstLine="420"/>
            </w:pPr>
            <w:r>
              <w:rPr>
                <w:rStyle w:val="Other1"/>
                <w:rFonts w:ascii="Segoe UI" w:eastAsia="Segoe UI" w:hAnsi="Segoe UI" w:cs="Segoe UI"/>
              </w:rPr>
              <w:t>1</w:t>
            </w:r>
          </w:p>
        </w:tc>
        <w:tc>
          <w:tcPr>
            <w:tcW w:w="2424" w:type="dxa"/>
            <w:tcBorders>
              <w:top w:val="single" w:sz="4" w:space="0" w:color="auto"/>
              <w:left w:val="single" w:sz="4" w:space="0" w:color="auto"/>
            </w:tcBorders>
            <w:shd w:val="clear" w:color="auto" w:fill="auto"/>
            <w:vAlign w:val="center"/>
          </w:tcPr>
          <w:p w:rsidR="002C7AF4" w:rsidRDefault="00D6769B">
            <w:pPr>
              <w:pStyle w:val="Other10"/>
              <w:spacing w:after="0"/>
            </w:pPr>
            <w:r>
              <w:rPr>
                <w:rStyle w:val="Other1"/>
                <w:rFonts w:ascii="Segoe UI" w:eastAsia="Segoe UI" w:hAnsi="Segoe UI" w:cs="Segoe UI"/>
              </w:rPr>
              <w:t>18010301</w:t>
            </w:r>
          </w:p>
        </w:tc>
        <w:tc>
          <w:tcPr>
            <w:tcW w:w="4550" w:type="dxa"/>
            <w:tcBorders>
              <w:top w:val="single" w:sz="4" w:space="0" w:color="auto"/>
              <w:left w:val="single" w:sz="4" w:space="0" w:color="auto"/>
              <w:right w:val="single" w:sz="4" w:space="0" w:color="auto"/>
            </w:tcBorders>
            <w:shd w:val="clear" w:color="auto" w:fill="auto"/>
            <w:vAlign w:val="center"/>
          </w:tcPr>
          <w:p w:rsidR="002C7AF4" w:rsidRDefault="00D6769B">
            <w:pPr>
              <w:pStyle w:val="Other10"/>
              <w:spacing w:after="0"/>
            </w:pPr>
            <w:r>
              <w:rPr>
                <w:rStyle w:val="Other1"/>
                <w:rFonts w:ascii="Segoe UI" w:eastAsia="Segoe UI" w:hAnsi="Segoe UI" w:cs="Segoe UI"/>
              </w:rPr>
              <w:t>Ostré předměty, na jejichž sběr a odstraňování jsou kladeny zvláštní požadavky s ohledem na prevenci infekce</w:t>
            </w:r>
          </w:p>
        </w:tc>
      </w:tr>
      <w:tr w:rsidR="002C7AF4">
        <w:trPr>
          <w:trHeight w:hRule="exact" w:val="1022"/>
        </w:trPr>
        <w:tc>
          <w:tcPr>
            <w:tcW w:w="984" w:type="dxa"/>
            <w:tcBorders>
              <w:top w:val="single" w:sz="4" w:space="0" w:color="auto"/>
              <w:left w:val="single" w:sz="4" w:space="0" w:color="auto"/>
            </w:tcBorders>
            <w:shd w:val="clear" w:color="auto" w:fill="auto"/>
            <w:vAlign w:val="center"/>
          </w:tcPr>
          <w:p w:rsidR="002C7AF4" w:rsidRDefault="00D6769B">
            <w:pPr>
              <w:pStyle w:val="Other10"/>
              <w:spacing w:after="0"/>
              <w:ind w:firstLine="420"/>
            </w:pPr>
            <w:r>
              <w:rPr>
                <w:rStyle w:val="Other1"/>
                <w:rFonts w:ascii="Segoe UI" w:eastAsia="Segoe UI" w:hAnsi="Segoe UI" w:cs="Segoe UI"/>
              </w:rPr>
              <w:t>2</w:t>
            </w:r>
          </w:p>
        </w:tc>
        <w:tc>
          <w:tcPr>
            <w:tcW w:w="2424" w:type="dxa"/>
            <w:tcBorders>
              <w:top w:val="single" w:sz="4" w:space="0" w:color="auto"/>
              <w:left w:val="single" w:sz="4" w:space="0" w:color="auto"/>
            </w:tcBorders>
            <w:shd w:val="clear" w:color="auto" w:fill="auto"/>
            <w:vAlign w:val="center"/>
          </w:tcPr>
          <w:p w:rsidR="002C7AF4" w:rsidRDefault="00D6769B">
            <w:pPr>
              <w:pStyle w:val="Other10"/>
              <w:spacing w:after="0"/>
            </w:pPr>
            <w:r>
              <w:rPr>
                <w:rStyle w:val="Other1"/>
                <w:rFonts w:ascii="Segoe UI" w:eastAsia="Segoe UI" w:hAnsi="Segoe UI" w:cs="Segoe UI"/>
              </w:rPr>
              <w:t>18010302</w:t>
            </w:r>
          </w:p>
        </w:tc>
        <w:tc>
          <w:tcPr>
            <w:tcW w:w="4550" w:type="dxa"/>
            <w:tcBorders>
              <w:top w:val="single" w:sz="4" w:space="0" w:color="auto"/>
              <w:left w:val="single" w:sz="4" w:space="0" w:color="auto"/>
              <w:right w:val="single" w:sz="4" w:space="0" w:color="auto"/>
            </w:tcBorders>
            <w:shd w:val="clear" w:color="auto" w:fill="auto"/>
            <w:vAlign w:val="center"/>
          </w:tcPr>
          <w:p w:rsidR="002C7AF4" w:rsidRDefault="00D6769B">
            <w:pPr>
              <w:pStyle w:val="Other10"/>
              <w:spacing w:after="0"/>
            </w:pPr>
            <w:r>
              <w:rPr>
                <w:rStyle w:val="Other1"/>
                <w:rFonts w:ascii="Segoe UI" w:eastAsia="Segoe UI" w:hAnsi="Segoe UI" w:cs="Segoe UI"/>
              </w:rPr>
              <w:t>Části těla a orgány včetně krevních vaků a krevních konzerv (kromě čísla 18 01 03)</w:t>
            </w:r>
          </w:p>
        </w:tc>
      </w:tr>
      <w:tr w:rsidR="002C7AF4">
        <w:trPr>
          <w:trHeight w:hRule="exact" w:val="1018"/>
        </w:trPr>
        <w:tc>
          <w:tcPr>
            <w:tcW w:w="984" w:type="dxa"/>
            <w:tcBorders>
              <w:top w:val="single" w:sz="4" w:space="0" w:color="auto"/>
              <w:left w:val="single" w:sz="4" w:space="0" w:color="auto"/>
            </w:tcBorders>
            <w:shd w:val="clear" w:color="auto" w:fill="auto"/>
            <w:vAlign w:val="center"/>
          </w:tcPr>
          <w:p w:rsidR="002C7AF4" w:rsidRDefault="00D6769B">
            <w:pPr>
              <w:pStyle w:val="Other10"/>
              <w:spacing w:after="0"/>
              <w:ind w:firstLine="420"/>
            </w:pPr>
            <w:r>
              <w:rPr>
                <w:rStyle w:val="Other1"/>
                <w:rFonts w:ascii="Segoe UI" w:eastAsia="Segoe UI" w:hAnsi="Segoe UI" w:cs="Segoe UI"/>
              </w:rPr>
              <w:t>3</w:t>
            </w:r>
          </w:p>
        </w:tc>
        <w:tc>
          <w:tcPr>
            <w:tcW w:w="2424" w:type="dxa"/>
            <w:tcBorders>
              <w:top w:val="single" w:sz="4" w:space="0" w:color="auto"/>
              <w:left w:val="single" w:sz="4" w:space="0" w:color="auto"/>
            </w:tcBorders>
            <w:shd w:val="clear" w:color="auto" w:fill="auto"/>
            <w:vAlign w:val="center"/>
          </w:tcPr>
          <w:p w:rsidR="002C7AF4" w:rsidRDefault="00D6769B">
            <w:pPr>
              <w:pStyle w:val="Other10"/>
              <w:spacing w:after="0"/>
            </w:pPr>
            <w:r>
              <w:rPr>
                <w:rStyle w:val="Other1"/>
                <w:rFonts w:ascii="Segoe UI" w:eastAsia="Segoe UI" w:hAnsi="Segoe UI" w:cs="Segoe UI"/>
              </w:rPr>
              <w:t>18 01 03</w:t>
            </w:r>
          </w:p>
        </w:tc>
        <w:tc>
          <w:tcPr>
            <w:tcW w:w="4550" w:type="dxa"/>
            <w:tcBorders>
              <w:top w:val="single" w:sz="4" w:space="0" w:color="auto"/>
              <w:left w:val="single" w:sz="4" w:space="0" w:color="auto"/>
              <w:right w:val="single" w:sz="4" w:space="0" w:color="auto"/>
            </w:tcBorders>
            <w:shd w:val="clear" w:color="auto" w:fill="auto"/>
            <w:vAlign w:val="center"/>
          </w:tcPr>
          <w:p w:rsidR="002C7AF4" w:rsidRDefault="00D6769B">
            <w:pPr>
              <w:pStyle w:val="Other10"/>
              <w:spacing w:after="0"/>
            </w:pPr>
            <w:r>
              <w:rPr>
                <w:rStyle w:val="Other1"/>
                <w:rFonts w:ascii="Segoe UI" w:eastAsia="Segoe UI" w:hAnsi="Segoe UI" w:cs="Segoe UI"/>
              </w:rPr>
              <w:t>Odpady, na jejichž sběr a odstraňování jsou kladeny zvláštní požadavky s ohledem na prevenci infekce</w:t>
            </w:r>
          </w:p>
        </w:tc>
      </w:tr>
      <w:tr w:rsidR="002C7AF4">
        <w:trPr>
          <w:trHeight w:hRule="exact" w:val="1022"/>
        </w:trPr>
        <w:tc>
          <w:tcPr>
            <w:tcW w:w="984" w:type="dxa"/>
            <w:tcBorders>
              <w:top w:val="single" w:sz="4" w:space="0" w:color="auto"/>
              <w:left w:val="single" w:sz="4" w:space="0" w:color="auto"/>
            </w:tcBorders>
            <w:shd w:val="clear" w:color="auto" w:fill="auto"/>
            <w:vAlign w:val="center"/>
          </w:tcPr>
          <w:p w:rsidR="002C7AF4" w:rsidRDefault="00D6769B">
            <w:pPr>
              <w:pStyle w:val="Other10"/>
              <w:spacing w:after="0"/>
              <w:ind w:firstLine="420"/>
            </w:pPr>
            <w:r>
              <w:rPr>
                <w:rStyle w:val="Other1"/>
                <w:rFonts w:ascii="Segoe UI" w:eastAsia="Segoe UI" w:hAnsi="Segoe UI" w:cs="Segoe UI"/>
              </w:rPr>
              <w:t>4</w:t>
            </w:r>
          </w:p>
        </w:tc>
        <w:tc>
          <w:tcPr>
            <w:tcW w:w="2424" w:type="dxa"/>
            <w:tcBorders>
              <w:top w:val="single" w:sz="4" w:space="0" w:color="auto"/>
              <w:left w:val="single" w:sz="4" w:space="0" w:color="auto"/>
            </w:tcBorders>
            <w:shd w:val="clear" w:color="auto" w:fill="auto"/>
            <w:vAlign w:val="center"/>
          </w:tcPr>
          <w:p w:rsidR="002C7AF4" w:rsidRDefault="00D6769B">
            <w:pPr>
              <w:pStyle w:val="Other10"/>
              <w:spacing w:after="0"/>
            </w:pPr>
            <w:r>
              <w:rPr>
                <w:rStyle w:val="Other1"/>
                <w:rFonts w:ascii="Segoe UI" w:eastAsia="Segoe UI" w:hAnsi="Segoe UI" w:cs="Segoe UI"/>
              </w:rPr>
              <w:t>18 01 08</w:t>
            </w:r>
          </w:p>
        </w:tc>
        <w:tc>
          <w:tcPr>
            <w:tcW w:w="4550" w:type="dxa"/>
            <w:tcBorders>
              <w:top w:val="single" w:sz="4" w:space="0" w:color="auto"/>
              <w:left w:val="single" w:sz="4" w:space="0" w:color="auto"/>
              <w:right w:val="single" w:sz="4" w:space="0" w:color="auto"/>
            </w:tcBorders>
            <w:shd w:val="clear" w:color="auto" w:fill="auto"/>
            <w:vAlign w:val="center"/>
          </w:tcPr>
          <w:p w:rsidR="002C7AF4" w:rsidRDefault="00D6769B">
            <w:pPr>
              <w:pStyle w:val="Other10"/>
              <w:spacing w:after="0"/>
            </w:pPr>
            <w:r>
              <w:rPr>
                <w:rStyle w:val="Other1"/>
                <w:rFonts w:ascii="Segoe UI" w:eastAsia="Segoe UI" w:hAnsi="Segoe UI" w:cs="Segoe UI"/>
              </w:rPr>
              <w:t>Nepoužitelná cytostatika</w:t>
            </w:r>
          </w:p>
        </w:tc>
      </w:tr>
      <w:tr w:rsidR="002C7AF4">
        <w:trPr>
          <w:trHeight w:hRule="exact" w:val="1046"/>
        </w:trPr>
        <w:tc>
          <w:tcPr>
            <w:tcW w:w="984" w:type="dxa"/>
            <w:tcBorders>
              <w:top w:val="single" w:sz="4" w:space="0" w:color="auto"/>
              <w:left w:val="single" w:sz="4" w:space="0" w:color="auto"/>
              <w:bottom w:val="single" w:sz="4" w:space="0" w:color="auto"/>
            </w:tcBorders>
            <w:shd w:val="clear" w:color="auto" w:fill="auto"/>
            <w:vAlign w:val="center"/>
          </w:tcPr>
          <w:p w:rsidR="002C7AF4" w:rsidRDefault="00D6769B">
            <w:pPr>
              <w:pStyle w:val="Other10"/>
              <w:spacing w:after="0"/>
              <w:ind w:firstLine="420"/>
            </w:pPr>
            <w:r>
              <w:rPr>
                <w:rStyle w:val="Other1"/>
                <w:rFonts w:ascii="Segoe UI" w:eastAsia="Segoe UI" w:hAnsi="Segoe UI" w:cs="Segoe UI"/>
              </w:rPr>
              <w:t>5</w:t>
            </w:r>
          </w:p>
        </w:tc>
        <w:tc>
          <w:tcPr>
            <w:tcW w:w="2424" w:type="dxa"/>
            <w:tcBorders>
              <w:top w:val="single" w:sz="4" w:space="0" w:color="auto"/>
              <w:left w:val="single" w:sz="4" w:space="0" w:color="auto"/>
              <w:bottom w:val="single" w:sz="4" w:space="0" w:color="auto"/>
            </w:tcBorders>
            <w:shd w:val="clear" w:color="auto" w:fill="auto"/>
            <w:vAlign w:val="center"/>
          </w:tcPr>
          <w:p w:rsidR="002C7AF4" w:rsidRDefault="00D6769B">
            <w:pPr>
              <w:pStyle w:val="Other10"/>
              <w:spacing w:after="0"/>
            </w:pPr>
            <w:r>
              <w:rPr>
                <w:rStyle w:val="Other1"/>
                <w:rFonts w:ascii="Segoe UI" w:eastAsia="Segoe UI" w:hAnsi="Segoe UI" w:cs="Segoe UI"/>
              </w:rPr>
              <w:t>18 01 09</w:t>
            </w:r>
          </w:p>
        </w:tc>
        <w:tc>
          <w:tcPr>
            <w:tcW w:w="4550" w:type="dxa"/>
            <w:tcBorders>
              <w:top w:val="single" w:sz="4" w:space="0" w:color="auto"/>
              <w:left w:val="single" w:sz="4" w:space="0" w:color="auto"/>
              <w:bottom w:val="single" w:sz="4" w:space="0" w:color="auto"/>
              <w:right w:val="single" w:sz="4" w:space="0" w:color="auto"/>
            </w:tcBorders>
            <w:shd w:val="clear" w:color="auto" w:fill="auto"/>
            <w:vAlign w:val="center"/>
          </w:tcPr>
          <w:p w:rsidR="002C7AF4" w:rsidRDefault="00D6769B">
            <w:pPr>
              <w:pStyle w:val="Other10"/>
              <w:spacing w:after="0"/>
            </w:pPr>
            <w:r>
              <w:rPr>
                <w:rStyle w:val="Other1"/>
                <w:rFonts w:ascii="Segoe UI" w:eastAsia="Segoe UI" w:hAnsi="Segoe UI" w:cs="Segoe UI"/>
              </w:rPr>
              <w:t>Jiná nepoužitelná léčiva neuvedená pod číslem 180108</w:t>
            </w:r>
          </w:p>
        </w:tc>
      </w:tr>
    </w:tbl>
    <w:p w:rsidR="002C7AF4" w:rsidRDefault="002C7AF4">
      <w:pPr>
        <w:sectPr w:rsidR="002C7AF4">
          <w:headerReference w:type="default" r:id="rId10"/>
          <w:pgSz w:w="11900" w:h="16840"/>
          <w:pgMar w:top="1126" w:right="1088" w:bottom="766" w:left="1107" w:header="698" w:footer="338" w:gutter="0"/>
          <w:cols w:space="720"/>
          <w:noEndnote/>
          <w:docGrid w:linePitch="360"/>
        </w:sectPr>
      </w:pPr>
    </w:p>
    <w:p w:rsidR="002C7AF4" w:rsidRDefault="002C7AF4" w:rsidP="0065201C">
      <w:pPr>
        <w:pStyle w:val="Heading310"/>
        <w:keepNext/>
        <w:keepLines/>
      </w:pPr>
    </w:p>
    <w:sectPr w:rsidR="002C7AF4" w:rsidSect="0065201C">
      <w:headerReference w:type="default" r:id="rId11"/>
      <w:pgSz w:w="11900" w:h="16840"/>
      <w:pgMar w:top="1623" w:right="4774" w:bottom="4844" w:left="1645" w:header="0" w:footer="441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A75" w:rsidRDefault="00821A75">
      <w:r>
        <w:separator/>
      </w:r>
    </w:p>
  </w:endnote>
  <w:endnote w:type="continuationSeparator" w:id="0">
    <w:p w:rsidR="00821A75" w:rsidRDefault="00821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A75" w:rsidRDefault="00821A75"/>
  </w:footnote>
  <w:footnote w:type="continuationSeparator" w:id="0">
    <w:p w:rsidR="00821A75" w:rsidRDefault="00821A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AF4" w:rsidRDefault="00D6769B">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725805</wp:posOffset>
              </wp:positionH>
              <wp:positionV relativeFrom="page">
                <wp:posOffset>744220</wp:posOffset>
              </wp:positionV>
              <wp:extent cx="3938270" cy="121920"/>
              <wp:effectExtent l="0" t="0" r="0" b="0"/>
              <wp:wrapNone/>
              <wp:docPr id="5" name="Shape 5"/>
              <wp:cNvGraphicFramePr/>
              <a:graphic xmlns:a="http://schemas.openxmlformats.org/drawingml/2006/main">
                <a:graphicData uri="http://schemas.microsoft.com/office/word/2010/wordprocessingShape">
                  <wps:wsp>
                    <wps:cNvSpPr txBox="1"/>
                    <wps:spPr>
                      <a:xfrm>
                        <a:off x="0" y="0"/>
                        <a:ext cx="3938270" cy="121920"/>
                      </a:xfrm>
                      <a:prstGeom prst="rect">
                        <a:avLst/>
                      </a:prstGeom>
                      <a:noFill/>
                    </wps:spPr>
                    <wps:txbx>
                      <w:txbxContent>
                        <w:p w:rsidR="002C7AF4" w:rsidRDefault="00D6769B">
                          <w:pPr>
                            <w:pStyle w:val="Headerorfooter20"/>
                          </w:pPr>
                          <w:r>
                            <w:rPr>
                              <w:rStyle w:val="Headerorfooter2"/>
                              <w:rFonts w:ascii="Arial" w:eastAsia="Arial" w:hAnsi="Arial" w:cs="Arial"/>
                              <w:b/>
                              <w:bCs/>
                            </w:rPr>
                            <w:t xml:space="preserve">Příloha č. 1 </w:t>
                          </w:r>
                          <w:r>
                            <w:rPr>
                              <w:rStyle w:val="Headerorfooter2"/>
                              <w:rFonts w:ascii="Arial" w:eastAsia="Arial" w:hAnsi="Arial" w:cs="Arial"/>
                            </w:rPr>
                            <w:t>– Kontaktní údaje odpovědných zástupců smluvních stran</w:t>
                          </w:r>
                        </w:p>
                      </w:txbxContent>
                    </wps:txbx>
                    <wps:bodyPr wrap="none" lIns="0" tIns="0" rIns="0" bIns="0">
                      <a:spAutoFit/>
                    </wps:bodyPr>
                  </wps:wsp>
                </a:graphicData>
              </a:graphic>
            </wp:anchor>
          </w:drawing>
        </mc:Choice>
        <mc:Fallback>
          <w:pict>
            <v:shape id="_x0000_s1031" type="#_x0000_t202" style="position:absolute;margin-left:57.149999999999999pt;margin-top:58.600000000000001pt;width:310.10000000000002pt;height:9.5999999999999996pt;z-index:-188744063;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pPr>
                    <w:r>
                      <w:rPr>
                        <w:rStyle w:val="CharStyle26"/>
                        <w:rFonts w:ascii="Arial" w:eastAsia="Arial" w:hAnsi="Arial" w:cs="Arial"/>
                        <w:b/>
                        <w:bCs/>
                      </w:rPr>
                      <w:t xml:space="preserve">Příloha č. 1 </w:t>
                    </w:r>
                    <w:r>
                      <w:rPr>
                        <w:rStyle w:val="CharStyle26"/>
                        <w:rFonts w:ascii="Arial" w:eastAsia="Arial" w:hAnsi="Arial" w:cs="Arial"/>
                      </w:rPr>
                      <w:t>– Kontaktní údaje odpovědných zástupců smluvních stran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AF4" w:rsidRDefault="002C7A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AF4" w:rsidRPr="0065201C" w:rsidRDefault="002C7AF4" w:rsidP="006520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06DE"/>
    <w:multiLevelType w:val="multilevel"/>
    <w:tmpl w:val="25F461E6"/>
    <w:lvl w:ilvl="0">
      <w:start w:val="5"/>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E9093E"/>
    <w:multiLevelType w:val="multilevel"/>
    <w:tmpl w:val="5E9E416A"/>
    <w:lvl w:ilvl="0">
      <w:start w:val="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C403C2"/>
    <w:multiLevelType w:val="multilevel"/>
    <w:tmpl w:val="C3669BE0"/>
    <w:lvl w:ilvl="0">
      <w:start w:val="6"/>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F8682A"/>
    <w:multiLevelType w:val="multilevel"/>
    <w:tmpl w:val="B44C4838"/>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CF73B4"/>
    <w:multiLevelType w:val="multilevel"/>
    <w:tmpl w:val="1F4E3376"/>
    <w:lvl w:ilvl="0">
      <w:start w:val="1"/>
      <w:numFmt w:val="bullet"/>
      <w:lvlText w:val="•"/>
      <w:lvlJc w:val="left"/>
      <w:rPr>
        <w:rFonts w:ascii="Arial" w:eastAsia="Arial" w:hAnsi="Arial" w:cs="Arial"/>
        <w:b w:val="0"/>
        <w:bCs w:val="0"/>
        <w:i w:val="0"/>
        <w:iCs w:val="0"/>
        <w:smallCaps w:val="0"/>
        <w:strike w:val="0"/>
        <w:color w:val="000000"/>
        <w:spacing w:val="0"/>
        <w:w w:val="100"/>
        <w:position w:val="0"/>
        <w:sz w:val="36"/>
        <w:szCs w:val="3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1B270C"/>
    <w:multiLevelType w:val="multilevel"/>
    <w:tmpl w:val="4FA82F4C"/>
    <w:lvl w:ilvl="0">
      <w:start w:val="4"/>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82C022D"/>
    <w:multiLevelType w:val="multilevel"/>
    <w:tmpl w:val="509028F2"/>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AF4"/>
    <w:rsid w:val="002C7AF4"/>
    <w:rsid w:val="003D66FF"/>
    <w:rsid w:val="0065201C"/>
    <w:rsid w:val="00821A75"/>
    <w:rsid w:val="00D676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C71B9"/>
  <w15:docId w15:val="{3B334023-63D3-425F-877E-44558477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2"/>
      <w:szCs w:val="12"/>
      <w:u w:val="none"/>
      <w:lang w:val="en-US" w:eastAsia="en-US" w:bidi="en-US"/>
    </w:rPr>
  </w:style>
  <w:style w:type="character" w:customStyle="1" w:styleId="Heading11">
    <w:name w:val="Heading #1|1_"/>
    <w:basedOn w:val="Standardnpsmoodstavce"/>
    <w:link w:val="Heading110"/>
    <w:rPr>
      <w:rFonts w:ascii="Arial" w:eastAsia="Arial" w:hAnsi="Arial" w:cs="Arial"/>
      <w:b/>
      <w:bCs/>
      <w:i w:val="0"/>
      <w:iCs w:val="0"/>
      <w:smallCaps w:val="0"/>
      <w:strike w:val="0"/>
      <w:sz w:val="28"/>
      <w:szCs w:val="28"/>
      <w:u w:val="none"/>
    </w:rPr>
  </w:style>
  <w:style w:type="character" w:customStyle="1" w:styleId="Heading51">
    <w:name w:val="Heading #5|1_"/>
    <w:basedOn w:val="Standardnpsmoodstavce"/>
    <w:link w:val="Heading510"/>
    <w:rPr>
      <w:rFonts w:ascii="Arial" w:eastAsia="Arial" w:hAnsi="Arial" w:cs="Arial"/>
      <w:b/>
      <w:bCs/>
      <w:i w:val="0"/>
      <w:iCs w:val="0"/>
      <w:smallCaps w:val="0"/>
      <w:strike w:val="0"/>
      <w:sz w:val="20"/>
      <w:szCs w:val="20"/>
      <w:u w:val="singl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8"/>
      <w:szCs w:val="8"/>
      <w:u w:val="none"/>
      <w:lang w:val="en-US" w:eastAsia="en-US" w:bidi="en-US"/>
    </w:rPr>
  </w:style>
  <w:style w:type="character" w:customStyle="1" w:styleId="Heading41">
    <w:name w:val="Heading #4|1_"/>
    <w:basedOn w:val="Standardnpsmoodstavce"/>
    <w:link w:val="Heading410"/>
    <w:rPr>
      <w:rFonts w:ascii="Arial" w:eastAsia="Arial" w:hAnsi="Arial" w:cs="Arial"/>
      <w:b w:val="0"/>
      <w:bCs w:val="0"/>
      <w:i w:val="0"/>
      <w:iCs w:val="0"/>
      <w:smallCaps w:val="0"/>
      <w:strike w:val="0"/>
      <w:sz w:val="22"/>
      <w:szCs w:val="22"/>
      <w:u w:val="none"/>
      <w:lang w:val="en-US" w:eastAsia="en-US" w:bidi="en-US"/>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20"/>
      <w:szCs w:val="20"/>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character" w:customStyle="1" w:styleId="Heading31">
    <w:name w:val="Heading #3|1_"/>
    <w:basedOn w:val="Standardnpsmoodstavce"/>
    <w:link w:val="Heading310"/>
    <w:rPr>
      <w:rFonts w:ascii="Calibri" w:eastAsia="Calibri" w:hAnsi="Calibri" w:cs="Calibri"/>
      <w:b/>
      <w:bCs/>
      <w:i w:val="0"/>
      <w:iCs w:val="0"/>
      <w:smallCaps w:val="0"/>
      <w:strike w:val="0"/>
      <w:sz w:val="28"/>
      <w:szCs w:val="28"/>
      <w:u w:val="single"/>
    </w:rPr>
  </w:style>
  <w:style w:type="character" w:customStyle="1" w:styleId="Bodytext4">
    <w:name w:val="Body text|4_"/>
    <w:basedOn w:val="Standardnpsmoodstavce"/>
    <w:link w:val="Bodytext40"/>
    <w:rPr>
      <w:rFonts w:ascii="Calibri" w:eastAsia="Calibri" w:hAnsi="Calibri" w:cs="Calibri"/>
      <w:b/>
      <w:bCs/>
      <w:i w:val="0"/>
      <w:iCs w:val="0"/>
      <w:smallCaps w:val="0"/>
      <w:strike w:val="0"/>
      <w:sz w:val="22"/>
      <w:szCs w:val="22"/>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28"/>
      <w:szCs w:val="28"/>
      <w:u w:val="none"/>
    </w:rPr>
  </w:style>
  <w:style w:type="paragraph" w:customStyle="1" w:styleId="Bodytext10">
    <w:name w:val="Body text|1"/>
    <w:basedOn w:val="Normln"/>
    <w:link w:val="Bodytext1"/>
    <w:pPr>
      <w:spacing w:after="100"/>
    </w:pPr>
    <w:rPr>
      <w:rFonts w:ascii="Arial" w:eastAsia="Arial" w:hAnsi="Arial" w:cs="Arial"/>
      <w:sz w:val="20"/>
      <w:szCs w:val="20"/>
    </w:rPr>
  </w:style>
  <w:style w:type="paragraph" w:customStyle="1" w:styleId="Bodytext30">
    <w:name w:val="Body text|3"/>
    <w:basedOn w:val="Normln"/>
    <w:link w:val="Bodytext3"/>
    <w:pPr>
      <w:spacing w:after="80" w:line="175" w:lineRule="auto"/>
      <w:ind w:left="780"/>
    </w:pPr>
    <w:rPr>
      <w:rFonts w:ascii="Arial" w:eastAsia="Arial" w:hAnsi="Arial" w:cs="Arial"/>
      <w:sz w:val="12"/>
      <w:szCs w:val="12"/>
      <w:lang w:val="en-US" w:eastAsia="en-US" w:bidi="en-US"/>
    </w:rPr>
  </w:style>
  <w:style w:type="paragraph" w:customStyle="1" w:styleId="Heading110">
    <w:name w:val="Heading #1|1"/>
    <w:basedOn w:val="Normln"/>
    <w:link w:val="Heading11"/>
    <w:pPr>
      <w:jc w:val="center"/>
      <w:outlineLvl w:val="0"/>
    </w:pPr>
    <w:rPr>
      <w:rFonts w:ascii="Arial" w:eastAsia="Arial" w:hAnsi="Arial" w:cs="Arial"/>
      <w:b/>
      <w:bCs/>
      <w:sz w:val="28"/>
      <w:szCs w:val="28"/>
    </w:rPr>
  </w:style>
  <w:style w:type="paragraph" w:customStyle="1" w:styleId="Heading510">
    <w:name w:val="Heading #5|1"/>
    <w:basedOn w:val="Normln"/>
    <w:link w:val="Heading51"/>
    <w:pPr>
      <w:jc w:val="center"/>
      <w:outlineLvl w:val="4"/>
    </w:pPr>
    <w:rPr>
      <w:rFonts w:ascii="Arial" w:eastAsia="Arial" w:hAnsi="Arial" w:cs="Arial"/>
      <w:b/>
      <w:bCs/>
      <w:sz w:val="20"/>
      <w:szCs w:val="20"/>
      <w:u w:val="single"/>
    </w:rPr>
  </w:style>
  <w:style w:type="paragraph" w:customStyle="1" w:styleId="Bodytext20">
    <w:name w:val="Body text|2"/>
    <w:basedOn w:val="Normln"/>
    <w:link w:val="Bodytext2"/>
    <w:pPr>
      <w:spacing w:line="226" w:lineRule="auto"/>
      <w:ind w:left="2720"/>
    </w:pPr>
    <w:rPr>
      <w:rFonts w:ascii="Arial" w:eastAsia="Arial" w:hAnsi="Arial" w:cs="Arial"/>
      <w:sz w:val="8"/>
      <w:szCs w:val="8"/>
      <w:lang w:val="en-US" w:eastAsia="en-US" w:bidi="en-US"/>
    </w:rPr>
  </w:style>
  <w:style w:type="paragraph" w:customStyle="1" w:styleId="Heading410">
    <w:name w:val="Heading #4|1"/>
    <w:basedOn w:val="Normln"/>
    <w:link w:val="Heading41"/>
    <w:pPr>
      <w:spacing w:line="158" w:lineRule="auto"/>
      <w:ind w:firstLine="860"/>
      <w:outlineLvl w:val="3"/>
    </w:pPr>
    <w:rPr>
      <w:rFonts w:ascii="Arial" w:eastAsia="Arial" w:hAnsi="Arial" w:cs="Arial"/>
      <w:sz w:val="22"/>
      <w:szCs w:val="22"/>
      <w:lang w:val="en-US" w:eastAsia="en-US" w:bidi="en-US"/>
    </w:rPr>
  </w:style>
  <w:style w:type="paragraph" w:customStyle="1" w:styleId="Headerorfooter20">
    <w:name w:val="Header or footer|2"/>
    <w:basedOn w:val="Normln"/>
    <w:link w:val="Headerorfooter2"/>
    <w:rPr>
      <w:sz w:val="20"/>
      <w:szCs w:val="20"/>
    </w:rPr>
  </w:style>
  <w:style w:type="paragraph" w:customStyle="1" w:styleId="Tablecaption10">
    <w:name w:val="Table caption|1"/>
    <w:basedOn w:val="Normln"/>
    <w:link w:val="Tablecaption1"/>
    <w:rPr>
      <w:rFonts w:ascii="Arial" w:eastAsia="Arial" w:hAnsi="Arial" w:cs="Arial"/>
      <w:sz w:val="20"/>
      <w:szCs w:val="20"/>
    </w:rPr>
  </w:style>
  <w:style w:type="paragraph" w:customStyle="1" w:styleId="Other10">
    <w:name w:val="Other|1"/>
    <w:basedOn w:val="Normln"/>
    <w:link w:val="Other1"/>
    <w:pPr>
      <w:spacing w:after="100"/>
    </w:pPr>
    <w:rPr>
      <w:rFonts w:ascii="Arial" w:eastAsia="Arial" w:hAnsi="Arial" w:cs="Arial"/>
      <w:sz w:val="20"/>
      <w:szCs w:val="20"/>
    </w:rPr>
  </w:style>
  <w:style w:type="paragraph" w:customStyle="1" w:styleId="Heading310">
    <w:name w:val="Heading #3|1"/>
    <w:basedOn w:val="Normln"/>
    <w:link w:val="Heading31"/>
    <w:pPr>
      <w:spacing w:after="80"/>
      <w:ind w:firstLine="560"/>
      <w:outlineLvl w:val="2"/>
    </w:pPr>
    <w:rPr>
      <w:rFonts w:ascii="Calibri" w:eastAsia="Calibri" w:hAnsi="Calibri" w:cs="Calibri"/>
      <w:b/>
      <w:bCs/>
      <w:sz w:val="28"/>
      <w:szCs w:val="28"/>
      <w:u w:val="single"/>
    </w:rPr>
  </w:style>
  <w:style w:type="paragraph" w:customStyle="1" w:styleId="Bodytext40">
    <w:name w:val="Body text|4"/>
    <w:basedOn w:val="Normln"/>
    <w:link w:val="Bodytext4"/>
    <w:rPr>
      <w:rFonts w:ascii="Calibri" w:eastAsia="Calibri" w:hAnsi="Calibri" w:cs="Calibri"/>
      <w:b/>
      <w:bCs/>
      <w:sz w:val="22"/>
      <w:szCs w:val="22"/>
    </w:rPr>
  </w:style>
  <w:style w:type="paragraph" w:customStyle="1" w:styleId="Heading210">
    <w:name w:val="Heading #2|1"/>
    <w:basedOn w:val="Normln"/>
    <w:link w:val="Heading21"/>
    <w:pPr>
      <w:jc w:val="center"/>
      <w:outlineLvl w:val="1"/>
    </w:pPr>
    <w:rPr>
      <w:rFonts w:ascii="Arial" w:eastAsia="Arial" w:hAnsi="Arial" w:cs="Arial"/>
      <w:sz w:val="28"/>
      <w:szCs w:val="28"/>
    </w:rPr>
  </w:style>
  <w:style w:type="paragraph" w:styleId="Zhlav">
    <w:name w:val="header"/>
    <w:basedOn w:val="Normln"/>
    <w:link w:val="ZhlavChar"/>
    <w:uiPriority w:val="99"/>
    <w:unhideWhenUsed/>
    <w:rsid w:val="0065201C"/>
    <w:pPr>
      <w:tabs>
        <w:tab w:val="center" w:pos="4536"/>
        <w:tab w:val="right" w:pos="9072"/>
      </w:tabs>
    </w:pPr>
  </w:style>
  <w:style w:type="character" w:customStyle="1" w:styleId="ZhlavChar">
    <w:name w:val="Záhlaví Char"/>
    <w:basedOn w:val="Standardnpsmoodstavce"/>
    <w:link w:val="Zhlav"/>
    <w:uiPriority w:val="99"/>
    <w:rsid w:val="0065201C"/>
    <w:rPr>
      <w:color w:val="000000"/>
    </w:rPr>
  </w:style>
  <w:style w:type="paragraph" w:styleId="Zpat">
    <w:name w:val="footer"/>
    <w:basedOn w:val="Normln"/>
    <w:link w:val="ZpatChar"/>
    <w:uiPriority w:val="99"/>
    <w:unhideWhenUsed/>
    <w:rsid w:val="0065201C"/>
    <w:pPr>
      <w:tabs>
        <w:tab w:val="center" w:pos="4536"/>
        <w:tab w:val="right" w:pos="9072"/>
      </w:tabs>
    </w:pPr>
  </w:style>
  <w:style w:type="character" w:customStyle="1" w:styleId="ZpatChar">
    <w:name w:val="Zápatí Char"/>
    <w:basedOn w:val="Standardnpsmoodstavce"/>
    <w:link w:val="Zpat"/>
    <w:uiPriority w:val="99"/>
    <w:rsid w:val="0065201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nzlin.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nancni@nemuh.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3383</Words>
  <Characters>19964</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Gabriela Vinklerová</dc:creator>
  <cp:keywords/>
  <cp:lastModifiedBy>Vinklerová Gabriela</cp:lastModifiedBy>
  <cp:revision>4</cp:revision>
  <dcterms:created xsi:type="dcterms:W3CDTF">2025-11-04T12:49:00Z</dcterms:created>
  <dcterms:modified xsi:type="dcterms:W3CDTF">2025-11-11T08:50:00Z</dcterms:modified>
</cp:coreProperties>
</file>