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1DE1E" w14:textId="77777777" w:rsidR="00F001D2" w:rsidRDefault="00F001D2" w:rsidP="00BE449E">
      <w:pPr>
        <w:pStyle w:val="Nzev"/>
        <w:rPr>
          <w:lang w:val="en-GB"/>
        </w:rPr>
      </w:pPr>
      <w:r w:rsidRPr="00BE449E">
        <w:rPr>
          <w:lang w:val="en-GB"/>
        </w:rPr>
        <w:t>Description of the Action</w:t>
      </w:r>
    </w:p>
    <w:p w14:paraId="5F02D261" w14:textId="77777777" w:rsidR="004A2D1D" w:rsidRDefault="004A2D1D" w:rsidP="004A2D1D">
      <w:pPr>
        <w:rPr>
          <w:lang w:val="en-GB"/>
        </w:rPr>
      </w:pPr>
    </w:p>
    <w:p w14:paraId="0A4DB6E6" w14:textId="77777777" w:rsidR="004A2D1D" w:rsidRPr="004A2D1D" w:rsidRDefault="004A2D1D" w:rsidP="004A2D1D">
      <w:pPr>
        <w:rPr>
          <w:lang w:val="en-GB"/>
        </w:rPr>
      </w:pPr>
    </w:p>
    <w:p w14:paraId="626E38FE" w14:textId="77777777" w:rsidR="005F59E0" w:rsidRPr="00DD53A3" w:rsidRDefault="005F59E0" w:rsidP="005F59E0">
      <w:pPr>
        <w:rPr>
          <w:sz w:val="40"/>
          <w:szCs w:val="40"/>
          <w:lang w:val="en-GB"/>
        </w:rPr>
      </w:pPr>
    </w:p>
    <w:p w14:paraId="398D6541" w14:textId="77777777" w:rsidR="005F59E0" w:rsidRPr="00DD53A3" w:rsidRDefault="005F59E0" w:rsidP="005F59E0">
      <w:pPr>
        <w:rPr>
          <w:sz w:val="40"/>
          <w:szCs w:val="40"/>
          <w:lang w:val="en-GB"/>
        </w:rPr>
      </w:pPr>
    </w:p>
    <w:p w14:paraId="0072478F" w14:textId="5FC3BE01" w:rsidR="005F59E0" w:rsidRPr="000A6920" w:rsidRDefault="00DC7AEF" w:rsidP="005F59E0">
      <w:pPr>
        <w:pStyle w:val="Nzev"/>
        <w:rPr>
          <w:color w:val="000000" w:themeColor="text1"/>
          <w:sz w:val="40"/>
          <w:szCs w:val="40"/>
          <w:lang w:val="en-GB"/>
        </w:rPr>
      </w:pPr>
      <w:r w:rsidRPr="00DC7AEF">
        <w:rPr>
          <w:sz w:val="40"/>
          <w:szCs w:val="40"/>
          <w:lang w:val="en-GB"/>
        </w:rPr>
        <w:t>EU4BELARUS –</w:t>
      </w:r>
      <w:r>
        <w:rPr>
          <w:sz w:val="40"/>
          <w:szCs w:val="40"/>
          <w:lang w:val="en-GB"/>
        </w:rPr>
        <w:t xml:space="preserve"> </w:t>
      </w:r>
      <w:r w:rsidR="005F59E0" w:rsidRPr="00DD53A3">
        <w:rPr>
          <w:sz w:val="40"/>
          <w:szCs w:val="40"/>
          <w:lang w:val="en-GB"/>
        </w:rPr>
        <w:t xml:space="preserve">SUPPORT TO </w:t>
      </w:r>
      <w:r w:rsidR="005F59E0" w:rsidRPr="000A6920">
        <w:rPr>
          <w:color w:val="000000" w:themeColor="text1"/>
          <w:sz w:val="40"/>
          <w:szCs w:val="40"/>
          <w:lang w:val="en-GB"/>
        </w:rPr>
        <w:t>ADVANCE</w:t>
      </w:r>
      <w:r w:rsidR="00914BCE" w:rsidRPr="000A6920">
        <w:rPr>
          <w:color w:val="000000" w:themeColor="text1"/>
          <w:sz w:val="40"/>
          <w:szCs w:val="40"/>
          <w:lang w:val="en-GB"/>
        </w:rPr>
        <w:t>D</w:t>
      </w:r>
      <w:r w:rsidR="005F59E0" w:rsidRPr="000A6920">
        <w:rPr>
          <w:color w:val="000000" w:themeColor="text1"/>
          <w:sz w:val="40"/>
          <w:szCs w:val="40"/>
          <w:lang w:val="en-GB"/>
        </w:rPr>
        <w:t xml:space="preserve"> LEARNING AND TRAINING </w:t>
      </w:r>
    </w:p>
    <w:p w14:paraId="3B2FDD5D" w14:textId="77777777" w:rsidR="005F59E0" w:rsidRDefault="005F59E0" w:rsidP="00BE449E">
      <w:pPr>
        <w:pStyle w:val="Nzev"/>
        <w:rPr>
          <w:lang w:val="en-GB"/>
        </w:rPr>
      </w:pPr>
    </w:p>
    <w:p w14:paraId="364C1D44" w14:textId="77777777" w:rsidR="009007DF" w:rsidRPr="009007DF" w:rsidRDefault="009007DF" w:rsidP="009007DF">
      <w:pPr>
        <w:rPr>
          <w:lang w:val="en-GB"/>
        </w:rPr>
      </w:pPr>
    </w:p>
    <w:p w14:paraId="210B8EE6" w14:textId="77777777" w:rsidR="00F001D2" w:rsidRPr="00BE449E" w:rsidRDefault="00337818" w:rsidP="009007DF">
      <w:pPr>
        <w:pStyle w:val="Podnadpis"/>
        <w:rPr>
          <w:lang w:val="en-GB"/>
        </w:rPr>
      </w:pPr>
      <w:r w:rsidRPr="00F72D20">
        <w:rPr>
          <w:lang w:val="en-GB"/>
        </w:rPr>
        <w:t>SCHOLARSHIP SCHEME</w:t>
      </w:r>
      <w:r>
        <w:rPr>
          <w:lang w:val="en-GB"/>
        </w:rPr>
        <w:t xml:space="preserve"> </w:t>
      </w:r>
    </w:p>
    <w:p w14:paraId="5375D52F" w14:textId="77777777" w:rsidR="00F001D2" w:rsidRPr="00BE449E" w:rsidRDefault="00F001D2" w:rsidP="00F001D2">
      <w:pPr>
        <w:jc w:val="center"/>
        <w:rPr>
          <w:rFonts w:cs="Times New Roman"/>
          <w:sz w:val="32"/>
          <w:szCs w:val="32"/>
          <w:lang w:val="en-GB"/>
        </w:rPr>
      </w:pPr>
    </w:p>
    <w:p w14:paraId="6A805ECA" w14:textId="77777777" w:rsidR="00F001D2" w:rsidRPr="00BE449E" w:rsidRDefault="00F001D2" w:rsidP="00F001D2">
      <w:pPr>
        <w:jc w:val="center"/>
        <w:rPr>
          <w:rFonts w:cs="Times New Roman"/>
          <w:b/>
          <w:sz w:val="32"/>
          <w:szCs w:val="32"/>
          <w:lang w:val="en-GB"/>
        </w:rPr>
      </w:pPr>
    </w:p>
    <w:p w14:paraId="59C148BE" w14:textId="77777777" w:rsidR="00F001D2" w:rsidRPr="00BE449E" w:rsidRDefault="00F001D2" w:rsidP="00F001D2">
      <w:pPr>
        <w:jc w:val="center"/>
        <w:rPr>
          <w:rFonts w:cs="Times New Roman"/>
          <w:b/>
          <w:sz w:val="32"/>
          <w:szCs w:val="32"/>
          <w:lang w:val="en-GB"/>
        </w:rPr>
      </w:pPr>
    </w:p>
    <w:p w14:paraId="6710874C" w14:textId="77777777" w:rsidR="00F001D2" w:rsidRPr="00BE449E" w:rsidRDefault="0097235C" w:rsidP="00F001D2">
      <w:pPr>
        <w:jc w:val="center"/>
        <w:rPr>
          <w:rFonts w:cs="Times New Roman"/>
          <w:szCs w:val="32"/>
          <w:lang w:val="en-GB"/>
        </w:rPr>
      </w:pPr>
      <w:r>
        <w:rPr>
          <w:rFonts w:cs="Times New Roman"/>
          <w:szCs w:val="32"/>
          <w:lang w:val="en-GB"/>
        </w:rPr>
        <w:t>Annex I to the</w:t>
      </w:r>
      <w:r w:rsidR="00A1172B">
        <w:rPr>
          <w:rFonts w:cs="Times New Roman"/>
          <w:szCs w:val="32"/>
          <w:lang w:val="en-GB"/>
        </w:rPr>
        <w:t xml:space="preserve"> </w:t>
      </w:r>
      <w:r w:rsidR="00FE5DB9">
        <w:rPr>
          <w:rFonts w:cs="Times New Roman"/>
          <w:szCs w:val="32"/>
          <w:lang w:val="en-GB"/>
        </w:rPr>
        <w:t xml:space="preserve">Direct </w:t>
      </w:r>
      <w:r w:rsidR="00A1172B">
        <w:rPr>
          <w:rFonts w:cs="Times New Roman"/>
          <w:szCs w:val="32"/>
          <w:lang w:val="en-GB"/>
        </w:rPr>
        <w:t>Grant</w:t>
      </w:r>
      <w:r w:rsidR="00F001D2" w:rsidRPr="00BE449E">
        <w:rPr>
          <w:rFonts w:cs="Times New Roman"/>
          <w:szCs w:val="32"/>
          <w:lang w:val="en-GB"/>
        </w:rPr>
        <w:t xml:space="preserve"> Agreement </w:t>
      </w:r>
    </w:p>
    <w:p w14:paraId="00236C7E" w14:textId="77777777" w:rsidR="00F001D2" w:rsidRPr="00BE449E" w:rsidRDefault="00F001D2" w:rsidP="00F001D2">
      <w:pPr>
        <w:jc w:val="center"/>
        <w:rPr>
          <w:rFonts w:cs="Times New Roman"/>
          <w:szCs w:val="32"/>
          <w:lang w:val="en-GB"/>
        </w:rPr>
      </w:pPr>
    </w:p>
    <w:p w14:paraId="6A05D73E" w14:textId="77777777" w:rsidR="00F001D2" w:rsidRPr="00BE449E" w:rsidRDefault="00F001D2" w:rsidP="00F001D2">
      <w:pPr>
        <w:jc w:val="center"/>
        <w:rPr>
          <w:rFonts w:cs="Times New Roman"/>
          <w:szCs w:val="32"/>
          <w:lang w:val="en-GB"/>
        </w:rPr>
      </w:pPr>
    </w:p>
    <w:p w14:paraId="7D1F4B93" w14:textId="77777777" w:rsidR="00F001D2" w:rsidRPr="00BE449E" w:rsidRDefault="00F001D2" w:rsidP="00F001D2">
      <w:pPr>
        <w:rPr>
          <w:rFonts w:cs="Times New Roman"/>
          <w:lang w:val="en-GB"/>
        </w:rPr>
      </w:pPr>
    </w:p>
    <w:p w14:paraId="34A33DC4" w14:textId="77777777" w:rsidR="00F001D2" w:rsidRPr="00BE449E" w:rsidRDefault="00F001D2" w:rsidP="00F001D2">
      <w:pPr>
        <w:rPr>
          <w:rFonts w:cs="Times New Roman"/>
          <w:lang w:val="en-GB"/>
        </w:rPr>
      </w:pPr>
    </w:p>
    <w:p w14:paraId="75854950" w14:textId="77777777" w:rsidR="00F001D2" w:rsidRPr="00BE449E" w:rsidRDefault="00F001D2" w:rsidP="00F001D2">
      <w:pPr>
        <w:rPr>
          <w:rFonts w:cs="Times New Roman"/>
          <w:lang w:val="en-GB"/>
        </w:rPr>
      </w:pPr>
    </w:p>
    <w:p w14:paraId="155A7C59" w14:textId="77777777" w:rsidR="00F001D2" w:rsidRPr="00BE449E" w:rsidRDefault="00F001D2" w:rsidP="00F001D2">
      <w:pPr>
        <w:rPr>
          <w:rFonts w:cs="Times New Roman"/>
          <w:lang w:val="en-GB"/>
        </w:rPr>
      </w:pPr>
    </w:p>
    <w:p w14:paraId="4B612697" w14:textId="77777777" w:rsidR="00F001D2" w:rsidRPr="00BE449E" w:rsidRDefault="00F001D2" w:rsidP="00F001D2">
      <w:pPr>
        <w:spacing w:line="276" w:lineRule="auto"/>
        <w:rPr>
          <w:rFonts w:cs="Times New Roman"/>
          <w:lang w:val="en-GB"/>
        </w:rPr>
      </w:pPr>
      <w:r w:rsidRPr="00BE449E">
        <w:rPr>
          <w:rFonts w:cs="Times New Roman"/>
          <w:lang w:val="en-GB"/>
        </w:rPr>
        <w:br w:type="page"/>
      </w:r>
    </w:p>
    <w:sdt>
      <w:sdtPr>
        <w:rPr>
          <w:rFonts w:ascii="Times New Roman" w:eastAsiaTheme="minorHAnsi" w:hAnsi="Times New Roman" w:cstheme="minorBidi"/>
          <w:color w:val="auto"/>
          <w:sz w:val="24"/>
          <w:szCs w:val="22"/>
          <w:lang w:val="lt-LT"/>
        </w:rPr>
        <w:id w:val="-1932649573"/>
        <w:docPartObj>
          <w:docPartGallery w:val="Table of Contents"/>
          <w:docPartUnique/>
        </w:docPartObj>
      </w:sdtPr>
      <w:sdtEndPr>
        <w:rPr>
          <w:b/>
          <w:bCs/>
          <w:noProof/>
        </w:rPr>
      </w:sdtEndPr>
      <w:sdtContent>
        <w:p w14:paraId="69125AE6" w14:textId="77777777" w:rsidR="008E13F2" w:rsidRDefault="008E13F2">
          <w:pPr>
            <w:pStyle w:val="Nadpisobsahu"/>
            <w:rPr>
              <w:rStyle w:val="PodnadpisChar"/>
            </w:rPr>
          </w:pPr>
          <w:r w:rsidRPr="008E13F2">
            <w:rPr>
              <w:rStyle w:val="PodnadpisChar"/>
            </w:rPr>
            <w:t>Contents</w:t>
          </w:r>
        </w:p>
        <w:p w14:paraId="003626EA" w14:textId="77777777" w:rsidR="007A7E62" w:rsidRPr="007A7E62" w:rsidRDefault="007A7E62" w:rsidP="007A7E62">
          <w:pPr>
            <w:rPr>
              <w:lang w:val="en-US"/>
            </w:rPr>
          </w:pPr>
        </w:p>
        <w:p w14:paraId="39F9C87F" w14:textId="1A041C91" w:rsidR="00940844" w:rsidRDefault="008E13F2" w:rsidP="00D777E8">
          <w:pPr>
            <w:pStyle w:val="Obsah1"/>
            <w:rPr>
              <w:rFonts w:asciiTheme="minorHAnsi" w:eastAsiaTheme="minorEastAsia" w:hAnsiTheme="minorHAnsi"/>
              <w:kern w:val="2"/>
              <w:szCs w:val="24"/>
              <w:lang w:eastAsia="en-GB"/>
              <w14:ligatures w14:val="standardContextual"/>
            </w:rPr>
          </w:pPr>
          <w:r>
            <w:rPr>
              <w:noProof w:val="0"/>
            </w:rPr>
            <w:fldChar w:fldCharType="begin"/>
          </w:r>
          <w:r>
            <w:instrText xml:space="preserve"> TOC \o "1-3" \h \z \u </w:instrText>
          </w:r>
          <w:r>
            <w:rPr>
              <w:noProof w:val="0"/>
            </w:rPr>
            <w:fldChar w:fldCharType="separate"/>
          </w:r>
          <w:hyperlink w:anchor="_Toc210756918" w:history="1">
            <w:r w:rsidR="00940844" w:rsidRPr="0075415E">
              <w:rPr>
                <w:rStyle w:val="Hypertextovodkaz"/>
              </w:rPr>
              <w:t>1</w:t>
            </w:r>
            <w:r w:rsidR="00940844">
              <w:rPr>
                <w:rFonts w:asciiTheme="minorHAnsi" w:eastAsiaTheme="minorEastAsia" w:hAnsiTheme="minorHAnsi"/>
                <w:kern w:val="2"/>
                <w:szCs w:val="24"/>
                <w:lang w:eastAsia="en-GB"/>
                <w14:ligatures w14:val="standardContextual"/>
              </w:rPr>
              <w:tab/>
            </w:r>
            <w:r w:rsidR="00940844" w:rsidRPr="0075415E">
              <w:rPr>
                <w:rStyle w:val="Hypertextovodkaz"/>
              </w:rPr>
              <w:t>Background of the Action</w:t>
            </w:r>
            <w:r w:rsidR="00940844">
              <w:rPr>
                <w:webHidden/>
              </w:rPr>
              <w:tab/>
            </w:r>
            <w:r w:rsidR="00940844">
              <w:rPr>
                <w:webHidden/>
              </w:rPr>
              <w:fldChar w:fldCharType="begin"/>
            </w:r>
            <w:r w:rsidR="00940844">
              <w:rPr>
                <w:webHidden/>
              </w:rPr>
              <w:instrText xml:space="preserve"> PAGEREF _Toc210756918 \h </w:instrText>
            </w:r>
            <w:r w:rsidR="00940844">
              <w:rPr>
                <w:webHidden/>
              </w:rPr>
            </w:r>
            <w:r w:rsidR="00940844">
              <w:rPr>
                <w:webHidden/>
              </w:rPr>
              <w:fldChar w:fldCharType="separate"/>
            </w:r>
            <w:r w:rsidR="00940844">
              <w:rPr>
                <w:webHidden/>
              </w:rPr>
              <w:t>4</w:t>
            </w:r>
            <w:r w:rsidR="00940844">
              <w:rPr>
                <w:webHidden/>
              </w:rPr>
              <w:fldChar w:fldCharType="end"/>
            </w:r>
          </w:hyperlink>
        </w:p>
        <w:p w14:paraId="3E8D87CE" w14:textId="714C739C" w:rsidR="00940844" w:rsidRDefault="00940844" w:rsidP="00D777E8">
          <w:pPr>
            <w:pStyle w:val="Obsah1"/>
            <w:rPr>
              <w:rFonts w:asciiTheme="minorHAnsi" w:eastAsiaTheme="minorEastAsia" w:hAnsiTheme="minorHAnsi"/>
              <w:kern w:val="2"/>
              <w:szCs w:val="24"/>
              <w:lang w:eastAsia="en-GB"/>
              <w14:ligatures w14:val="standardContextual"/>
            </w:rPr>
          </w:pPr>
          <w:hyperlink w:anchor="_Toc210756919" w:history="1">
            <w:r w:rsidRPr="0075415E">
              <w:rPr>
                <w:rStyle w:val="Hypertextovodkaz"/>
              </w:rPr>
              <w:t>2</w:t>
            </w:r>
            <w:r>
              <w:rPr>
                <w:rFonts w:asciiTheme="minorHAnsi" w:eastAsiaTheme="minorEastAsia" w:hAnsiTheme="minorHAnsi"/>
                <w:kern w:val="2"/>
                <w:szCs w:val="24"/>
                <w:lang w:eastAsia="en-GB"/>
                <w14:ligatures w14:val="standardContextual"/>
              </w:rPr>
              <w:tab/>
            </w:r>
            <w:r w:rsidRPr="0075415E">
              <w:rPr>
                <w:rStyle w:val="Hypertextovodkaz"/>
              </w:rPr>
              <w:t>Objective</w:t>
            </w:r>
            <w:r>
              <w:rPr>
                <w:webHidden/>
              </w:rPr>
              <w:tab/>
            </w:r>
            <w:r>
              <w:rPr>
                <w:webHidden/>
              </w:rPr>
              <w:fldChar w:fldCharType="begin"/>
            </w:r>
            <w:r>
              <w:rPr>
                <w:webHidden/>
              </w:rPr>
              <w:instrText xml:space="preserve"> PAGEREF _Toc210756919 \h </w:instrText>
            </w:r>
            <w:r>
              <w:rPr>
                <w:webHidden/>
              </w:rPr>
            </w:r>
            <w:r>
              <w:rPr>
                <w:webHidden/>
              </w:rPr>
              <w:fldChar w:fldCharType="separate"/>
            </w:r>
            <w:r>
              <w:rPr>
                <w:webHidden/>
              </w:rPr>
              <w:t>4</w:t>
            </w:r>
            <w:r>
              <w:rPr>
                <w:webHidden/>
              </w:rPr>
              <w:fldChar w:fldCharType="end"/>
            </w:r>
          </w:hyperlink>
        </w:p>
        <w:p w14:paraId="569FB13E" w14:textId="0D2185CD" w:rsidR="00940844" w:rsidRDefault="00940844" w:rsidP="00D777E8">
          <w:pPr>
            <w:pStyle w:val="Obsah1"/>
            <w:rPr>
              <w:rFonts w:asciiTheme="minorHAnsi" w:eastAsiaTheme="minorEastAsia" w:hAnsiTheme="minorHAnsi"/>
              <w:kern w:val="2"/>
              <w:szCs w:val="24"/>
              <w:lang w:eastAsia="en-GB"/>
              <w14:ligatures w14:val="standardContextual"/>
            </w:rPr>
          </w:pPr>
          <w:hyperlink w:anchor="_Toc210756920" w:history="1">
            <w:r w:rsidRPr="0075415E">
              <w:rPr>
                <w:rStyle w:val="Hypertextovodkaz"/>
              </w:rPr>
              <w:t>3</w:t>
            </w:r>
            <w:r>
              <w:rPr>
                <w:rFonts w:asciiTheme="minorHAnsi" w:eastAsiaTheme="minorEastAsia" w:hAnsiTheme="minorHAnsi"/>
                <w:kern w:val="2"/>
                <w:szCs w:val="24"/>
                <w:lang w:eastAsia="en-GB"/>
                <w14:ligatures w14:val="standardContextual"/>
              </w:rPr>
              <w:tab/>
            </w:r>
            <w:r w:rsidRPr="0075415E">
              <w:rPr>
                <w:rStyle w:val="Hypertextovodkaz"/>
              </w:rPr>
              <w:t>Scholarship management scheme</w:t>
            </w:r>
            <w:r>
              <w:rPr>
                <w:webHidden/>
              </w:rPr>
              <w:tab/>
            </w:r>
            <w:r>
              <w:rPr>
                <w:webHidden/>
              </w:rPr>
              <w:fldChar w:fldCharType="begin"/>
            </w:r>
            <w:r>
              <w:rPr>
                <w:webHidden/>
              </w:rPr>
              <w:instrText xml:space="preserve"> PAGEREF _Toc210756920 \h </w:instrText>
            </w:r>
            <w:r>
              <w:rPr>
                <w:webHidden/>
              </w:rPr>
            </w:r>
            <w:r>
              <w:rPr>
                <w:webHidden/>
              </w:rPr>
              <w:fldChar w:fldCharType="separate"/>
            </w:r>
            <w:r>
              <w:rPr>
                <w:webHidden/>
              </w:rPr>
              <w:t>4</w:t>
            </w:r>
            <w:r>
              <w:rPr>
                <w:webHidden/>
              </w:rPr>
              <w:fldChar w:fldCharType="end"/>
            </w:r>
          </w:hyperlink>
        </w:p>
        <w:p w14:paraId="475F7555" w14:textId="366C9BAA" w:rsidR="00940844" w:rsidRDefault="00940844" w:rsidP="00D777E8">
          <w:pPr>
            <w:pStyle w:val="Obsah1"/>
            <w:rPr>
              <w:rFonts w:asciiTheme="minorHAnsi" w:eastAsiaTheme="minorEastAsia" w:hAnsiTheme="minorHAnsi"/>
              <w:kern w:val="2"/>
              <w:szCs w:val="24"/>
              <w:lang w:eastAsia="en-GB"/>
              <w14:ligatures w14:val="standardContextual"/>
            </w:rPr>
          </w:pPr>
          <w:hyperlink w:anchor="_Toc210756921" w:history="1">
            <w:r w:rsidRPr="0075415E">
              <w:rPr>
                <w:rStyle w:val="Hypertextovodkaz"/>
              </w:rPr>
              <w:t>4</w:t>
            </w:r>
            <w:r>
              <w:rPr>
                <w:rFonts w:asciiTheme="minorHAnsi" w:eastAsiaTheme="minorEastAsia" w:hAnsiTheme="minorHAnsi"/>
                <w:kern w:val="2"/>
                <w:szCs w:val="24"/>
                <w:lang w:eastAsia="en-GB"/>
                <w14:ligatures w14:val="standardContextual"/>
              </w:rPr>
              <w:tab/>
            </w:r>
            <w:r w:rsidRPr="0075415E">
              <w:rPr>
                <w:rStyle w:val="Hypertextovodkaz"/>
              </w:rPr>
              <w:t>Monitoring and Reporting</w:t>
            </w:r>
            <w:r>
              <w:rPr>
                <w:webHidden/>
              </w:rPr>
              <w:tab/>
            </w:r>
            <w:r>
              <w:rPr>
                <w:webHidden/>
              </w:rPr>
              <w:fldChar w:fldCharType="begin"/>
            </w:r>
            <w:r>
              <w:rPr>
                <w:webHidden/>
              </w:rPr>
              <w:instrText xml:space="preserve"> PAGEREF _Toc210756921 \h </w:instrText>
            </w:r>
            <w:r>
              <w:rPr>
                <w:webHidden/>
              </w:rPr>
            </w:r>
            <w:r>
              <w:rPr>
                <w:webHidden/>
              </w:rPr>
              <w:fldChar w:fldCharType="separate"/>
            </w:r>
            <w:r>
              <w:rPr>
                <w:webHidden/>
              </w:rPr>
              <w:t>6</w:t>
            </w:r>
            <w:r>
              <w:rPr>
                <w:webHidden/>
              </w:rPr>
              <w:fldChar w:fldCharType="end"/>
            </w:r>
          </w:hyperlink>
        </w:p>
        <w:p w14:paraId="3425279B" w14:textId="35D7879C" w:rsidR="00940844" w:rsidRDefault="00940844" w:rsidP="00D777E8">
          <w:pPr>
            <w:pStyle w:val="Obsah1"/>
            <w:rPr>
              <w:rFonts w:asciiTheme="minorHAnsi" w:eastAsiaTheme="minorEastAsia" w:hAnsiTheme="minorHAnsi"/>
              <w:kern w:val="2"/>
              <w:szCs w:val="24"/>
              <w:lang w:eastAsia="en-GB"/>
              <w14:ligatures w14:val="standardContextual"/>
            </w:rPr>
          </w:pPr>
          <w:hyperlink w:anchor="_Toc210756922" w:history="1">
            <w:r w:rsidRPr="0075415E">
              <w:rPr>
                <w:rStyle w:val="Hypertextovodkaz"/>
              </w:rPr>
              <w:t>5</w:t>
            </w:r>
            <w:r>
              <w:rPr>
                <w:rFonts w:asciiTheme="minorHAnsi" w:eastAsiaTheme="minorEastAsia" w:hAnsiTheme="minorHAnsi"/>
                <w:kern w:val="2"/>
                <w:szCs w:val="24"/>
                <w:lang w:eastAsia="en-GB"/>
                <w14:ligatures w14:val="standardContextual"/>
              </w:rPr>
              <w:tab/>
            </w:r>
            <w:r w:rsidRPr="0075415E">
              <w:rPr>
                <w:rStyle w:val="Hypertextovodkaz"/>
              </w:rPr>
              <w:t>Communication and Visibility</w:t>
            </w:r>
            <w:r>
              <w:rPr>
                <w:webHidden/>
              </w:rPr>
              <w:tab/>
            </w:r>
            <w:r>
              <w:rPr>
                <w:webHidden/>
              </w:rPr>
              <w:fldChar w:fldCharType="begin"/>
            </w:r>
            <w:r>
              <w:rPr>
                <w:webHidden/>
              </w:rPr>
              <w:instrText xml:space="preserve"> PAGEREF _Toc210756922 \h </w:instrText>
            </w:r>
            <w:r>
              <w:rPr>
                <w:webHidden/>
              </w:rPr>
            </w:r>
            <w:r>
              <w:rPr>
                <w:webHidden/>
              </w:rPr>
              <w:fldChar w:fldCharType="separate"/>
            </w:r>
            <w:r>
              <w:rPr>
                <w:webHidden/>
              </w:rPr>
              <w:t>6</w:t>
            </w:r>
            <w:r>
              <w:rPr>
                <w:webHidden/>
              </w:rPr>
              <w:fldChar w:fldCharType="end"/>
            </w:r>
          </w:hyperlink>
        </w:p>
        <w:p w14:paraId="106D241A" w14:textId="754B09F3" w:rsidR="00940844" w:rsidRDefault="00940844" w:rsidP="00D777E8">
          <w:pPr>
            <w:pStyle w:val="Obsah1"/>
            <w:rPr>
              <w:rFonts w:asciiTheme="minorHAnsi" w:eastAsiaTheme="minorEastAsia" w:hAnsiTheme="minorHAnsi"/>
              <w:kern w:val="2"/>
              <w:szCs w:val="24"/>
              <w:lang w:eastAsia="en-GB"/>
              <w14:ligatures w14:val="standardContextual"/>
            </w:rPr>
          </w:pPr>
          <w:hyperlink w:anchor="_Toc210756923" w:history="1">
            <w:r w:rsidRPr="0075415E">
              <w:rPr>
                <w:rStyle w:val="Hypertextovodkaz"/>
              </w:rPr>
              <w:t>6</w:t>
            </w:r>
            <w:r>
              <w:rPr>
                <w:rFonts w:asciiTheme="minorHAnsi" w:eastAsiaTheme="minorEastAsia" w:hAnsiTheme="minorHAnsi"/>
                <w:kern w:val="2"/>
                <w:szCs w:val="24"/>
                <w:lang w:eastAsia="en-GB"/>
                <w14:ligatures w14:val="standardContextual"/>
              </w:rPr>
              <w:tab/>
            </w:r>
            <w:r w:rsidRPr="0075415E">
              <w:rPr>
                <w:rStyle w:val="Hypertextovodkaz"/>
              </w:rPr>
              <w:t>Financing not linked to costs</w:t>
            </w:r>
            <w:r>
              <w:rPr>
                <w:webHidden/>
              </w:rPr>
              <w:tab/>
            </w:r>
            <w:r>
              <w:rPr>
                <w:webHidden/>
              </w:rPr>
              <w:fldChar w:fldCharType="begin"/>
            </w:r>
            <w:r>
              <w:rPr>
                <w:webHidden/>
              </w:rPr>
              <w:instrText xml:space="preserve"> PAGEREF _Toc210756923 \h </w:instrText>
            </w:r>
            <w:r>
              <w:rPr>
                <w:webHidden/>
              </w:rPr>
            </w:r>
            <w:r>
              <w:rPr>
                <w:webHidden/>
              </w:rPr>
              <w:fldChar w:fldCharType="separate"/>
            </w:r>
            <w:r>
              <w:rPr>
                <w:webHidden/>
              </w:rPr>
              <w:t>7</w:t>
            </w:r>
            <w:r>
              <w:rPr>
                <w:webHidden/>
              </w:rPr>
              <w:fldChar w:fldCharType="end"/>
            </w:r>
          </w:hyperlink>
        </w:p>
        <w:p w14:paraId="460EB52A" w14:textId="04BA2651" w:rsidR="00940844" w:rsidRPr="00D777E8" w:rsidRDefault="00940844" w:rsidP="00D777E8">
          <w:pPr>
            <w:pStyle w:val="Obsah1"/>
            <w:rPr>
              <w:rFonts w:asciiTheme="minorHAnsi" w:eastAsiaTheme="minorEastAsia" w:hAnsiTheme="minorHAnsi"/>
              <w:kern w:val="2"/>
              <w:szCs w:val="24"/>
              <w:lang w:eastAsia="en-GB"/>
              <w14:ligatures w14:val="standardContextual"/>
            </w:rPr>
          </w:pPr>
          <w:hyperlink w:anchor="_Toc210756925" w:history="1">
            <w:r w:rsidRPr="00D777E8">
              <w:rPr>
                <w:rStyle w:val="Hypertextovodkaz"/>
                <w:color w:val="auto"/>
              </w:rPr>
              <w:t>7</w:t>
            </w:r>
            <w:r w:rsidRPr="00D777E8">
              <w:rPr>
                <w:rFonts w:asciiTheme="minorHAnsi" w:eastAsiaTheme="minorEastAsia" w:hAnsiTheme="minorHAnsi"/>
                <w:kern w:val="2"/>
                <w:szCs w:val="24"/>
                <w:lang w:eastAsia="en-GB"/>
                <w14:ligatures w14:val="standardContextual"/>
              </w:rPr>
              <w:tab/>
            </w:r>
            <w:r w:rsidRPr="00D777E8">
              <w:rPr>
                <w:rStyle w:val="Hypertextovodkaz"/>
                <w:color w:val="auto"/>
              </w:rPr>
              <w:t>Supplementing provisions</w:t>
            </w:r>
            <w:r w:rsidRPr="00D777E8">
              <w:rPr>
                <w:webHidden/>
              </w:rPr>
              <w:tab/>
            </w:r>
            <w:r w:rsidRPr="00D777E8">
              <w:rPr>
                <w:webHidden/>
              </w:rPr>
              <w:fldChar w:fldCharType="begin"/>
            </w:r>
            <w:r w:rsidRPr="00D777E8">
              <w:rPr>
                <w:webHidden/>
              </w:rPr>
              <w:instrText xml:space="preserve"> PAGEREF _Toc210756925 \h </w:instrText>
            </w:r>
            <w:r w:rsidRPr="00D777E8">
              <w:rPr>
                <w:webHidden/>
              </w:rPr>
            </w:r>
            <w:r w:rsidRPr="00D777E8">
              <w:rPr>
                <w:webHidden/>
              </w:rPr>
              <w:fldChar w:fldCharType="separate"/>
            </w:r>
            <w:r w:rsidRPr="00D777E8">
              <w:rPr>
                <w:webHidden/>
              </w:rPr>
              <w:t>7</w:t>
            </w:r>
            <w:r w:rsidRPr="00D777E8">
              <w:rPr>
                <w:webHidden/>
              </w:rPr>
              <w:fldChar w:fldCharType="end"/>
            </w:r>
          </w:hyperlink>
        </w:p>
        <w:p w14:paraId="3D48DD2E" w14:textId="20576D4B" w:rsidR="00940844" w:rsidRDefault="00940844" w:rsidP="00D777E8">
          <w:pPr>
            <w:pStyle w:val="Obsah1"/>
            <w:rPr>
              <w:rFonts w:asciiTheme="minorHAnsi" w:eastAsiaTheme="minorEastAsia" w:hAnsiTheme="minorHAnsi"/>
              <w:kern w:val="2"/>
              <w:szCs w:val="24"/>
              <w:lang w:eastAsia="en-GB"/>
              <w14:ligatures w14:val="standardContextual"/>
            </w:rPr>
          </w:pPr>
          <w:hyperlink w:anchor="_Toc210756926" w:history="1">
            <w:r w:rsidRPr="0075415E">
              <w:rPr>
                <w:rStyle w:val="Hypertextovodkaz"/>
              </w:rPr>
              <w:t>8</w:t>
            </w:r>
            <w:r>
              <w:rPr>
                <w:rFonts w:asciiTheme="minorHAnsi" w:eastAsiaTheme="minorEastAsia" w:hAnsiTheme="minorHAnsi"/>
                <w:kern w:val="2"/>
                <w:szCs w:val="24"/>
                <w:lang w:eastAsia="en-GB"/>
                <w14:ligatures w14:val="standardContextual"/>
              </w:rPr>
              <w:tab/>
            </w:r>
            <w:r w:rsidRPr="0075415E">
              <w:rPr>
                <w:rStyle w:val="Hypertextovodkaz"/>
              </w:rPr>
              <w:t>Logical Framework</w:t>
            </w:r>
            <w:r>
              <w:rPr>
                <w:webHidden/>
              </w:rPr>
              <w:tab/>
            </w:r>
            <w:r>
              <w:rPr>
                <w:webHidden/>
              </w:rPr>
              <w:fldChar w:fldCharType="begin"/>
            </w:r>
            <w:r>
              <w:rPr>
                <w:webHidden/>
              </w:rPr>
              <w:instrText xml:space="preserve"> PAGEREF _Toc210756926 \h </w:instrText>
            </w:r>
            <w:r>
              <w:rPr>
                <w:webHidden/>
              </w:rPr>
            </w:r>
            <w:r>
              <w:rPr>
                <w:webHidden/>
              </w:rPr>
              <w:fldChar w:fldCharType="separate"/>
            </w:r>
            <w:r>
              <w:rPr>
                <w:webHidden/>
              </w:rPr>
              <w:t>8</w:t>
            </w:r>
            <w:r>
              <w:rPr>
                <w:webHidden/>
              </w:rPr>
              <w:fldChar w:fldCharType="end"/>
            </w:r>
          </w:hyperlink>
        </w:p>
        <w:p w14:paraId="021CA0C3" w14:textId="6F2DFE70" w:rsidR="008E13F2" w:rsidRDefault="008E13F2">
          <w:r>
            <w:rPr>
              <w:b/>
              <w:bCs/>
              <w:noProof/>
            </w:rPr>
            <w:fldChar w:fldCharType="end"/>
          </w:r>
        </w:p>
      </w:sdtContent>
    </w:sdt>
    <w:p w14:paraId="1F4FFDA2" w14:textId="77777777" w:rsidR="008E13F2" w:rsidRPr="00BE449E" w:rsidRDefault="008E13F2" w:rsidP="00F001D2">
      <w:pPr>
        <w:rPr>
          <w:rFonts w:cs="Times New Roman"/>
          <w:b/>
          <w:sz w:val="28"/>
          <w:szCs w:val="28"/>
          <w:lang w:val="en-GB"/>
        </w:rPr>
      </w:pPr>
    </w:p>
    <w:p w14:paraId="5AC1EA72" w14:textId="77777777" w:rsidR="00BE449E" w:rsidRPr="00BE449E" w:rsidRDefault="00BE449E" w:rsidP="00BE449E">
      <w:pPr>
        <w:rPr>
          <w:lang w:val="en-GB"/>
        </w:rPr>
      </w:pPr>
      <w:r w:rsidRPr="00BE449E">
        <w:rPr>
          <w:lang w:val="en-GB"/>
        </w:rPr>
        <w:br w:type="page"/>
      </w:r>
    </w:p>
    <w:p w14:paraId="5C4C09E7" w14:textId="77777777" w:rsidR="00BE449E" w:rsidRDefault="00BE449E" w:rsidP="008E13F2">
      <w:pPr>
        <w:pStyle w:val="Podnadpis"/>
      </w:pPr>
      <w:bookmarkStart w:id="0" w:name="_Toc53492224"/>
      <w:r w:rsidRPr="00BE449E">
        <w:lastRenderedPageBreak/>
        <w:t>List of Abbreviations</w:t>
      </w:r>
      <w:bookmarkEnd w:id="0"/>
    </w:p>
    <w:p w14:paraId="6825CC3A" w14:textId="77777777" w:rsidR="0064301A" w:rsidRPr="0064301A" w:rsidRDefault="0064301A" w:rsidP="0064301A"/>
    <w:tbl>
      <w:tblPr>
        <w:tblStyle w:val="Prosttabulka1"/>
        <w:tblW w:w="9060" w:type="dxa"/>
        <w:tblLayout w:type="fixed"/>
        <w:tblLook w:val="0400" w:firstRow="0" w:lastRow="0" w:firstColumn="0" w:lastColumn="0" w:noHBand="0" w:noVBand="1"/>
      </w:tblPr>
      <w:tblGrid>
        <w:gridCol w:w="1838"/>
        <w:gridCol w:w="7222"/>
      </w:tblGrid>
      <w:tr w:rsidR="00BE449E" w:rsidRPr="00BE449E" w14:paraId="19C9CCBB" w14:textId="77777777" w:rsidTr="008A0474">
        <w:trPr>
          <w:cnfStyle w:val="000000100000" w:firstRow="0" w:lastRow="0" w:firstColumn="0" w:lastColumn="0" w:oddVBand="0" w:evenVBand="0" w:oddHBand="1" w:evenHBand="0" w:firstRowFirstColumn="0" w:firstRowLastColumn="0" w:lastRowFirstColumn="0" w:lastRowLastColumn="0"/>
          <w:trHeight w:val="491"/>
        </w:trPr>
        <w:tc>
          <w:tcPr>
            <w:tcW w:w="1838" w:type="dxa"/>
          </w:tcPr>
          <w:p w14:paraId="6C24D1BC" w14:textId="74435C58" w:rsidR="00BE449E" w:rsidRPr="00BE449E" w:rsidRDefault="00BE449E" w:rsidP="00203F66">
            <w:pPr>
              <w:rPr>
                <w:rFonts w:cs="Times New Roman"/>
                <w:b/>
                <w:szCs w:val="24"/>
                <w:lang w:val="en-GB"/>
              </w:rPr>
            </w:pPr>
            <w:r w:rsidRPr="00BE449E">
              <w:rPr>
                <w:rFonts w:cs="Times New Roman"/>
                <w:b/>
                <w:szCs w:val="24"/>
                <w:lang w:val="en-GB"/>
              </w:rPr>
              <w:t>CP</w:t>
            </w:r>
            <w:r w:rsidR="0056286A">
              <w:rPr>
                <w:rFonts w:cs="Times New Roman"/>
                <w:b/>
                <w:szCs w:val="24"/>
                <w:lang w:val="en-GB"/>
              </w:rPr>
              <w:t>V</w:t>
            </w:r>
            <w:r w:rsidRPr="00BE449E">
              <w:rPr>
                <w:rFonts w:cs="Times New Roman"/>
                <w:b/>
                <w:szCs w:val="24"/>
                <w:lang w:val="en-GB"/>
              </w:rPr>
              <w:t>A</w:t>
            </w:r>
          </w:p>
        </w:tc>
        <w:tc>
          <w:tcPr>
            <w:tcW w:w="7222" w:type="dxa"/>
          </w:tcPr>
          <w:p w14:paraId="5B8F0BF0" w14:textId="25601F33" w:rsidR="00BE449E" w:rsidRPr="00BE449E" w:rsidRDefault="0056286A" w:rsidP="00203F66">
            <w:pPr>
              <w:spacing w:before="120"/>
              <w:rPr>
                <w:rFonts w:cs="Times New Roman"/>
                <w:szCs w:val="24"/>
                <w:lang w:val="en-GB"/>
              </w:rPr>
            </w:pPr>
            <w:proofErr w:type="spellStart"/>
            <w:r>
              <w:rPr>
                <w:rFonts w:cs="Times New Roman"/>
                <w:szCs w:val="24"/>
                <w:lang w:val="en-GB"/>
              </w:rPr>
              <w:t>Centrinė</w:t>
            </w:r>
            <w:proofErr w:type="spellEnd"/>
            <w:r>
              <w:rPr>
                <w:rFonts w:cs="Times New Roman"/>
                <w:szCs w:val="24"/>
                <w:lang w:val="en-GB"/>
              </w:rPr>
              <w:t xml:space="preserve"> </w:t>
            </w:r>
            <w:proofErr w:type="spellStart"/>
            <w:r>
              <w:rPr>
                <w:rFonts w:cs="Times New Roman"/>
                <w:szCs w:val="24"/>
                <w:lang w:val="en-GB"/>
              </w:rPr>
              <w:t>projektų</w:t>
            </w:r>
            <w:proofErr w:type="spellEnd"/>
            <w:r>
              <w:rPr>
                <w:rFonts w:cs="Times New Roman"/>
                <w:szCs w:val="24"/>
                <w:lang w:val="en-GB"/>
              </w:rPr>
              <w:t xml:space="preserve"> </w:t>
            </w:r>
            <w:proofErr w:type="spellStart"/>
            <w:r>
              <w:rPr>
                <w:rFonts w:cs="Times New Roman"/>
                <w:szCs w:val="24"/>
                <w:lang w:val="en-GB"/>
              </w:rPr>
              <w:t>valdymo</w:t>
            </w:r>
            <w:proofErr w:type="spellEnd"/>
            <w:r>
              <w:rPr>
                <w:rFonts w:cs="Times New Roman"/>
                <w:szCs w:val="24"/>
                <w:lang w:val="en-GB"/>
              </w:rPr>
              <w:t xml:space="preserve"> </w:t>
            </w:r>
            <w:proofErr w:type="spellStart"/>
            <w:r>
              <w:rPr>
                <w:rFonts w:cs="Times New Roman"/>
                <w:szCs w:val="24"/>
                <w:lang w:val="en-GB"/>
              </w:rPr>
              <w:t>agentūra</w:t>
            </w:r>
            <w:proofErr w:type="spellEnd"/>
            <w:r>
              <w:rPr>
                <w:rFonts w:cs="Times New Roman"/>
                <w:szCs w:val="24"/>
                <w:lang w:val="en-GB"/>
              </w:rPr>
              <w:t xml:space="preserve"> / </w:t>
            </w:r>
            <w:r w:rsidR="00BE449E" w:rsidRPr="00BE449E">
              <w:rPr>
                <w:rFonts w:cs="Times New Roman"/>
                <w:szCs w:val="24"/>
                <w:lang w:val="en-GB"/>
              </w:rPr>
              <w:t xml:space="preserve">Central Project Management </w:t>
            </w:r>
            <w:proofErr w:type="gramStart"/>
            <w:r w:rsidR="00BE449E" w:rsidRPr="00BE449E">
              <w:rPr>
                <w:rFonts w:cs="Times New Roman"/>
                <w:szCs w:val="24"/>
                <w:lang w:val="en-GB"/>
              </w:rPr>
              <w:t>Agency</w:t>
            </w:r>
            <w:r w:rsidR="00D7538E">
              <w:rPr>
                <w:lang w:val="en-US"/>
              </w:rPr>
              <w:t xml:space="preserve"> </w:t>
            </w:r>
            <w:r w:rsidR="00D7538E">
              <w:rPr>
                <w:lang w:val="en-GB"/>
              </w:rPr>
              <w:t xml:space="preserve"> –</w:t>
            </w:r>
            <w:proofErr w:type="gramEnd"/>
            <w:r w:rsidR="00D7538E">
              <w:rPr>
                <w:lang w:val="en-GB"/>
              </w:rPr>
              <w:t xml:space="preserve"> </w:t>
            </w:r>
            <w:r w:rsidR="004569EC">
              <w:rPr>
                <w:lang w:val="en-US"/>
              </w:rPr>
              <w:t xml:space="preserve">an implementing agency for EU4Belarus </w:t>
            </w:r>
            <w:proofErr w:type="spellStart"/>
            <w:r w:rsidR="004569EC">
              <w:rPr>
                <w:lang w:val="en-US"/>
              </w:rPr>
              <w:t>Programme</w:t>
            </w:r>
            <w:proofErr w:type="spellEnd"/>
          </w:p>
        </w:tc>
      </w:tr>
      <w:tr w:rsidR="0045751E" w:rsidRPr="00BE449E" w14:paraId="3A4AFAE4" w14:textId="77777777" w:rsidTr="008A0474">
        <w:tc>
          <w:tcPr>
            <w:tcW w:w="1838" w:type="dxa"/>
          </w:tcPr>
          <w:p w14:paraId="6DBFF3E7" w14:textId="6C5A94E4" w:rsidR="0045751E" w:rsidRPr="00BE449E" w:rsidRDefault="0045751E" w:rsidP="00203F66">
            <w:pPr>
              <w:spacing w:line="276" w:lineRule="auto"/>
              <w:rPr>
                <w:rFonts w:cs="Times New Roman"/>
                <w:b/>
                <w:szCs w:val="24"/>
                <w:lang w:val="en-GB"/>
              </w:rPr>
            </w:pPr>
            <w:r>
              <w:rPr>
                <w:rFonts w:cs="Times New Roman"/>
                <w:b/>
                <w:szCs w:val="24"/>
                <w:lang w:val="en-GB"/>
              </w:rPr>
              <w:t>CH</w:t>
            </w:r>
          </w:p>
        </w:tc>
        <w:tc>
          <w:tcPr>
            <w:tcW w:w="7222" w:type="dxa"/>
          </w:tcPr>
          <w:p w14:paraId="77FCDA2D" w14:textId="41FEBDD5" w:rsidR="0045751E" w:rsidRPr="00BE449E" w:rsidRDefault="0045751E" w:rsidP="00203F66">
            <w:pPr>
              <w:spacing w:before="120" w:line="276" w:lineRule="auto"/>
              <w:rPr>
                <w:rFonts w:cs="Times New Roman"/>
                <w:szCs w:val="24"/>
                <w:lang w:val="en-GB"/>
              </w:rPr>
            </w:pPr>
            <w:r>
              <w:rPr>
                <w:lang w:val="en-GB"/>
              </w:rPr>
              <w:t>Clearing House – a consortium of the Belarusian civil society organisations</w:t>
            </w:r>
            <w:r w:rsidR="004F2DEE">
              <w:rPr>
                <w:lang w:val="en-GB"/>
              </w:rPr>
              <w:t xml:space="preserve"> formed under the grant contract with the CPVA for implementation of the SALT III programme</w:t>
            </w:r>
          </w:p>
        </w:tc>
      </w:tr>
      <w:tr w:rsidR="008A0474" w:rsidRPr="00BE449E" w14:paraId="33DFE255" w14:textId="77777777" w:rsidTr="008A0474">
        <w:trPr>
          <w:cnfStyle w:val="000000100000" w:firstRow="0" w:lastRow="0" w:firstColumn="0" w:lastColumn="0" w:oddVBand="0" w:evenVBand="0" w:oddHBand="1" w:evenHBand="0" w:firstRowFirstColumn="0" w:firstRowLastColumn="0" w:lastRowFirstColumn="0" w:lastRowLastColumn="0"/>
        </w:trPr>
        <w:tc>
          <w:tcPr>
            <w:tcW w:w="1838" w:type="dxa"/>
          </w:tcPr>
          <w:p w14:paraId="144BF494" w14:textId="09896B44" w:rsidR="008A0474" w:rsidRDefault="008A0474" w:rsidP="00203F66">
            <w:pPr>
              <w:rPr>
                <w:rFonts w:cs="Times New Roman"/>
                <w:b/>
                <w:szCs w:val="24"/>
                <w:lang w:val="en-GB"/>
              </w:rPr>
            </w:pPr>
            <w:r>
              <w:rPr>
                <w:rFonts w:cs="Times New Roman"/>
                <w:b/>
                <w:szCs w:val="24"/>
                <w:lang w:val="en-GB"/>
              </w:rPr>
              <w:t>C</w:t>
            </w:r>
            <w:r w:rsidR="00DE5C56">
              <w:rPr>
                <w:rFonts w:cs="Times New Roman"/>
                <w:b/>
                <w:szCs w:val="24"/>
                <w:lang w:val="en-GB"/>
              </w:rPr>
              <w:t>ontact point</w:t>
            </w:r>
          </w:p>
        </w:tc>
        <w:tc>
          <w:tcPr>
            <w:tcW w:w="7222" w:type="dxa"/>
          </w:tcPr>
          <w:p w14:paraId="40F28B89" w14:textId="67EA7AE0" w:rsidR="008A0474" w:rsidRDefault="008A0474" w:rsidP="00203F66">
            <w:pPr>
              <w:spacing w:before="120"/>
              <w:rPr>
                <w:rFonts w:cs="Times New Roman"/>
                <w:szCs w:val="24"/>
                <w:lang w:val="en-GB"/>
              </w:rPr>
            </w:pPr>
            <w:r w:rsidRPr="009524DF">
              <w:rPr>
                <w:lang w:val="en-GB"/>
              </w:rPr>
              <w:t>Contact Point of the participating Member State</w:t>
            </w:r>
            <w:r w:rsidR="00D7538E">
              <w:rPr>
                <w:lang w:val="en-GB"/>
              </w:rPr>
              <w:t xml:space="preserve"> – </w:t>
            </w:r>
            <w:r w:rsidR="002B59AB">
              <w:rPr>
                <w:lang w:val="en-GB"/>
              </w:rPr>
              <w:t xml:space="preserve">an </w:t>
            </w:r>
            <w:r w:rsidR="004569EC">
              <w:rPr>
                <w:lang w:val="en-US"/>
              </w:rPr>
              <w:t xml:space="preserve">institution having exclusive competence in relation to EU4Belarus </w:t>
            </w:r>
            <w:proofErr w:type="spellStart"/>
            <w:r w:rsidR="004569EC">
              <w:rPr>
                <w:lang w:val="en-US"/>
              </w:rPr>
              <w:t>Programme</w:t>
            </w:r>
            <w:proofErr w:type="spellEnd"/>
            <w:r w:rsidR="004569EC">
              <w:rPr>
                <w:lang w:val="en-US"/>
              </w:rPr>
              <w:t xml:space="preserve"> in collaboration with CPVA</w:t>
            </w:r>
          </w:p>
        </w:tc>
      </w:tr>
      <w:tr w:rsidR="008A0474" w:rsidRPr="00BE449E" w14:paraId="2A03E9B3" w14:textId="77777777" w:rsidTr="008A0474">
        <w:tc>
          <w:tcPr>
            <w:tcW w:w="1838" w:type="dxa"/>
          </w:tcPr>
          <w:p w14:paraId="5B468A8B" w14:textId="7D038923" w:rsidR="008A0474" w:rsidRPr="00BE449E" w:rsidRDefault="008A0474" w:rsidP="00203F66">
            <w:pPr>
              <w:rPr>
                <w:rFonts w:cs="Times New Roman"/>
                <w:b/>
                <w:szCs w:val="24"/>
                <w:lang w:val="en-GB"/>
              </w:rPr>
            </w:pPr>
            <w:r>
              <w:rPr>
                <w:rFonts w:cs="Times New Roman"/>
                <w:b/>
                <w:szCs w:val="24"/>
                <w:lang w:val="en-GB"/>
              </w:rPr>
              <w:t>EU</w:t>
            </w:r>
          </w:p>
        </w:tc>
        <w:tc>
          <w:tcPr>
            <w:tcW w:w="7222" w:type="dxa"/>
          </w:tcPr>
          <w:p w14:paraId="3C3DCD90" w14:textId="0BB10AAA" w:rsidR="008A0474" w:rsidRPr="00BE449E" w:rsidRDefault="008A0474" w:rsidP="00203F66">
            <w:pPr>
              <w:spacing w:before="120"/>
              <w:rPr>
                <w:rFonts w:cs="Times New Roman"/>
                <w:szCs w:val="24"/>
                <w:lang w:val="en-GB"/>
              </w:rPr>
            </w:pPr>
            <w:r>
              <w:rPr>
                <w:rFonts w:cs="Times New Roman"/>
                <w:szCs w:val="24"/>
                <w:lang w:val="en-GB"/>
              </w:rPr>
              <w:t>European Union</w:t>
            </w:r>
          </w:p>
        </w:tc>
      </w:tr>
      <w:tr w:rsidR="008A0474" w:rsidRPr="00BE449E" w14:paraId="7E1EDE54" w14:textId="77777777" w:rsidTr="008A0474">
        <w:trPr>
          <w:cnfStyle w:val="000000100000" w:firstRow="0" w:lastRow="0" w:firstColumn="0" w:lastColumn="0" w:oddVBand="0" w:evenVBand="0" w:oddHBand="1" w:evenHBand="0" w:firstRowFirstColumn="0" w:firstRowLastColumn="0" w:lastRowFirstColumn="0" w:lastRowLastColumn="0"/>
        </w:trPr>
        <w:tc>
          <w:tcPr>
            <w:tcW w:w="1838" w:type="dxa"/>
          </w:tcPr>
          <w:p w14:paraId="73295071" w14:textId="21F2D47B" w:rsidR="008A0474" w:rsidRPr="00BE449E" w:rsidRDefault="008A0474" w:rsidP="00203F66">
            <w:pPr>
              <w:rPr>
                <w:rFonts w:cs="Times New Roman"/>
                <w:b/>
                <w:szCs w:val="24"/>
                <w:lang w:val="en-GB"/>
              </w:rPr>
            </w:pPr>
            <w:r>
              <w:rPr>
                <w:rFonts w:cs="Times New Roman"/>
                <w:b/>
                <w:szCs w:val="24"/>
                <w:lang w:val="en-GB"/>
              </w:rPr>
              <w:t>HEI</w:t>
            </w:r>
          </w:p>
        </w:tc>
        <w:tc>
          <w:tcPr>
            <w:tcW w:w="7222" w:type="dxa"/>
          </w:tcPr>
          <w:p w14:paraId="12FFE5C8" w14:textId="7BCE396A" w:rsidR="008A0474" w:rsidRPr="00BE449E" w:rsidRDefault="008A0474" w:rsidP="00203F66">
            <w:pPr>
              <w:spacing w:before="120"/>
              <w:rPr>
                <w:rFonts w:cs="Times New Roman"/>
                <w:szCs w:val="24"/>
                <w:lang w:val="en-GB"/>
              </w:rPr>
            </w:pPr>
            <w:r w:rsidRPr="00FE5DB9">
              <w:rPr>
                <w:rFonts w:cs="Times New Roman"/>
                <w:szCs w:val="24"/>
                <w:lang w:val="en-GB"/>
              </w:rPr>
              <w:t>Higher Education Institution</w:t>
            </w:r>
          </w:p>
        </w:tc>
      </w:tr>
      <w:tr w:rsidR="00626ABC" w:rsidRPr="00BE449E" w14:paraId="6C2898E3" w14:textId="77777777" w:rsidTr="008A0474">
        <w:tc>
          <w:tcPr>
            <w:tcW w:w="1838" w:type="dxa"/>
          </w:tcPr>
          <w:p w14:paraId="0D520E05" w14:textId="67E47689" w:rsidR="00626ABC" w:rsidRDefault="00626ABC" w:rsidP="00203F66">
            <w:pPr>
              <w:rPr>
                <w:rFonts w:cs="Times New Roman"/>
                <w:b/>
                <w:szCs w:val="24"/>
                <w:lang w:val="en-GB"/>
              </w:rPr>
            </w:pPr>
            <w:r>
              <w:rPr>
                <w:rFonts w:cs="Times New Roman"/>
                <w:b/>
                <w:szCs w:val="24"/>
                <w:lang w:val="en-GB"/>
              </w:rPr>
              <w:t>FNLC</w:t>
            </w:r>
          </w:p>
        </w:tc>
        <w:tc>
          <w:tcPr>
            <w:tcW w:w="7222" w:type="dxa"/>
          </w:tcPr>
          <w:p w14:paraId="1FF098F4" w14:textId="4F86C3E1" w:rsidR="00626ABC" w:rsidRDefault="00626ABC" w:rsidP="00203F66">
            <w:pPr>
              <w:spacing w:before="120"/>
              <w:rPr>
                <w:rFonts w:cs="Times New Roman"/>
                <w:szCs w:val="24"/>
                <w:lang w:val="en-GB"/>
              </w:rPr>
            </w:pPr>
            <w:r>
              <w:rPr>
                <w:lang w:val="en-GB"/>
              </w:rPr>
              <w:t>F</w:t>
            </w:r>
            <w:r w:rsidRPr="005266D6">
              <w:rPr>
                <w:lang w:val="en-GB"/>
              </w:rPr>
              <w:t>inancing not linked to costs</w:t>
            </w:r>
            <w:r>
              <w:rPr>
                <w:lang w:val="en-GB"/>
              </w:rPr>
              <w:t xml:space="preserve"> – a </w:t>
            </w:r>
            <w:r w:rsidRPr="00FA0B2F">
              <w:rPr>
                <w:lang w:val="en-GB"/>
              </w:rPr>
              <w:t>form of EU contribution</w:t>
            </w:r>
          </w:p>
        </w:tc>
      </w:tr>
      <w:tr w:rsidR="008A0474" w:rsidRPr="00BE449E" w14:paraId="795AE03F" w14:textId="77777777" w:rsidTr="008A0474">
        <w:trPr>
          <w:cnfStyle w:val="000000100000" w:firstRow="0" w:lastRow="0" w:firstColumn="0" w:lastColumn="0" w:oddVBand="0" w:evenVBand="0" w:oddHBand="1" w:evenHBand="0" w:firstRowFirstColumn="0" w:firstRowLastColumn="0" w:lastRowFirstColumn="0" w:lastRowLastColumn="0"/>
        </w:trPr>
        <w:tc>
          <w:tcPr>
            <w:tcW w:w="1838" w:type="dxa"/>
          </w:tcPr>
          <w:p w14:paraId="014430F5" w14:textId="317D8355" w:rsidR="008A0474" w:rsidRPr="00BE449E" w:rsidRDefault="008A0474" w:rsidP="00203F66">
            <w:pPr>
              <w:rPr>
                <w:rFonts w:cs="Times New Roman"/>
                <w:b/>
                <w:szCs w:val="24"/>
                <w:lang w:val="en-GB"/>
              </w:rPr>
            </w:pPr>
            <w:r>
              <w:rPr>
                <w:rFonts w:cs="Times New Roman"/>
                <w:b/>
                <w:szCs w:val="24"/>
                <w:lang w:val="en-GB"/>
              </w:rPr>
              <w:t>MS</w:t>
            </w:r>
          </w:p>
        </w:tc>
        <w:tc>
          <w:tcPr>
            <w:tcW w:w="7222" w:type="dxa"/>
          </w:tcPr>
          <w:p w14:paraId="3016E4F9" w14:textId="7DBB79B5" w:rsidR="008A0474" w:rsidRPr="00BE449E" w:rsidRDefault="003F1A60" w:rsidP="00203F66">
            <w:pPr>
              <w:spacing w:before="120"/>
              <w:rPr>
                <w:rFonts w:cs="Times New Roman"/>
                <w:szCs w:val="24"/>
                <w:lang w:val="en-GB"/>
              </w:rPr>
            </w:pPr>
            <w:r>
              <w:rPr>
                <w:rFonts w:cs="Times New Roman"/>
                <w:szCs w:val="24"/>
                <w:lang w:val="en-GB"/>
              </w:rPr>
              <w:t xml:space="preserve">EU </w:t>
            </w:r>
            <w:r w:rsidR="008A0474">
              <w:rPr>
                <w:rFonts w:cs="Times New Roman"/>
                <w:szCs w:val="24"/>
                <w:lang w:val="en-GB"/>
              </w:rPr>
              <w:t>Member State</w:t>
            </w:r>
          </w:p>
        </w:tc>
      </w:tr>
      <w:tr w:rsidR="008A0474" w:rsidRPr="00BE449E" w14:paraId="499100EC" w14:textId="77777777" w:rsidTr="008A0474">
        <w:tc>
          <w:tcPr>
            <w:tcW w:w="1838" w:type="dxa"/>
          </w:tcPr>
          <w:p w14:paraId="4D8B7F3E" w14:textId="77777777" w:rsidR="008A0474" w:rsidRPr="00DD536B" w:rsidRDefault="008A0474" w:rsidP="00203F66">
            <w:pPr>
              <w:rPr>
                <w:b/>
                <w:bCs/>
                <w:lang w:val="nb-NO"/>
              </w:rPr>
            </w:pPr>
            <w:r w:rsidRPr="00DD536B">
              <w:rPr>
                <w:b/>
                <w:bCs/>
                <w:lang w:val="nb-NO"/>
              </w:rPr>
              <w:t xml:space="preserve">SALT I, </w:t>
            </w:r>
          </w:p>
          <w:p w14:paraId="59D08316" w14:textId="77777777" w:rsidR="008A0474" w:rsidRPr="00DD536B" w:rsidRDefault="008A0474" w:rsidP="00203F66">
            <w:pPr>
              <w:rPr>
                <w:b/>
                <w:bCs/>
                <w:lang w:val="nb-NO"/>
              </w:rPr>
            </w:pPr>
            <w:r w:rsidRPr="00DD536B">
              <w:rPr>
                <w:b/>
                <w:bCs/>
                <w:lang w:val="nb-NO"/>
              </w:rPr>
              <w:t xml:space="preserve">SALT II, </w:t>
            </w:r>
          </w:p>
          <w:p w14:paraId="5D28D9BD" w14:textId="7B9D3A3F" w:rsidR="008A0474" w:rsidRPr="00DD536B" w:rsidRDefault="008A0474" w:rsidP="00203F66">
            <w:pPr>
              <w:rPr>
                <w:rFonts w:cs="Times New Roman"/>
                <w:b/>
                <w:bCs/>
                <w:szCs w:val="24"/>
                <w:lang w:val="nb-NO"/>
              </w:rPr>
            </w:pPr>
            <w:r w:rsidRPr="00DD536B">
              <w:rPr>
                <w:b/>
                <w:bCs/>
                <w:lang w:val="nb-NO"/>
              </w:rPr>
              <w:t>SALT III</w:t>
            </w:r>
          </w:p>
        </w:tc>
        <w:tc>
          <w:tcPr>
            <w:tcW w:w="7222" w:type="dxa"/>
          </w:tcPr>
          <w:p w14:paraId="0335FF55" w14:textId="6ED48396" w:rsidR="008A0474" w:rsidRPr="00BE449E" w:rsidRDefault="008A0474" w:rsidP="00203F66">
            <w:pPr>
              <w:spacing w:before="120"/>
              <w:rPr>
                <w:rFonts w:cs="Times New Roman"/>
                <w:szCs w:val="24"/>
                <w:lang w:val="en-GB"/>
              </w:rPr>
            </w:pPr>
            <w:r w:rsidRPr="009524DF">
              <w:rPr>
                <w:lang w:val="en-GB"/>
              </w:rPr>
              <w:t xml:space="preserve">EU4Belarus programme </w:t>
            </w:r>
            <w:r>
              <w:rPr>
                <w:lang w:val="en-GB"/>
              </w:rPr>
              <w:t>“</w:t>
            </w:r>
            <w:r w:rsidRPr="009524DF">
              <w:rPr>
                <w:lang w:val="en-GB"/>
              </w:rPr>
              <w:t>Support to Advanced Learning and Training</w:t>
            </w:r>
            <w:r>
              <w:rPr>
                <w:lang w:val="en-GB"/>
              </w:rPr>
              <w:t>”</w:t>
            </w:r>
            <w:r w:rsidRPr="009524DF">
              <w:rPr>
                <w:lang w:val="en-GB"/>
              </w:rPr>
              <w:t xml:space="preserve"> </w:t>
            </w:r>
            <w:r w:rsidR="00764F70">
              <w:rPr>
                <w:lang w:val="en-GB"/>
              </w:rPr>
              <w:t>phases</w:t>
            </w:r>
          </w:p>
        </w:tc>
      </w:tr>
    </w:tbl>
    <w:p w14:paraId="50B068BD" w14:textId="77777777" w:rsidR="00F001D2" w:rsidRPr="00BE449E" w:rsidRDefault="00BE449E" w:rsidP="00A1172B">
      <w:pPr>
        <w:pStyle w:val="Podnadpis"/>
        <w:rPr>
          <w:lang w:val="en-GB"/>
        </w:rPr>
      </w:pPr>
      <w:r w:rsidRPr="00BE449E">
        <w:rPr>
          <w:lang w:val="en-GB"/>
        </w:rPr>
        <w:br w:type="page"/>
      </w:r>
    </w:p>
    <w:p w14:paraId="1AAEEF55" w14:textId="77777777" w:rsidR="009F6BE5" w:rsidRDefault="00A1172B" w:rsidP="009B787A">
      <w:pPr>
        <w:pStyle w:val="Nadpis1"/>
        <w:rPr>
          <w:lang w:val="en-GB"/>
        </w:rPr>
      </w:pPr>
      <w:bookmarkStart w:id="1" w:name="_Toc210756918"/>
      <w:r>
        <w:rPr>
          <w:lang w:val="en-GB"/>
        </w:rPr>
        <w:lastRenderedPageBreak/>
        <w:t>Background of the Action</w:t>
      </w:r>
      <w:bookmarkEnd w:id="1"/>
    </w:p>
    <w:p w14:paraId="44204D18" w14:textId="0F533ED0" w:rsidR="00DA4821" w:rsidRPr="00DD536B" w:rsidRDefault="00212401" w:rsidP="00212401">
      <w:pPr>
        <w:rPr>
          <w:lang w:val="en-GB"/>
        </w:rPr>
      </w:pPr>
      <w:r w:rsidRPr="00DA7625">
        <w:rPr>
          <w:lang w:val="en-GB"/>
        </w:rPr>
        <w:t xml:space="preserve">The presidential elections </w:t>
      </w:r>
      <w:r w:rsidR="00DA4821">
        <w:rPr>
          <w:lang w:val="en-GB"/>
        </w:rPr>
        <w:t xml:space="preserve">of </w:t>
      </w:r>
      <w:r w:rsidR="00DA4821" w:rsidRPr="00DA7625">
        <w:rPr>
          <w:lang w:val="en-GB"/>
        </w:rPr>
        <w:t>9</w:t>
      </w:r>
      <w:r w:rsidR="005D2F66" w:rsidRPr="000A6920">
        <w:rPr>
          <w:vertAlign w:val="superscript"/>
          <w:lang w:val="en-GB"/>
        </w:rPr>
        <w:t>th</w:t>
      </w:r>
      <w:r w:rsidR="005D2F66">
        <w:rPr>
          <w:lang w:val="en-GB"/>
        </w:rPr>
        <w:t xml:space="preserve"> </w:t>
      </w:r>
      <w:r w:rsidR="00DA4821" w:rsidRPr="00DA7625">
        <w:rPr>
          <w:lang w:val="en-GB"/>
        </w:rPr>
        <w:t>August 2020</w:t>
      </w:r>
      <w:r w:rsidR="006B2CBD">
        <w:rPr>
          <w:lang w:val="en-GB"/>
        </w:rPr>
        <w:t xml:space="preserve"> in</w:t>
      </w:r>
      <w:r w:rsidR="00DA4821" w:rsidRPr="00DA7625">
        <w:rPr>
          <w:lang w:val="en-GB"/>
        </w:rPr>
        <w:t xml:space="preserve"> </w:t>
      </w:r>
      <w:r w:rsidRPr="00DA7625">
        <w:rPr>
          <w:lang w:val="en-GB"/>
        </w:rPr>
        <w:t>Belarus were perceived by many voters and declared by independent external observers neither free nor fair. Electoral fraud</w:t>
      </w:r>
      <w:r w:rsidR="002A7BFB">
        <w:rPr>
          <w:lang w:val="en-GB"/>
        </w:rPr>
        <w:t>,</w:t>
      </w:r>
      <w:r w:rsidRPr="00DA7625">
        <w:rPr>
          <w:lang w:val="en-GB"/>
        </w:rPr>
        <w:t xml:space="preserve"> coupled </w:t>
      </w:r>
      <w:r w:rsidR="002A7BFB">
        <w:rPr>
          <w:lang w:val="en-GB"/>
        </w:rPr>
        <w:t>with</w:t>
      </w:r>
      <w:r w:rsidRPr="00DA7625">
        <w:rPr>
          <w:lang w:val="en-GB"/>
        </w:rPr>
        <w:t xml:space="preserve"> the country’s economic and social challenges</w:t>
      </w:r>
      <w:r w:rsidR="00662AC9">
        <w:rPr>
          <w:lang w:val="en-GB"/>
        </w:rPr>
        <w:t xml:space="preserve"> an</w:t>
      </w:r>
      <w:r w:rsidR="00157BA4">
        <w:rPr>
          <w:lang w:val="en-GB"/>
        </w:rPr>
        <w:t>d</w:t>
      </w:r>
      <w:r w:rsidRPr="00DA7625">
        <w:rPr>
          <w:lang w:val="en-GB"/>
        </w:rPr>
        <w:t xml:space="preserve"> excessive violence against peaceful protesters</w:t>
      </w:r>
      <w:r w:rsidR="00662AC9">
        <w:rPr>
          <w:lang w:val="en-GB"/>
        </w:rPr>
        <w:t>,</w:t>
      </w:r>
      <w:r w:rsidRPr="00DA7625">
        <w:rPr>
          <w:lang w:val="en-GB"/>
        </w:rPr>
        <w:t xml:space="preserve"> has led to a significant social and political mobilisation of Belarusian society. </w:t>
      </w:r>
      <w:r w:rsidR="00DA4821" w:rsidRPr="00DA7625">
        <w:rPr>
          <w:lang w:val="en-GB"/>
        </w:rPr>
        <w:t xml:space="preserve">Consequently, its results have not been recognised by the European Union. </w:t>
      </w:r>
      <w:r w:rsidRPr="00DA7625">
        <w:rPr>
          <w:lang w:val="en-GB"/>
        </w:rPr>
        <w:t>Urban middle class, creative communities, IT sector, healthcare and education professionals, labour and students held numerous actions of solidarity, while requesting the Belarusian authorities to stop violent actions against peaceful protesters, release detainees and political prisoners</w:t>
      </w:r>
      <w:r w:rsidR="00607B99">
        <w:rPr>
          <w:lang w:val="en-GB"/>
        </w:rPr>
        <w:t xml:space="preserve"> and</w:t>
      </w:r>
      <w:r w:rsidRPr="00DA7625">
        <w:rPr>
          <w:lang w:val="en-GB"/>
        </w:rPr>
        <w:t xml:space="preserve"> nullify the election results. </w:t>
      </w:r>
    </w:p>
    <w:p w14:paraId="263A7AEC" w14:textId="69DD6584" w:rsidR="00212401" w:rsidRDefault="00212401" w:rsidP="00212401">
      <w:pPr>
        <w:rPr>
          <w:lang w:val="en-GB"/>
        </w:rPr>
      </w:pPr>
      <w:r w:rsidRPr="00DA7625">
        <w:rPr>
          <w:lang w:val="en-GB"/>
        </w:rPr>
        <w:t>As a result, young people, faculty staff, academia and some employees of state-run enterprises have been a key target in the authorities’ efforts to pacify the public. Due to ongoing protests and repressions from the a</w:t>
      </w:r>
      <w:r>
        <w:rPr>
          <w:lang w:val="en-GB"/>
        </w:rPr>
        <w:t>uthorities, it is expected that quite a few</w:t>
      </w:r>
      <w:r w:rsidRPr="00DA7625">
        <w:rPr>
          <w:lang w:val="en-GB"/>
        </w:rPr>
        <w:t xml:space="preserve"> students have been and will be expelled. Ensuring that this will not affect their longer-term career opportunities will be important</w:t>
      </w:r>
      <w:r>
        <w:rPr>
          <w:lang w:val="en-GB"/>
        </w:rPr>
        <w:t>.</w:t>
      </w:r>
      <w:r w:rsidR="00DA4821" w:rsidRPr="00F76CEC">
        <w:rPr>
          <w:lang w:val="en-GB"/>
        </w:rPr>
        <w:t xml:space="preserve"> In addition, the Belarusian education system restricts fundamental freedoms, such as freedom of association, freedom to elect and be elected, and freedom of movement. The right to participate in the management of universities is restricted. Thus, students and schoolchildren may easily be subject to pressure from the administration of educational institutions.</w:t>
      </w:r>
    </w:p>
    <w:p w14:paraId="52D5AB84" w14:textId="77777777" w:rsidR="00B107AE" w:rsidRPr="009524DF" w:rsidRDefault="00B107AE" w:rsidP="00B107AE">
      <w:pPr>
        <w:rPr>
          <w:lang w:val="en-GB"/>
        </w:rPr>
      </w:pPr>
      <w:r w:rsidRPr="009524DF">
        <w:rPr>
          <w:lang w:val="en-GB"/>
        </w:rPr>
        <w:t>In response to the political crisis following the presidential elections in Belarus, the European Union adopted the special measure “EU4Belarus: Solidarity with the People of Belarus” in December 2020 (hereinafter – EU4Belarus). Its overall objective is to contribute towards reinforcing resilience to achieve civic empowerment and sustainable economic growth in Belarus.</w:t>
      </w:r>
    </w:p>
    <w:p w14:paraId="6A21B5B3" w14:textId="68D60540" w:rsidR="00B107AE" w:rsidRPr="009524DF" w:rsidRDefault="00B107AE" w:rsidP="00B107AE">
      <w:pPr>
        <w:rPr>
          <w:lang w:val="en-GB"/>
        </w:rPr>
      </w:pPr>
      <w:r w:rsidRPr="009524DF">
        <w:rPr>
          <w:lang w:val="en-GB"/>
        </w:rPr>
        <w:t xml:space="preserve">As a part of the special measure, the separate programme “Support to Advanced Learning and Training” (hereinafter – SALT III) concerns the implementation of one of the special measure’s components targeting youth and education. SALT III continues the support provided by the </w:t>
      </w:r>
      <w:r w:rsidR="000029AF">
        <w:rPr>
          <w:lang w:val="en-GB"/>
        </w:rPr>
        <w:t>SALT</w:t>
      </w:r>
      <w:r w:rsidRPr="009524DF">
        <w:rPr>
          <w:lang w:val="en-GB"/>
        </w:rPr>
        <w:t xml:space="preserve"> previous two programmes SALT and SALT II (hereinafter – SALT I and SALT II). Like the predecessor two SALT programmes</w:t>
      </w:r>
      <w:r w:rsidR="00E23043">
        <w:rPr>
          <w:lang w:val="en-GB"/>
        </w:rPr>
        <w:t>,</w:t>
      </w:r>
      <w:r w:rsidRPr="009524DF">
        <w:rPr>
          <w:lang w:val="en-GB"/>
        </w:rPr>
        <w:t xml:space="preserve"> SALT III provides support for a specifically designed scholarship/stipend scheme for Belarusian students who have been affected, persecuted or threatened by political regime.</w:t>
      </w:r>
    </w:p>
    <w:p w14:paraId="776D8DED" w14:textId="798C4548" w:rsidR="00B107AE" w:rsidRDefault="00B107AE" w:rsidP="00B107AE">
      <w:pPr>
        <w:rPr>
          <w:lang w:val="en-GB"/>
        </w:rPr>
      </w:pPr>
      <w:r w:rsidRPr="009524DF">
        <w:rPr>
          <w:lang w:val="en-GB"/>
        </w:rPr>
        <w:t xml:space="preserve">The scholarship/stipend scheme under the SALT III programme is administered by Central Project Management Agency (hereinafter – CPVA), based in Vilnius, Lithuania, and implemented in collaboration with Contact Points of the participating Member States (hereinafter - </w:t>
      </w:r>
      <w:r w:rsidR="00DE5C56" w:rsidRPr="00381E37">
        <w:rPr>
          <w:lang w:val="en-GB"/>
        </w:rPr>
        <w:t>Contact point</w:t>
      </w:r>
      <w:r w:rsidRPr="009524DF">
        <w:rPr>
          <w:lang w:val="en-GB"/>
        </w:rPr>
        <w:t>) and</w:t>
      </w:r>
      <w:r w:rsidRPr="009524DF">
        <w:rPr>
          <w:sz w:val="20"/>
          <w:szCs w:val="20"/>
          <w:lang w:val="en-GB"/>
        </w:rPr>
        <w:t xml:space="preserve"> </w:t>
      </w:r>
      <w:r w:rsidRPr="009524DF">
        <w:rPr>
          <w:lang w:val="en-GB"/>
        </w:rPr>
        <w:t xml:space="preserve">the Clearing House formed as a consortium of Belarusian Civil Society Organisations (hereinafter – CH). </w:t>
      </w:r>
    </w:p>
    <w:p w14:paraId="43D498E0" w14:textId="77777777" w:rsidR="00D87FB7" w:rsidRDefault="00D87FB7" w:rsidP="00D87FB7">
      <w:pPr>
        <w:pStyle w:val="Nadpis1"/>
      </w:pPr>
      <w:bookmarkStart w:id="2" w:name="_Toc210756919"/>
      <w:r>
        <w:t>Objective</w:t>
      </w:r>
      <w:bookmarkEnd w:id="2"/>
    </w:p>
    <w:p w14:paraId="4DF99A5F" w14:textId="00B24524" w:rsidR="00D87FB7" w:rsidRDefault="00D87FB7" w:rsidP="00D87FB7">
      <w:pPr>
        <w:rPr>
          <w:lang w:val="en-GB"/>
        </w:rPr>
      </w:pPr>
      <w:r>
        <w:rPr>
          <w:lang w:val="en-GB"/>
        </w:rPr>
        <w:t>The objective</w:t>
      </w:r>
      <w:r w:rsidRPr="00D87FB7">
        <w:rPr>
          <w:lang w:val="en-GB"/>
        </w:rPr>
        <w:t xml:space="preserve"> of this </w:t>
      </w:r>
      <w:r w:rsidR="00DE42DA">
        <w:rPr>
          <w:lang w:val="en-GB"/>
        </w:rPr>
        <w:t>A</w:t>
      </w:r>
      <w:r w:rsidR="00BD4CE3">
        <w:rPr>
          <w:lang w:val="en-GB"/>
        </w:rPr>
        <w:t>ction</w:t>
      </w:r>
      <w:r w:rsidR="00BD4CE3" w:rsidRPr="00D87FB7">
        <w:rPr>
          <w:lang w:val="en-GB"/>
        </w:rPr>
        <w:t xml:space="preserve"> </w:t>
      </w:r>
      <w:r w:rsidRPr="00D87FB7">
        <w:rPr>
          <w:lang w:val="en-GB"/>
        </w:rPr>
        <w:t xml:space="preserve">is to help students affected by the current political crisis in Belarus to </w:t>
      </w:r>
      <w:r w:rsidR="00A56CE9">
        <w:rPr>
          <w:lang w:val="en-GB"/>
        </w:rPr>
        <w:t>access</w:t>
      </w:r>
      <w:r w:rsidRPr="00D87FB7">
        <w:rPr>
          <w:lang w:val="en-GB"/>
        </w:rPr>
        <w:t xml:space="preserve"> EU-based universities and higher education institutions </w:t>
      </w:r>
      <w:r w:rsidR="00BD4CE3">
        <w:rPr>
          <w:lang w:val="en-GB"/>
        </w:rPr>
        <w:t>by</w:t>
      </w:r>
      <w:r w:rsidR="00BD4CE3" w:rsidRPr="00D87FB7">
        <w:rPr>
          <w:lang w:val="en-GB"/>
        </w:rPr>
        <w:t xml:space="preserve"> </w:t>
      </w:r>
      <w:r w:rsidRPr="00D87FB7">
        <w:rPr>
          <w:lang w:val="en-GB"/>
        </w:rPr>
        <w:t>provid</w:t>
      </w:r>
      <w:r w:rsidR="00BD4CE3">
        <w:rPr>
          <w:lang w:val="en-GB"/>
        </w:rPr>
        <w:t>ing</w:t>
      </w:r>
      <w:r w:rsidRPr="00D87FB7">
        <w:rPr>
          <w:lang w:val="en-GB"/>
        </w:rPr>
        <w:t xml:space="preserve"> scholarships</w:t>
      </w:r>
      <w:r w:rsidR="00BD4CE3">
        <w:rPr>
          <w:lang w:val="en-GB"/>
        </w:rPr>
        <w:t>/stipends</w:t>
      </w:r>
      <w:r w:rsidRPr="00D87FB7">
        <w:rPr>
          <w:lang w:val="en-GB"/>
        </w:rPr>
        <w:t xml:space="preserve"> </w:t>
      </w:r>
      <w:r w:rsidR="00BD4CE3">
        <w:rPr>
          <w:lang w:val="en-GB"/>
        </w:rPr>
        <w:t>to cover their studies</w:t>
      </w:r>
      <w:r w:rsidRPr="00D87FB7">
        <w:rPr>
          <w:lang w:val="en-GB"/>
        </w:rPr>
        <w:t>.</w:t>
      </w:r>
    </w:p>
    <w:p w14:paraId="60E97EF5" w14:textId="77777777" w:rsidR="00AB03CD" w:rsidRPr="00AB03CD" w:rsidRDefault="00AB03CD" w:rsidP="00AB03CD">
      <w:pPr>
        <w:pStyle w:val="Nadpis1"/>
        <w:rPr>
          <w:lang w:val="en-GB"/>
        </w:rPr>
      </w:pPr>
      <w:bookmarkStart w:id="3" w:name="_Toc77836188"/>
      <w:bookmarkStart w:id="4" w:name="_Toc210756920"/>
      <w:bookmarkEnd w:id="3"/>
      <w:r w:rsidRPr="00B8250A">
        <w:rPr>
          <w:lang w:val="en-GB"/>
        </w:rPr>
        <w:t xml:space="preserve">Scholarship </w:t>
      </w:r>
      <w:r w:rsidR="00E903AD">
        <w:rPr>
          <w:lang w:val="en-GB"/>
        </w:rPr>
        <w:t xml:space="preserve">management </w:t>
      </w:r>
      <w:r w:rsidRPr="00B8250A">
        <w:rPr>
          <w:lang w:val="en-GB"/>
        </w:rPr>
        <w:t>scheme</w:t>
      </w:r>
      <w:bookmarkEnd w:id="4"/>
    </w:p>
    <w:p w14:paraId="78B86BD2" w14:textId="4E801EBD" w:rsidR="00736CF9" w:rsidRDefault="00F72D20" w:rsidP="00C50DC5">
      <w:pPr>
        <w:rPr>
          <w:lang w:val="en-US"/>
        </w:rPr>
      </w:pPr>
      <w:r>
        <w:rPr>
          <w:lang w:val="en-GB"/>
        </w:rPr>
        <w:t>In the framework of</w:t>
      </w:r>
      <w:r w:rsidR="00736CF9">
        <w:rPr>
          <w:lang w:val="en-US"/>
        </w:rPr>
        <w:t xml:space="preserve"> </w:t>
      </w:r>
      <w:r w:rsidR="000877B0">
        <w:rPr>
          <w:lang w:val="en-US"/>
        </w:rPr>
        <w:t xml:space="preserve">SALT </w:t>
      </w:r>
      <w:proofErr w:type="spellStart"/>
      <w:r w:rsidR="00736CF9">
        <w:rPr>
          <w:lang w:val="en-US"/>
        </w:rPr>
        <w:t>Programme</w:t>
      </w:r>
      <w:proofErr w:type="spellEnd"/>
      <w:r w:rsidR="00736CF9">
        <w:rPr>
          <w:lang w:val="en-US"/>
        </w:rPr>
        <w:t>, the scholarship/stip</w:t>
      </w:r>
      <w:r w:rsidR="000D05CE">
        <w:rPr>
          <w:lang w:val="en-US"/>
        </w:rPr>
        <w:t>end scheme has been designed to enhance</w:t>
      </w:r>
      <w:r w:rsidR="00736CF9">
        <w:rPr>
          <w:lang w:val="en-US"/>
        </w:rPr>
        <w:t xml:space="preserve"> the efforts and support of the </w:t>
      </w:r>
      <w:r>
        <w:rPr>
          <w:lang w:val="en-US"/>
        </w:rPr>
        <w:t>EU member states</w:t>
      </w:r>
      <w:r w:rsidR="00736CF9">
        <w:rPr>
          <w:lang w:val="en-US"/>
        </w:rPr>
        <w:t xml:space="preserve"> by providing additional assistance to Belarusian students, </w:t>
      </w:r>
      <w:proofErr w:type="gramStart"/>
      <w:r w:rsidR="00736CF9">
        <w:rPr>
          <w:lang w:val="en-US"/>
        </w:rPr>
        <w:t>in particular</w:t>
      </w:r>
      <w:proofErr w:type="gramEnd"/>
      <w:r w:rsidR="00736CF9">
        <w:rPr>
          <w:lang w:val="en-US"/>
        </w:rPr>
        <w:t xml:space="preserve"> those affected by the political crisis or persecuted on political grounds and, </w:t>
      </w:r>
      <w:r w:rsidR="00736CF9">
        <w:rPr>
          <w:lang w:val="en-US"/>
        </w:rPr>
        <w:lastRenderedPageBreak/>
        <w:t xml:space="preserve">thus, socially vulnerable. </w:t>
      </w:r>
      <w:r w:rsidR="000D05CE">
        <w:rPr>
          <w:lang w:val="en-US"/>
        </w:rPr>
        <w:t xml:space="preserve">Complementing to offers by the EU member states to cover tuition costs, the </w:t>
      </w:r>
      <w:r w:rsidR="005D499A">
        <w:rPr>
          <w:lang w:val="en-US"/>
        </w:rPr>
        <w:t>scholarship/stipend scheme supports Belarusian students with the following:</w:t>
      </w:r>
    </w:p>
    <w:p w14:paraId="2E65D140" w14:textId="079D6A5D" w:rsidR="0056286A" w:rsidRPr="00A65061" w:rsidRDefault="0056286A" w:rsidP="0056286A">
      <w:pPr>
        <w:pStyle w:val="Odstavecseseznamem"/>
        <w:numPr>
          <w:ilvl w:val="0"/>
          <w:numId w:val="17"/>
        </w:numPr>
        <w:pBdr>
          <w:top w:val="nil"/>
          <w:left w:val="nil"/>
          <w:bottom w:val="nil"/>
          <w:right w:val="nil"/>
          <w:between w:val="nil"/>
        </w:pBdr>
        <w:ind w:left="453" w:hanging="284"/>
        <w:rPr>
          <w:color w:val="000000"/>
          <w:lang w:val="en-GB"/>
        </w:rPr>
      </w:pPr>
      <w:r w:rsidRPr="00BE6416">
        <w:rPr>
          <w:color w:val="000000"/>
          <w:lang w:val="en-GB"/>
        </w:rPr>
        <w:t xml:space="preserve">Monthly stipend to a </w:t>
      </w:r>
      <w:r w:rsidRPr="00BE6416">
        <w:rPr>
          <w:lang w:val="en-GB"/>
        </w:rPr>
        <w:t>master's degree</w:t>
      </w:r>
      <w:r w:rsidRPr="00BE6416">
        <w:rPr>
          <w:color w:val="000000"/>
          <w:lang w:val="en-GB"/>
        </w:rPr>
        <w:t xml:space="preserve"> student in </w:t>
      </w:r>
      <w:r w:rsidR="002E7159">
        <w:rPr>
          <w:color w:val="000000"/>
          <w:lang w:val="en-GB"/>
        </w:rPr>
        <w:t>the</w:t>
      </w:r>
      <w:r w:rsidRPr="00BE6416">
        <w:rPr>
          <w:color w:val="000000"/>
          <w:lang w:val="en-GB"/>
        </w:rPr>
        <w:t xml:space="preserve"> fixed amount of </w:t>
      </w:r>
      <w:r w:rsidRPr="00BE6416">
        <w:rPr>
          <w:lang w:val="en-GB"/>
        </w:rPr>
        <w:t xml:space="preserve">550 </w:t>
      </w:r>
      <w:r w:rsidRPr="00BE6416">
        <w:rPr>
          <w:color w:val="000000"/>
          <w:lang w:val="en-GB"/>
        </w:rPr>
        <w:t xml:space="preserve">EUR to cover living costs for studies in </w:t>
      </w:r>
      <w:r w:rsidRPr="00BE6416">
        <w:rPr>
          <w:lang w:val="en-GB"/>
        </w:rPr>
        <w:t>Czechia, Latvia, Lithuania, and Poland</w:t>
      </w:r>
      <w:r w:rsidRPr="00BE6416">
        <w:rPr>
          <w:color w:val="000000"/>
          <w:lang w:val="en-GB"/>
        </w:rPr>
        <w:t>. It is to be paid for one academic year</w:t>
      </w:r>
      <w:r>
        <w:rPr>
          <w:color w:val="000000"/>
          <w:lang w:val="en-GB"/>
        </w:rPr>
        <w:t xml:space="preserve"> (</w:t>
      </w:r>
      <w:r w:rsidRPr="008658FE">
        <w:rPr>
          <w:color w:val="000000"/>
          <w:lang w:val="en-GB"/>
        </w:rPr>
        <w:t>for actual study period</w:t>
      </w:r>
      <w:r>
        <w:rPr>
          <w:color w:val="000000"/>
          <w:lang w:val="en-GB"/>
        </w:rPr>
        <w:t xml:space="preserve"> </w:t>
      </w:r>
      <w:r w:rsidRPr="00570149">
        <w:rPr>
          <w:color w:val="000000"/>
          <w:lang w:val="en-GB"/>
        </w:rPr>
        <w:t xml:space="preserve">during the </w:t>
      </w:r>
      <w:r w:rsidRPr="00A65061">
        <w:rPr>
          <w:color w:val="000000"/>
          <w:lang w:val="en-GB"/>
        </w:rPr>
        <w:t xml:space="preserve">academic year): up to 10 monthly instalments per academic year at an educational institution. </w:t>
      </w:r>
    </w:p>
    <w:p w14:paraId="741FFC51" w14:textId="0A1FB09B" w:rsidR="0056286A" w:rsidRPr="00A65061" w:rsidRDefault="0056286A" w:rsidP="0056286A">
      <w:pPr>
        <w:pStyle w:val="Odstavecseseznamem"/>
        <w:numPr>
          <w:ilvl w:val="0"/>
          <w:numId w:val="17"/>
        </w:numPr>
        <w:pBdr>
          <w:top w:val="nil"/>
          <w:left w:val="nil"/>
          <w:bottom w:val="nil"/>
          <w:right w:val="nil"/>
          <w:between w:val="nil"/>
        </w:pBdr>
        <w:ind w:left="453" w:hanging="284"/>
        <w:rPr>
          <w:color w:val="000000"/>
          <w:lang w:val="en-GB"/>
        </w:rPr>
      </w:pPr>
      <w:r w:rsidRPr="00A65061">
        <w:rPr>
          <w:color w:val="000000"/>
          <w:lang w:val="en-GB"/>
        </w:rPr>
        <w:t>The number of scholarship months may be reduced in the case of double funding when more than one support channel from the European Union or other sources is used by the students in the same academic year for the same purpose, e.g. Erasmus+ programme, etc.</w:t>
      </w:r>
    </w:p>
    <w:p w14:paraId="05252657" w14:textId="641FB7CC" w:rsidR="00C5186F" w:rsidRPr="00A65061" w:rsidRDefault="00C5186F" w:rsidP="0056286A">
      <w:pPr>
        <w:rPr>
          <w:lang w:val="en-GB"/>
        </w:rPr>
      </w:pPr>
      <w:r w:rsidRPr="00A65061">
        <w:rPr>
          <w:lang w:val="en-GB"/>
        </w:rPr>
        <w:t xml:space="preserve">This specific action </w:t>
      </w:r>
      <w:r w:rsidRPr="00A65061">
        <w:rPr>
          <w:szCs w:val="24"/>
          <w:lang w:val="en-GB"/>
        </w:rPr>
        <w:t xml:space="preserve">implemented by </w:t>
      </w:r>
      <w:r w:rsidR="0056286A" w:rsidRPr="00A65061">
        <w:rPr>
          <w:szCs w:val="24"/>
          <w:lang w:val="en-GB"/>
        </w:rPr>
        <w:t xml:space="preserve">the </w:t>
      </w:r>
      <w:r w:rsidR="00A65061" w:rsidRPr="00A65061">
        <w:rPr>
          <w:b/>
          <w:bCs/>
          <w:lang w:val="en-GB"/>
        </w:rPr>
        <w:t>Czech National Agency for International Education and Research</w:t>
      </w:r>
      <w:r w:rsidR="00A65061" w:rsidRPr="00A65061">
        <w:rPr>
          <w:lang w:val="en-GB"/>
        </w:rPr>
        <w:t xml:space="preserve"> </w:t>
      </w:r>
      <w:r w:rsidRPr="00A65061">
        <w:rPr>
          <w:szCs w:val="24"/>
          <w:lang w:val="en-GB"/>
        </w:rPr>
        <w:t>as designated</w:t>
      </w:r>
      <w:r w:rsidRPr="00A65061">
        <w:rPr>
          <w:lang w:val="en-GB"/>
        </w:rPr>
        <w:t xml:space="preserve"> </w:t>
      </w:r>
      <w:r w:rsidR="00DE5C56" w:rsidRPr="00A65061">
        <w:rPr>
          <w:lang w:val="en-GB"/>
        </w:rPr>
        <w:t>C</w:t>
      </w:r>
      <w:r w:rsidRPr="00A65061">
        <w:rPr>
          <w:lang w:val="en-GB"/>
        </w:rPr>
        <w:t>ontact point</w:t>
      </w:r>
      <w:r w:rsidR="00C43E8E" w:rsidRPr="00A65061">
        <w:rPr>
          <w:lang w:val="en-GB"/>
        </w:rPr>
        <w:t xml:space="preserve">, </w:t>
      </w:r>
      <w:r w:rsidR="003F091F" w:rsidRPr="00A65061">
        <w:rPr>
          <w:lang w:val="en-GB"/>
        </w:rPr>
        <w:t xml:space="preserve">institution having exclusive competence </w:t>
      </w:r>
      <w:r w:rsidR="00230F55" w:rsidRPr="00A65061">
        <w:rPr>
          <w:lang w:val="en-GB"/>
        </w:rPr>
        <w:t xml:space="preserve">in relation to </w:t>
      </w:r>
      <w:r w:rsidR="009E36A7">
        <w:rPr>
          <w:lang w:val="en-GB"/>
        </w:rPr>
        <w:t xml:space="preserve">the </w:t>
      </w:r>
      <w:r w:rsidR="00230F55" w:rsidRPr="00A65061">
        <w:rPr>
          <w:lang w:val="en-GB"/>
        </w:rPr>
        <w:t>EU4Belarus</w:t>
      </w:r>
      <w:r w:rsidR="003F091F" w:rsidRPr="00A65061">
        <w:rPr>
          <w:lang w:val="en-GB"/>
        </w:rPr>
        <w:t xml:space="preserve"> P</w:t>
      </w:r>
      <w:r w:rsidRPr="00A65061">
        <w:rPr>
          <w:lang w:val="en-GB"/>
        </w:rPr>
        <w:t>rogramme in</w:t>
      </w:r>
      <w:r w:rsidR="00E06560">
        <w:rPr>
          <w:lang w:val="en-GB"/>
        </w:rPr>
        <w:t xml:space="preserve"> the</w:t>
      </w:r>
      <w:r w:rsidRPr="00A65061">
        <w:rPr>
          <w:lang w:val="en-GB"/>
        </w:rPr>
        <w:t xml:space="preserve"> </w:t>
      </w:r>
      <w:r w:rsidR="00A65061" w:rsidRPr="00A65061">
        <w:rPr>
          <w:b/>
          <w:bCs/>
          <w:lang w:val="en-GB"/>
        </w:rPr>
        <w:t>Czech Republic</w:t>
      </w:r>
      <w:r w:rsidR="00434718" w:rsidRPr="00A65061">
        <w:rPr>
          <w:b/>
          <w:bCs/>
          <w:lang w:val="en-GB"/>
        </w:rPr>
        <w:t xml:space="preserve"> </w:t>
      </w:r>
      <w:r w:rsidRPr="00A65061">
        <w:rPr>
          <w:lang w:val="en-GB"/>
        </w:rPr>
        <w:t>in collaboration with CP</w:t>
      </w:r>
      <w:r w:rsidR="0056286A" w:rsidRPr="00A65061">
        <w:rPr>
          <w:lang w:val="en-GB"/>
        </w:rPr>
        <w:t>V</w:t>
      </w:r>
      <w:r w:rsidRPr="00A65061">
        <w:rPr>
          <w:lang w:val="en-GB"/>
        </w:rPr>
        <w:t>A</w:t>
      </w:r>
      <w:r w:rsidR="00071E32" w:rsidRPr="00A65061">
        <w:rPr>
          <w:lang w:val="en-GB"/>
        </w:rPr>
        <w:t xml:space="preserve">, as implementing agency for </w:t>
      </w:r>
      <w:r w:rsidR="009E36A7">
        <w:rPr>
          <w:lang w:val="en-GB"/>
        </w:rPr>
        <w:t xml:space="preserve">the </w:t>
      </w:r>
      <w:r w:rsidR="000877B0">
        <w:rPr>
          <w:lang w:val="en-GB"/>
        </w:rPr>
        <w:t>SALT</w:t>
      </w:r>
      <w:r w:rsidR="000877B0" w:rsidRPr="00A65061">
        <w:rPr>
          <w:lang w:val="en-GB"/>
        </w:rPr>
        <w:t xml:space="preserve"> </w:t>
      </w:r>
      <w:r w:rsidR="00071E32" w:rsidRPr="00A65061">
        <w:rPr>
          <w:lang w:val="en-GB"/>
        </w:rPr>
        <w:t xml:space="preserve">Programme, is to facilitate </w:t>
      </w:r>
      <w:r w:rsidR="003F091F" w:rsidRPr="00A65061">
        <w:rPr>
          <w:lang w:val="en-GB"/>
        </w:rPr>
        <w:t>efficient delivery of the aid to B</w:t>
      </w:r>
      <w:r w:rsidR="00CF705A" w:rsidRPr="00A65061">
        <w:rPr>
          <w:lang w:val="en-GB"/>
        </w:rPr>
        <w:t>elaru</w:t>
      </w:r>
      <w:r w:rsidR="00242BBF" w:rsidRPr="00A65061">
        <w:rPr>
          <w:lang w:val="en-GB"/>
        </w:rPr>
        <w:t>sian students studying in</w:t>
      </w:r>
      <w:r w:rsidR="00AA1A7D">
        <w:rPr>
          <w:lang w:val="en-GB"/>
        </w:rPr>
        <w:t xml:space="preserve"> the</w:t>
      </w:r>
      <w:r w:rsidR="00242BBF" w:rsidRPr="00A65061">
        <w:rPr>
          <w:lang w:val="en-GB"/>
        </w:rPr>
        <w:t xml:space="preserve"> </w:t>
      </w:r>
      <w:r w:rsidR="00A65061" w:rsidRPr="00A65061">
        <w:rPr>
          <w:b/>
          <w:bCs/>
          <w:lang w:val="en-GB"/>
        </w:rPr>
        <w:t>Czech Republic</w:t>
      </w:r>
      <w:r w:rsidR="003F091F" w:rsidRPr="00A65061">
        <w:rPr>
          <w:b/>
          <w:bCs/>
          <w:lang w:val="en-GB"/>
        </w:rPr>
        <w:t>.</w:t>
      </w:r>
      <w:r w:rsidR="00F54EB9" w:rsidRPr="00A65061">
        <w:rPr>
          <w:lang w:val="en-GB"/>
        </w:rPr>
        <w:t xml:space="preserve"> </w:t>
      </w:r>
    </w:p>
    <w:p w14:paraId="7D3C8023" w14:textId="77777777" w:rsidR="00F54EB9" w:rsidRPr="00A65061" w:rsidRDefault="00F54EB9" w:rsidP="00C50DC5">
      <w:pPr>
        <w:rPr>
          <w:lang w:val="en-GB"/>
        </w:rPr>
      </w:pPr>
      <w:r w:rsidRPr="00A65061">
        <w:rPr>
          <w:lang w:val="en-GB"/>
        </w:rPr>
        <w:t>The action will particularly concentrate on the target group of Belarusian students who:</w:t>
      </w:r>
    </w:p>
    <w:p w14:paraId="28CB69C4" w14:textId="3D06191F" w:rsidR="0056286A" w:rsidRPr="00A65061" w:rsidRDefault="00AA1A7D" w:rsidP="0056286A">
      <w:pPr>
        <w:pStyle w:val="Odstavecseseznamem"/>
        <w:numPr>
          <w:ilvl w:val="0"/>
          <w:numId w:val="15"/>
        </w:numPr>
        <w:spacing w:after="120"/>
        <w:ind w:left="714" w:hanging="357"/>
        <w:rPr>
          <w:lang w:val="en-GB"/>
        </w:rPr>
      </w:pPr>
      <w:r>
        <w:rPr>
          <w:lang w:val="en-GB"/>
        </w:rPr>
        <w:t>Are</w:t>
      </w:r>
      <w:r w:rsidR="0056286A" w:rsidRPr="00A65061">
        <w:rPr>
          <w:lang w:val="en-GB"/>
        </w:rPr>
        <w:t xml:space="preserve"> present or former citizen</w:t>
      </w:r>
      <w:r>
        <w:rPr>
          <w:lang w:val="en-GB"/>
        </w:rPr>
        <w:t>s</w:t>
      </w:r>
      <w:r w:rsidR="0056286A" w:rsidRPr="00A65061">
        <w:rPr>
          <w:lang w:val="en-GB"/>
        </w:rPr>
        <w:t xml:space="preserve"> of Belarus</w:t>
      </w:r>
      <w:r w:rsidR="0056286A" w:rsidRPr="00A65061">
        <w:rPr>
          <w:vertAlign w:val="superscript"/>
          <w:lang w:val="en-GB"/>
        </w:rPr>
        <w:footnoteReference w:id="1"/>
      </w:r>
      <w:r w:rsidR="0056286A" w:rsidRPr="00A65061">
        <w:rPr>
          <w:lang w:val="en-GB"/>
        </w:rPr>
        <w:t>.</w:t>
      </w:r>
    </w:p>
    <w:p w14:paraId="1EA54A57" w14:textId="42D38007" w:rsidR="0056286A" w:rsidRPr="00A65061" w:rsidRDefault="0056286A" w:rsidP="0056286A">
      <w:pPr>
        <w:pStyle w:val="Odstavecseseznamem"/>
        <w:numPr>
          <w:ilvl w:val="0"/>
          <w:numId w:val="15"/>
        </w:numPr>
        <w:spacing w:after="120"/>
        <w:ind w:left="714" w:hanging="357"/>
        <w:rPr>
          <w:lang w:val="en-GB"/>
        </w:rPr>
      </w:pPr>
      <w:r w:rsidRPr="00A65061">
        <w:rPr>
          <w:lang w:val="en-GB"/>
        </w:rPr>
        <w:t>Have</w:t>
      </w:r>
      <w:r w:rsidR="003F0B32">
        <w:rPr>
          <w:lang w:val="en-GB"/>
        </w:rPr>
        <w:t xml:space="preserve"> an</w:t>
      </w:r>
      <w:r w:rsidRPr="00A65061">
        <w:rPr>
          <w:lang w:val="en-GB"/>
        </w:rPr>
        <w:t xml:space="preserve"> undergraduate degree (bachelor).</w:t>
      </w:r>
    </w:p>
    <w:p w14:paraId="46219FAE" w14:textId="3DC38DBF" w:rsidR="0056286A" w:rsidRPr="009524DF" w:rsidRDefault="0056286A" w:rsidP="0056286A">
      <w:pPr>
        <w:numPr>
          <w:ilvl w:val="0"/>
          <w:numId w:val="15"/>
        </w:numPr>
        <w:pBdr>
          <w:top w:val="nil"/>
          <w:left w:val="nil"/>
          <w:bottom w:val="nil"/>
          <w:right w:val="nil"/>
          <w:between w:val="nil"/>
        </w:pBdr>
        <w:spacing w:after="120"/>
        <w:ind w:left="714" w:hanging="357"/>
        <w:rPr>
          <w:lang w:val="en-GB"/>
        </w:rPr>
      </w:pPr>
      <w:r w:rsidRPr="00A65061">
        <w:rPr>
          <w:color w:val="000000"/>
          <w:lang w:val="en-GB"/>
        </w:rPr>
        <w:t xml:space="preserve">Have been expelled from a university in Belarus, threatened or persecuted on political grounds and </w:t>
      </w:r>
      <w:r w:rsidRPr="00A65061">
        <w:rPr>
          <w:lang w:val="en-GB"/>
        </w:rPr>
        <w:t>have started or applied for full-time</w:t>
      </w:r>
      <w:r w:rsidRPr="009524DF">
        <w:rPr>
          <w:lang w:val="en-GB"/>
        </w:rPr>
        <w:t xml:space="preserve"> </w:t>
      </w:r>
      <w:r w:rsidR="00274F13">
        <w:rPr>
          <w:lang w:val="en-GB"/>
        </w:rPr>
        <w:t>post</w:t>
      </w:r>
      <w:r w:rsidRPr="009524DF">
        <w:rPr>
          <w:lang w:val="en-GB"/>
        </w:rPr>
        <w:t>graduate study (master) programmes at universities in Czechia, Latvia, Lithuania, or Poland no earlier than the 2020/2021 academic year.</w:t>
      </w:r>
    </w:p>
    <w:p w14:paraId="3061C403" w14:textId="2FDAFFC0" w:rsidR="006F291C" w:rsidRDefault="0056286A" w:rsidP="0056286A">
      <w:pPr>
        <w:numPr>
          <w:ilvl w:val="0"/>
          <w:numId w:val="16"/>
        </w:numPr>
        <w:pBdr>
          <w:top w:val="nil"/>
          <w:left w:val="nil"/>
          <w:bottom w:val="nil"/>
          <w:right w:val="nil"/>
          <w:between w:val="nil"/>
        </w:pBdr>
        <w:spacing w:after="120"/>
        <w:ind w:left="714" w:hanging="357"/>
        <w:rPr>
          <w:lang w:val="en-GB"/>
        </w:rPr>
      </w:pPr>
      <w:r w:rsidRPr="009524DF">
        <w:rPr>
          <w:color w:val="000000"/>
          <w:lang w:val="en-GB"/>
        </w:rPr>
        <w:t xml:space="preserve">Have a conditional or unconditional acceptance letter or have been already studying </w:t>
      </w:r>
      <w:r w:rsidR="00A756D4">
        <w:rPr>
          <w:color w:val="000000"/>
          <w:lang w:val="en-GB"/>
        </w:rPr>
        <w:t>in a</w:t>
      </w:r>
      <w:r w:rsidRPr="009524DF">
        <w:rPr>
          <w:color w:val="000000"/>
          <w:lang w:val="en-GB"/>
        </w:rPr>
        <w:t xml:space="preserve"> </w:t>
      </w:r>
      <w:r w:rsidRPr="009524DF">
        <w:rPr>
          <w:lang w:val="en-GB"/>
        </w:rPr>
        <w:t>postgraduate study (</w:t>
      </w:r>
      <w:r w:rsidR="000877B0">
        <w:rPr>
          <w:lang w:val="en-GB"/>
        </w:rPr>
        <w:t>M</w:t>
      </w:r>
      <w:r w:rsidR="000877B0" w:rsidRPr="009524DF">
        <w:rPr>
          <w:lang w:val="en-GB"/>
        </w:rPr>
        <w:t>aster</w:t>
      </w:r>
      <w:r w:rsidR="000877B0">
        <w:rPr>
          <w:lang w:val="en-GB"/>
        </w:rPr>
        <w:t>’s</w:t>
      </w:r>
      <w:r w:rsidRPr="009524DF">
        <w:rPr>
          <w:lang w:val="en-GB"/>
        </w:rPr>
        <w:t>) programme</w:t>
      </w:r>
      <w:r w:rsidRPr="009524DF">
        <w:rPr>
          <w:color w:val="000000"/>
          <w:lang w:val="en-GB"/>
        </w:rPr>
        <w:t xml:space="preserve"> </w:t>
      </w:r>
      <w:r w:rsidR="00A756D4">
        <w:rPr>
          <w:color w:val="000000"/>
          <w:lang w:val="en-GB"/>
        </w:rPr>
        <w:t>at</w:t>
      </w:r>
      <w:r w:rsidRPr="009524DF">
        <w:rPr>
          <w:color w:val="000000"/>
          <w:lang w:val="en-GB"/>
        </w:rPr>
        <w:t xml:space="preserve"> a university based in Czechia, Latvia, Lithuania or Poland for the academic year 2025/2026.</w:t>
      </w:r>
    </w:p>
    <w:p w14:paraId="18B7FCC8" w14:textId="7F923F24" w:rsidR="006F291C" w:rsidRPr="006F291C" w:rsidRDefault="0056286A" w:rsidP="0056286A">
      <w:pPr>
        <w:numPr>
          <w:ilvl w:val="0"/>
          <w:numId w:val="16"/>
        </w:numPr>
        <w:pBdr>
          <w:top w:val="nil"/>
          <w:left w:val="nil"/>
          <w:bottom w:val="nil"/>
          <w:right w:val="nil"/>
          <w:between w:val="nil"/>
        </w:pBdr>
        <w:spacing w:after="120"/>
        <w:ind w:left="714" w:hanging="357"/>
        <w:rPr>
          <w:lang w:val="en-GB"/>
        </w:rPr>
      </w:pPr>
      <w:r w:rsidRPr="006F291C">
        <w:rPr>
          <w:color w:val="000000"/>
          <w:lang w:val="en-GB"/>
        </w:rPr>
        <w:t xml:space="preserve">Have demonstrated personal motivation and capacity to start or continue and complete </w:t>
      </w:r>
      <w:proofErr w:type="gramStart"/>
      <w:r w:rsidR="000877B0">
        <w:rPr>
          <w:color w:val="000000"/>
          <w:lang w:val="en-GB"/>
        </w:rPr>
        <w:t>M</w:t>
      </w:r>
      <w:r w:rsidR="000877B0" w:rsidRPr="006F291C">
        <w:rPr>
          <w:color w:val="000000"/>
          <w:lang w:val="en-GB"/>
        </w:rPr>
        <w:t>aster’s</w:t>
      </w:r>
      <w:proofErr w:type="gramEnd"/>
      <w:r w:rsidR="000877B0" w:rsidRPr="006F291C">
        <w:rPr>
          <w:color w:val="000000"/>
          <w:lang w:val="en-GB"/>
        </w:rPr>
        <w:t xml:space="preserve"> </w:t>
      </w:r>
      <w:r w:rsidRPr="006F291C">
        <w:rPr>
          <w:color w:val="000000"/>
          <w:lang w:val="en-GB"/>
        </w:rPr>
        <w:t>studies.</w:t>
      </w:r>
    </w:p>
    <w:p w14:paraId="581C79F8" w14:textId="61D08CD7" w:rsidR="00CA3B5B" w:rsidRDefault="00CE798D" w:rsidP="0056286A">
      <w:pPr>
        <w:rPr>
          <w:lang w:val="en-US"/>
        </w:rPr>
      </w:pPr>
      <w:r>
        <w:rPr>
          <w:lang w:val="en-US"/>
        </w:rPr>
        <w:t>In th</w:t>
      </w:r>
      <w:r w:rsidR="00230F55">
        <w:rPr>
          <w:lang w:val="en-US"/>
        </w:rPr>
        <w:t>e framework of the action, the C</w:t>
      </w:r>
      <w:r>
        <w:rPr>
          <w:lang w:val="en-US"/>
        </w:rPr>
        <w:t xml:space="preserve">ontact point will assume </w:t>
      </w:r>
      <w:r w:rsidR="00730108">
        <w:rPr>
          <w:lang w:val="en-US"/>
        </w:rPr>
        <w:t>the following activities:</w:t>
      </w:r>
    </w:p>
    <w:p w14:paraId="577FFB1B" w14:textId="0B8D87D9" w:rsidR="00730108" w:rsidRPr="00356C9E" w:rsidRDefault="00730108" w:rsidP="003B6212">
      <w:pPr>
        <w:pStyle w:val="Odstavecseseznamem"/>
        <w:numPr>
          <w:ilvl w:val="0"/>
          <w:numId w:val="14"/>
        </w:numPr>
        <w:rPr>
          <w:lang w:val="en-US"/>
        </w:rPr>
      </w:pPr>
      <w:r w:rsidRPr="00356C9E">
        <w:rPr>
          <w:lang w:val="en-US"/>
        </w:rPr>
        <w:t xml:space="preserve">Coordination with relevant authorities, universities and educational institutions in the </w:t>
      </w:r>
      <w:r w:rsidR="00230F55">
        <w:rPr>
          <w:lang w:val="en-US"/>
        </w:rPr>
        <w:t>EU MS</w:t>
      </w:r>
      <w:r w:rsidRPr="00356C9E">
        <w:rPr>
          <w:lang w:val="en-US"/>
        </w:rPr>
        <w:t xml:space="preserve"> offering study </w:t>
      </w:r>
      <w:proofErr w:type="spellStart"/>
      <w:r w:rsidRPr="00356C9E">
        <w:rPr>
          <w:lang w:val="en-US"/>
        </w:rPr>
        <w:t>p</w:t>
      </w:r>
      <w:r w:rsidRPr="007E63DB">
        <w:rPr>
          <w:lang w:val="en-US"/>
        </w:rPr>
        <w:t>rogrammes</w:t>
      </w:r>
      <w:proofErr w:type="spellEnd"/>
      <w:r w:rsidRPr="007E63DB">
        <w:rPr>
          <w:lang w:val="en-US"/>
        </w:rPr>
        <w:t xml:space="preserve"> to Belarusian students</w:t>
      </w:r>
      <w:r w:rsidR="00356C9E" w:rsidRPr="007E63DB">
        <w:rPr>
          <w:lang w:val="en-US"/>
        </w:rPr>
        <w:t xml:space="preserve">, including collecting and </w:t>
      </w:r>
      <w:r w:rsidR="00356C9E" w:rsidRPr="00CC03B0">
        <w:rPr>
          <w:lang w:val="en-US"/>
        </w:rPr>
        <w:t xml:space="preserve">sharing information and </w:t>
      </w:r>
      <w:r w:rsidR="0064301A" w:rsidRPr="00CC03B0">
        <w:rPr>
          <w:lang w:val="en-US"/>
        </w:rPr>
        <w:t>communication.</w:t>
      </w:r>
    </w:p>
    <w:p w14:paraId="6762725A" w14:textId="307465E2" w:rsidR="00356C9E" w:rsidRPr="00356C9E" w:rsidRDefault="00356C9E" w:rsidP="003B6212">
      <w:pPr>
        <w:pStyle w:val="Odstavecseseznamem"/>
        <w:numPr>
          <w:ilvl w:val="0"/>
          <w:numId w:val="14"/>
        </w:numPr>
        <w:rPr>
          <w:lang w:val="en-US"/>
        </w:rPr>
      </w:pPr>
      <w:r w:rsidRPr="00356C9E">
        <w:rPr>
          <w:lang w:val="en-US"/>
        </w:rPr>
        <w:t xml:space="preserve">Contribution to </w:t>
      </w:r>
      <w:r w:rsidR="00203F66" w:rsidRPr="00356C9E">
        <w:rPr>
          <w:lang w:val="en-US"/>
        </w:rPr>
        <w:t>monitoring</w:t>
      </w:r>
      <w:r w:rsidRPr="00356C9E">
        <w:rPr>
          <w:lang w:val="en-US"/>
        </w:rPr>
        <w:t xml:space="preserve"> the students’ academic progress and compliance with code of ethics.</w:t>
      </w:r>
    </w:p>
    <w:p w14:paraId="46C9E626" w14:textId="3C018CA5" w:rsidR="007E63DB" w:rsidRDefault="00CA3B5B" w:rsidP="00C50DC5">
      <w:pPr>
        <w:rPr>
          <w:lang w:val="en-US"/>
        </w:rPr>
      </w:pPr>
      <w:r>
        <w:rPr>
          <w:lang w:val="en-US"/>
        </w:rPr>
        <w:t xml:space="preserve">In </w:t>
      </w:r>
      <w:r w:rsidR="00203F66">
        <w:rPr>
          <w:lang w:val="en-US"/>
        </w:rPr>
        <w:t>the spirit</w:t>
      </w:r>
      <w:r>
        <w:rPr>
          <w:lang w:val="en-US"/>
        </w:rPr>
        <w:t xml:space="preserve"> of Team Europe approach, the action will pull </w:t>
      </w:r>
      <w:r w:rsidRPr="00CA3B5B">
        <w:rPr>
          <w:lang w:val="en-US"/>
        </w:rPr>
        <w:t xml:space="preserve">resources </w:t>
      </w:r>
      <w:r>
        <w:rPr>
          <w:lang w:val="en-US"/>
        </w:rPr>
        <w:t>allocated by the EU member states individually</w:t>
      </w:r>
      <w:r w:rsidRPr="00CA3B5B">
        <w:rPr>
          <w:lang w:val="en-US"/>
        </w:rPr>
        <w:t xml:space="preserve"> </w:t>
      </w:r>
      <w:r>
        <w:rPr>
          <w:lang w:val="en-US"/>
        </w:rPr>
        <w:t xml:space="preserve">and the EU in </w:t>
      </w:r>
      <w:r w:rsidR="00203F66">
        <w:rPr>
          <w:lang w:val="en-US"/>
        </w:rPr>
        <w:t>general</w:t>
      </w:r>
      <w:r w:rsidRPr="00CA3B5B">
        <w:rPr>
          <w:lang w:val="en-US"/>
        </w:rPr>
        <w:t xml:space="preserve"> to ensure great</w:t>
      </w:r>
      <w:r w:rsidR="003F71B4">
        <w:rPr>
          <w:lang w:val="en-US"/>
        </w:rPr>
        <w:t>er sustainable impact. The action</w:t>
      </w:r>
      <w:r w:rsidR="00C43E8E">
        <w:rPr>
          <w:lang w:val="en-US"/>
        </w:rPr>
        <w:t xml:space="preserve"> </w:t>
      </w:r>
      <w:r w:rsidR="003F71B4">
        <w:rPr>
          <w:lang w:val="en-US"/>
        </w:rPr>
        <w:t>contain</w:t>
      </w:r>
      <w:r w:rsidR="00C43E8E">
        <w:rPr>
          <w:lang w:val="en-US"/>
        </w:rPr>
        <w:t>s</w:t>
      </w:r>
      <w:r w:rsidR="003F71B4">
        <w:rPr>
          <w:lang w:val="en-US"/>
        </w:rPr>
        <w:t xml:space="preserve"> the operational steps as follows</w:t>
      </w:r>
      <w:r w:rsidR="007E63DB">
        <w:rPr>
          <w:lang w:val="en-US"/>
        </w:rPr>
        <w:t xml:space="preserve">: </w:t>
      </w:r>
    </w:p>
    <w:p w14:paraId="16AF6426" w14:textId="0ABEFD01" w:rsidR="0045751E" w:rsidRDefault="007E63DB" w:rsidP="00C50DC5">
      <w:pPr>
        <w:pStyle w:val="Odstavecseseznamem"/>
        <w:numPr>
          <w:ilvl w:val="0"/>
          <w:numId w:val="18"/>
        </w:numPr>
        <w:rPr>
          <w:lang w:val="en-US"/>
        </w:rPr>
      </w:pPr>
      <w:r w:rsidRPr="00C43E8E">
        <w:rPr>
          <w:lang w:val="en-US"/>
        </w:rPr>
        <w:t xml:space="preserve">Student admission to universities in the EU member states </w:t>
      </w:r>
      <w:r w:rsidR="00C43E8E">
        <w:rPr>
          <w:lang w:val="en-US"/>
        </w:rPr>
        <w:t xml:space="preserve">shall </w:t>
      </w:r>
      <w:r w:rsidRPr="00C43E8E">
        <w:rPr>
          <w:lang w:val="en-US"/>
        </w:rPr>
        <w:t xml:space="preserve">proceed independently from the action, following </w:t>
      </w:r>
      <w:r w:rsidR="004C1723" w:rsidRPr="00C43E8E">
        <w:rPr>
          <w:lang w:val="en-US"/>
        </w:rPr>
        <w:t>proce</w:t>
      </w:r>
      <w:r w:rsidR="005426C9" w:rsidRPr="00C43E8E">
        <w:rPr>
          <w:lang w:val="en-US"/>
        </w:rPr>
        <w:t>dures set by the EU MS</w:t>
      </w:r>
      <w:r w:rsidR="004C1723" w:rsidRPr="00C43E8E">
        <w:rPr>
          <w:lang w:val="en-US"/>
        </w:rPr>
        <w:t xml:space="preserve">/university and in line with usual academic </w:t>
      </w:r>
      <w:r w:rsidR="004C1723" w:rsidRPr="00C43E8E">
        <w:rPr>
          <w:lang w:val="en-US"/>
        </w:rPr>
        <w:lastRenderedPageBreak/>
        <w:t>processes and schedules set in the country. In parallel, CP</w:t>
      </w:r>
      <w:r w:rsidR="00C43E8E">
        <w:rPr>
          <w:lang w:val="en-US"/>
        </w:rPr>
        <w:t>V</w:t>
      </w:r>
      <w:r w:rsidR="004C1723" w:rsidRPr="00C43E8E">
        <w:rPr>
          <w:lang w:val="en-US"/>
        </w:rPr>
        <w:t xml:space="preserve">A </w:t>
      </w:r>
      <w:r w:rsidR="00A823B8">
        <w:rPr>
          <w:lang w:val="en-US"/>
        </w:rPr>
        <w:t>shall</w:t>
      </w:r>
      <w:r w:rsidR="00C43E8E">
        <w:rPr>
          <w:lang w:val="en-US"/>
        </w:rPr>
        <w:t xml:space="preserve"> announce a</w:t>
      </w:r>
      <w:r w:rsidR="004C1723" w:rsidRPr="00C43E8E">
        <w:rPr>
          <w:lang w:val="en-US"/>
        </w:rPr>
        <w:t xml:space="preserve"> call for</w:t>
      </w:r>
      <w:r w:rsidR="0089581B">
        <w:rPr>
          <w:lang w:val="en-US"/>
        </w:rPr>
        <w:t xml:space="preserve"> master’s</w:t>
      </w:r>
      <w:r w:rsidR="00C43E8E">
        <w:rPr>
          <w:lang w:val="en-US"/>
        </w:rPr>
        <w:t xml:space="preserve"> </w:t>
      </w:r>
      <w:r w:rsidR="004C1723" w:rsidRPr="00C43E8E">
        <w:rPr>
          <w:lang w:val="en-US"/>
        </w:rPr>
        <w:t>scholarship application inviting Belarusian students</w:t>
      </w:r>
      <w:r w:rsidR="00C43E8E">
        <w:rPr>
          <w:lang w:val="en-US"/>
        </w:rPr>
        <w:t xml:space="preserve"> to apply</w:t>
      </w:r>
      <w:r w:rsidR="004C1723" w:rsidRPr="00C43E8E">
        <w:rPr>
          <w:lang w:val="en-US"/>
        </w:rPr>
        <w:t xml:space="preserve">. The </w:t>
      </w:r>
      <w:r w:rsidR="005426C9" w:rsidRPr="00C43E8E">
        <w:rPr>
          <w:lang w:val="en-US"/>
        </w:rPr>
        <w:t>C</w:t>
      </w:r>
      <w:r w:rsidR="004C1723" w:rsidRPr="00C43E8E">
        <w:rPr>
          <w:lang w:val="en-US"/>
        </w:rPr>
        <w:t xml:space="preserve">ontact point </w:t>
      </w:r>
      <w:r w:rsidR="00A823B8">
        <w:rPr>
          <w:lang w:val="en-US"/>
        </w:rPr>
        <w:t>shall be</w:t>
      </w:r>
      <w:r w:rsidR="004C1723" w:rsidRPr="00C43E8E">
        <w:rPr>
          <w:lang w:val="en-US"/>
        </w:rPr>
        <w:t xml:space="preserve"> encouraged to distribute information about the opportunity </w:t>
      </w:r>
      <w:r w:rsidR="002B7E63" w:rsidRPr="00C43E8E">
        <w:rPr>
          <w:lang w:val="en-US"/>
        </w:rPr>
        <w:t>through universities, relevant student networks and other information channels for better outreach to Belarusian students.</w:t>
      </w:r>
    </w:p>
    <w:p w14:paraId="04EA7052" w14:textId="77777777" w:rsidR="002631A2" w:rsidRPr="002631A2" w:rsidRDefault="00D259BD" w:rsidP="00C50DC5">
      <w:pPr>
        <w:pStyle w:val="Odstavecseseznamem"/>
        <w:numPr>
          <w:ilvl w:val="0"/>
          <w:numId w:val="18"/>
        </w:numPr>
        <w:rPr>
          <w:lang w:val="en-GB"/>
        </w:rPr>
      </w:pPr>
      <w:r w:rsidRPr="0045751E">
        <w:rPr>
          <w:lang w:val="en-US"/>
        </w:rPr>
        <w:t xml:space="preserve">Evaluation of the scholarship applications received as well as selection and award of the funding </w:t>
      </w:r>
      <w:r w:rsidR="00A823B8">
        <w:rPr>
          <w:lang w:val="en-US"/>
        </w:rPr>
        <w:t>shall be</w:t>
      </w:r>
      <w:r w:rsidRPr="0045751E">
        <w:rPr>
          <w:lang w:val="en-US"/>
        </w:rPr>
        <w:t xml:space="preserve"> organized by CP</w:t>
      </w:r>
      <w:r w:rsidR="0045751E">
        <w:rPr>
          <w:lang w:val="en-US"/>
        </w:rPr>
        <w:t>V</w:t>
      </w:r>
      <w:r w:rsidRPr="0045751E">
        <w:rPr>
          <w:lang w:val="en-US"/>
        </w:rPr>
        <w:t>A</w:t>
      </w:r>
      <w:r w:rsidR="0045751E">
        <w:rPr>
          <w:lang w:val="en-US"/>
        </w:rPr>
        <w:t xml:space="preserve"> in collaboration with the CH</w:t>
      </w:r>
      <w:r w:rsidR="0089581B">
        <w:rPr>
          <w:lang w:val="en-US"/>
        </w:rPr>
        <w:t xml:space="preserve">. </w:t>
      </w:r>
    </w:p>
    <w:p w14:paraId="6FFC428B" w14:textId="4B45E1C6" w:rsidR="007F63A7" w:rsidRPr="00B5240D" w:rsidRDefault="0089581B" w:rsidP="00C50DC5">
      <w:pPr>
        <w:pStyle w:val="Odstavecseseznamem"/>
        <w:numPr>
          <w:ilvl w:val="0"/>
          <w:numId w:val="18"/>
        </w:numPr>
        <w:rPr>
          <w:lang w:val="en-GB"/>
        </w:rPr>
      </w:pPr>
      <w:r w:rsidRPr="0089581B">
        <w:rPr>
          <w:lang w:val="en-GB"/>
        </w:rPr>
        <w:t xml:space="preserve">If the funds allocated for </w:t>
      </w:r>
      <w:r>
        <w:rPr>
          <w:lang w:val="en-GB"/>
        </w:rPr>
        <w:t>SALT III scholarship</w:t>
      </w:r>
      <w:r w:rsidRPr="0089581B">
        <w:rPr>
          <w:lang w:val="en-GB"/>
        </w:rPr>
        <w:t xml:space="preserve"> call </w:t>
      </w:r>
      <w:r>
        <w:rPr>
          <w:lang w:val="en-GB"/>
        </w:rPr>
        <w:t xml:space="preserve">shall not </w:t>
      </w:r>
      <w:r w:rsidRPr="0089581B">
        <w:rPr>
          <w:lang w:val="en-GB"/>
        </w:rPr>
        <w:t>be used due to</w:t>
      </w:r>
      <w:r w:rsidR="00E370EA">
        <w:rPr>
          <w:lang w:val="en-GB"/>
        </w:rPr>
        <w:t xml:space="preserve"> an</w:t>
      </w:r>
      <w:r w:rsidRPr="0089581B">
        <w:rPr>
          <w:lang w:val="en-GB"/>
        </w:rPr>
        <w:t xml:space="preserve"> insufficient number or quality of applications received, the </w:t>
      </w:r>
      <w:r w:rsidRPr="00B5240D">
        <w:rPr>
          <w:lang w:val="en-GB"/>
        </w:rPr>
        <w:t xml:space="preserve">CPVA reserves the right to allocate the remaining funds to extend master's studies for an additional academic </w:t>
      </w:r>
      <w:r w:rsidRPr="00040B8C">
        <w:rPr>
          <w:lang w:val="en-GB"/>
        </w:rPr>
        <w:t xml:space="preserve">year </w:t>
      </w:r>
      <w:r w:rsidR="00785AE8" w:rsidRPr="00040B8C">
        <w:rPr>
          <w:lang w:val="en-GB"/>
        </w:rPr>
        <w:t>(up to 10 months in</w:t>
      </w:r>
      <w:r w:rsidR="00056C1C">
        <w:rPr>
          <w:lang w:val="en-GB"/>
        </w:rPr>
        <w:t xml:space="preserve"> the</w:t>
      </w:r>
      <w:r w:rsidR="00785AE8" w:rsidRPr="00040B8C">
        <w:rPr>
          <w:lang w:val="en-GB"/>
        </w:rPr>
        <w:t xml:space="preserve"> 2026-2027 academic year)</w:t>
      </w:r>
      <w:r w:rsidR="00785AE8">
        <w:rPr>
          <w:lang w:val="en-GB"/>
        </w:rPr>
        <w:t xml:space="preserve"> </w:t>
      </w:r>
      <w:r w:rsidRPr="00B5240D">
        <w:rPr>
          <w:lang w:val="en-GB"/>
        </w:rPr>
        <w:t xml:space="preserve">to the awarded applicants and/or to announce a second call for scholarship applications. </w:t>
      </w:r>
      <w:bookmarkStart w:id="5" w:name="_Hlk203473502"/>
      <w:r w:rsidR="00203F66" w:rsidRPr="00040B8C">
        <w:rPr>
          <w:lang w:val="en-GB"/>
        </w:rPr>
        <w:t xml:space="preserve">The list of the awarded students shall be </w:t>
      </w:r>
      <w:r w:rsidR="00040B8C">
        <w:rPr>
          <w:lang w:val="en-GB"/>
        </w:rPr>
        <w:t>annexed to the grant contract</w:t>
      </w:r>
      <w:r w:rsidR="00203F66" w:rsidRPr="00040B8C">
        <w:rPr>
          <w:lang w:val="en-GB"/>
        </w:rPr>
        <w:t>.</w:t>
      </w:r>
      <w:r w:rsidR="00040B8C">
        <w:rPr>
          <w:lang w:val="en-GB"/>
        </w:rPr>
        <w:t xml:space="preserve"> The updated list of the awarded student</w:t>
      </w:r>
      <w:r w:rsidR="00637B05">
        <w:rPr>
          <w:lang w:val="en-GB"/>
        </w:rPr>
        <w:t>s</w:t>
      </w:r>
      <w:r w:rsidR="00040B8C">
        <w:rPr>
          <w:lang w:val="en-GB"/>
        </w:rPr>
        <w:t xml:space="preserve"> having</w:t>
      </w:r>
      <w:r w:rsidR="00637B05">
        <w:rPr>
          <w:lang w:val="en-GB"/>
        </w:rPr>
        <w:t xml:space="preserve"> a</w:t>
      </w:r>
      <w:r w:rsidR="00040B8C">
        <w:rPr>
          <w:lang w:val="en-GB"/>
        </w:rPr>
        <w:t xml:space="preserve"> master’s student status shall be provided by the MS with the</w:t>
      </w:r>
      <w:r w:rsidR="001730FE">
        <w:rPr>
          <w:lang w:val="en-GB"/>
        </w:rPr>
        <w:t>ir</w:t>
      </w:r>
      <w:r w:rsidR="00040B8C">
        <w:rPr>
          <w:lang w:val="en-GB"/>
        </w:rPr>
        <w:t xml:space="preserve"> interim report. </w:t>
      </w:r>
      <w:r w:rsidR="00203F66">
        <w:rPr>
          <w:lang w:val="en-GB"/>
        </w:rPr>
        <w:t xml:space="preserve"> </w:t>
      </w:r>
      <w:bookmarkEnd w:id="5"/>
    </w:p>
    <w:p w14:paraId="04ED0B75" w14:textId="73B504C0" w:rsidR="00381E37" w:rsidRDefault="00DC21C7" w:rsidP="00C50DC5">
      <w:pPr>
        <w:pStyle w:val="Odstavecseseznamem"/>
        <w:numPr>
          <w:ilvl w:val="0"/>
          <w:numId w:val="18"/>
        </w:numPr>
        <w:rPr>
          <w:lang w:val="en-GB"/>
        </w:rPr>
      </w:pPr>
      <w:r w:rsidRPr="00B5240D">
        <w:rPr>
          <w:lang w:val="en-GB"/>
        </w:rPr>
        <w:t>The decision on the award means a commitment to provide the selected Belarusian</w:t>
      </w:r>
      <w:r w:rsidR="007F63A7" w:rsidRPr="00B5240D">
        <w:rPr>
          <w:lang w:val="en-GB"/>
        </w:rPr>
        <w:t xml:space="preserve"> </w:t>
      </w:r>
      <w:r w:rsidRPr="00B5240D">
        <w:rPr>
          <w:lang w:val="en-GB"/>
        </w:rPr>
        <w:t xml:space="preserve">students with the support </w:t>
      </w:r>
      <w:r w:rsidR="000A6920" w:rsidRPr="00B5240D">
        <w:rPr>
          <w:lang w:val="en-GB"/>
        </w:rPr>
        <w:t>for up</w:t>
      </w:r>
      <w:r w:rsidR="00BF7B3E">
        <w:rPr>
          <w:lang w:val="en-GB"/>
        </w:rPr>
        <w:t xml:space="preserve"> to</w:t>
      </w:r>
      <w:r w:rsidR="0095444B">
        <w:rPr>
          <w:lang w:val="en-GB"/>
        </w:rPr>
        <w:t xml:space="preserve"> a</w:t>
      </w:r>
      <w:r w:rsidRPr="00B5240D">
        <w:rPr>
          <w:lang w:val="en-GB"/>
        </w:rPr>
        <w:t xml:space="preserve"> </w:t>
      </w:r>
      <w:r w:rsidR="007F63A7" w:rsidRPr="00B5240D">
        <w:rPr>
          <w:lang w:val="en-GB"/>
        </w:rPr>
        <w:t>10-month</w:t>
      </w:r>
      <w:r w:rsidRPr="00B5240D">
        <w:rPr>
          <w:lang w:val="en-GB"/>
        </w:rPr>
        <w:t xml:space="preserve"> length of their </w:t>
      </w:r>
      <w:r w:rsidR="00A823B8" w:rsidRPr="00B5240D">
        <w:rPr>
          <w:lang w:val="en-GB"/>
        </w:rPr>
        <w:t>post</w:t>
      </w:r>
      <w:r w:rsidRPr="00B5240D">
        <w:rPr>
          <w:lang w:val="en-GB"/>
        </w:rPr>
        <w:t>graduate studies (</w:t>
      </w:r>
      <w:r w:rsidR="0064301A" w:rsidRPr="00B5240D">
        <w:rPr>
          <w:lang w:val="en-GB"/>
        </w:rPr>
        <w:t>master’s</w:t>
      </w:r>
      <w:r w:rsidRPr="00B5240D">
        <w:rPr>
          <w:lang w:val="en-GB"/>
        </w:rPr>
        <w:t xml:space="preserve"> degree) in the EU member state. </w:t>
      </w:r>
      <w:r w:rsidR="00CC03B0" w:rsidRPr="00B5240D">
        <w:rPr>
          <w:lang w:val="en-GB"/>
        </w:rPr>
        <w:t xml:space="preserve">The commitment may be reviewed should a student fail to </w:t>
      </w:r>
      <w:r w:rsidR="00603BCA" w:rsidRPr="00B5240D">
        <w:rPr>
          <w:lang w:val="en-GB"/>
        </w:rPr>
        <w:t xml:space="preserve">satisfactorily </w:t>
      </w:r>
      <w:r w:rsidR="00CC03B0" w:rsidRPr="00B5240D">
        <w:rPr>
          <w:lang w:val="en-GB"/>
        </w:rPr>
        <w:t>demonstrate academic progress or breach</w:t>
      </w:r>
      <w:r w:rsidR="006C11DA">
        <w:rPr>
          <w:lang w:val="en-GB"/>
        </w:rPr>
        <w:t xml:space="preserve"> </w:t>
      </w:r>
      <w:r w:rsidR="00866460">
        <w:rPr>
          <w:lang w:val="en-GB"/>
        </w:rPr>
        <w:t>the</w:t>
      </w:r>
      <w:r w:rsidR="00CC03B0" w:rsidRPr="00B5240D">
        <w:rPr>
          <w:lang w:val="en-GB"/>
        </w:rPr>
        <w:t xml:space="preserve"> code of conduct set by university or terminate studies due to personal reasons</w:t>
      </w:r>
      <w:r w:rsidR="00B5240D" w:rsidRPr="00B5240D">
        <w:rPr>
          <w:lang w:val="en-GB"/>
        </w:rPr>
        <w:t xml:space="preserve"> or receive an Erasmus+ programme or other scholarship for the same academic year</w:t>
      </w:r>
      <w:r w:rsidR="00DD536B">
        <w:rPr>
          <w:lang w:val="en-GB"/>
        </w:rPr>
        <w:t xml:space="preserve"> or other</w:t>
      </w:r>
      <w:r w:rsidR="00CC03B0" w:rsidRPr="00B5240D">
        <w:rPr>
          <w:lang w:val="en-GB"/>
        </w:rPr>
        <w:t xml:space="preserve">. </w:t>
      </w:r>
    </w:p>
    <w:p w14:paraId="3EC7213B" w14:textId="288D327A" w:rsidR="00381E37" w:rsidRDefault="00CC03B0" w:rsidP="00C50DC5">
      <w:pPr>
        <w:pStyle w:val="Odstavecseseznamem"/>
        <w:numPr>
          <w:ilvl w:val="0"/>
          <w:numId w:val="18"/>
        </w:numPr>
        <w:rPr>
          <w:lang w:val="en-GB"/>
        </w:rPr>
      </w:pPr>
      <w:r w:rsidRPr="00381E37">
        <w:rPr>
          <w:lang w:val="en-GB"/>
        </w:rPr>
        <w:t xml:space="preserve">Following information about the scholarship award, the </w:t>
      </w:r>
      <w:r w:rsidR="005426C9" w:rsidRPr="00381E37">
        <w:rPr>
          <w:lang w:val="en-GB"/>
        </w:rPr>
        <w:t>C</w:t>
      </w:r>
      <w:r w:rsidRPr="00381E37">
        <w:rPr>
          <w:lang w:val="en-GB"/>
        </w:rPr>
        <w:t xml:space="preserve">ontact point </w:t>
      </w:r>
      <w:r w:rsidR="00381E37">
        <w:rPr>
          <w:lang w:val="en-GB"/>
        </w:rPr>
        <w:t>shall</w:t>
      </w:r>
      <w:r w:rsidRPr="00381E37">
        <w:rPr>
          <w:lang w:val="en-GB"/>
        </w:rPr>
        <w:t xml:space="preserve"> coordinate </w:t>
      </w:r>
      <w:r w:rsidR="002B6537" w:rsidRPr="00381E37">
        <w:rPr>
          <w:lang w:val="en-GB"/>
        </w:rPr>
        <w:t xml:space="preserve">with universities as per internal procedures </w:t>
      </w:r>
      <w:r w:rsidR="005426C9" w:rsidRPr="00381E37">
        <w:rPr>
          <w:lang w:val="en-GB"/>
        </w:rPr>
        <w:t>in the EU MS</w:t>
      </w:r>
      <w:r w:rsidR="002B6537" w:rsidRPr="00381E37">
        <w:rPr>
          <w:lang w:val="en-GB"/>
        </w:rPr>
        <w:t xml:space="preserve"> so that relevant contractual relations with the student awarded the scholarship under</w:t>
      </w:r>
      <w:r w:rsidR="004B378F">
        <w:rPr>
          <w:lang w:val="en-GB"/>
        </w:rPr>
        <w:t xml:space="preserve"> the</w:t>
      </w:r>
      <w:r w:rsidR="002B6537" w:rsidRPr="00381E37">
        <w:rPr>
          <w:lang w:val="en-GB"/>
        </w:rPr>
        <w:t xml:space="preserve"> EU4Belarus </w:t>
      </w:r>
      <w:r w:rsidR="005426C9" w:rsidRPr="00381E37">
        <w:rPr>
          <w:lang w:val="en-GB"/>
        </w:rPr>
        <w:t xml:space="preserve">Programme </w:t>
      </w:r>
      <w:r w:rsidR="002B6537" w:rsidRPr="00381E37">
        <w:rPr>
          <w:lang w:val="en-GB"/>
        </w:rPr>
        <w:t>sche</w:t>
      </w:r>
      <w:r w:rsidR="006C3286" w:rsidRPr="00381E37">
        <w:rPr>
          <w:lang w:val="en-GB"/>
        </w:rPr>
        <w:t xml:space="preserve">me are adjusted </w:t>
      </w:r>
      <w:r w:rsidR="00E43A25" w:rsidRPr="00381E37">
        <w:rPr>
          <w:lang w:val="en-GB"/>
        </w:rPr>
        <w:t xml:space="preserve">accordingly. The </w:t>
      </w:r>
      <w:r w:rsidR="005426C9" w:rsidRPr="00381E37">
        <w:rPr>
          <w:lang w:val="en-GB"/>
        </w:rPr>
        <w:t>C</w:t>
      </w:r>
      <w:r w:rsidR="00E43A25" w:rsidRPr="00381E37">
        <w:rPr>
          <w:lang w:val="en-GB"/>
        </w:rPr>
        <w:t>ontact point will also arrange for financial payments as appropriate so that</w:t>
      </w:r>
      <w:r w:rsidR="006C3286" w:rsidRPr="00381E37">
        <w:rPr>
          <w:lang w:val="en-GB"/>
        </w:rPr>
        <w:t xml:space="preserve"> delivery of the support to the student </w:t>
      </w:r>
      <w:r w:rsidR="00E43A25" w:rsidRPr="00381E37">
        <w:rPr>
          <w:lang w:val="en-GB"/>
        </w:rPr>
        <w:t>awarded the scholarship under</w:t>
      </w:r>
      <w:r w:rsidR="00866460">
        <w:rPr>
          <w:lang w:val="en-GB"/>
        </w:rPr>
        <w:t xml:space="preserve"> the</w:t>
      </w:r>
      <w:r w:rsidR="00E43A25" w:rsidRPr="00381E37">
        <w:rPr>
          <w:lang w:val="en-GB"/>
        </w:rPr>
        <w:t xml:space="preserve"> </w:t>
      </w:r>
      <w:r w:rsidR="000877B0">
        <w:rPr>
          <w:lang w:val="en-GB"/>
        </w:rPr>
        <w:t>SALT</w:t>
      </w:r>
      <w:r w:rsidR="000877B0" w:rsidRPr="00381E37">
        <w:rPr>
          <w:lang w:val="en-GB"/>
        </w:rPr>
        <w:t xml:space="preserve"> </w:t>
      </w:r>
      <w:r w:rsidR="005426C9" w:rsidRPr="00381E37">
        <w:rPr>
          <w:lang w:val="en-GB"/>
        </w:rPr>
        <w:t xml:space="preserve">Programme </w:t>
      </w:r>
      <w:r w:rsidR="00E43A25" w:rsidRPr="00381E37">
        <w:rPr>
          <w:lang w:val="en-GB"/>
        </w:rPr>
        <w:t xml:space="preserve">scheme </w:t>
      </w:r>
      <w:r w:rsidR="006C3286" w:rsidRPr="00381E37">
        <w:rPr>
          <w:lang w:val="en-GB"/>
        </w:rPr>
        <w:t xml:space="preserve">is ensured. </w:t>
      </w:r>
    </w:p>
    <w:p w14:paraId="2E32C2B0" w14:textId="4BD64976" w:rsidR="006C3286" w:rsidRPr="00381E37" w:rsidRDefault="006C3286" w:rsidP="00C50DC5">
      <w:pPr>
        <w:pStyle w:val="Odstavecseseznamem"/>
        <w:numPr>
          <w:ilvl w:val="0"/>
          <w:numId w:val="18"/>
        </w:numPr>
        <w:rPr>
          <w:lang w:val="en-GB"/>
        </w:rPr>
      </w:pPr>
      <w:r w:rsidRPr="00381E37">
        <w:rPr>
          <w:lang w:val="en-GB"/>
        </w:rPr>
        <w:t xml:space="preserve">The </w:t>
      </w:r>
      <w:r w:rsidR="005426C9" w:rsidRPr="00381E37">
        <w:rPr>
          <w:lang w:val="en-GB"/>
        </w:rPr>
        <w:t>C</w:t>
      </w:r>
      <w:r w:rsidRPr="00381E37">
        <w:rPr>
          <w:lang w:val="en-GB"/>
        </w:rPr>
        <w:t>ontact point and CP</w:t>
      </w:r>
      <w:r w:rsidR="00493D0E">
        <w:rPr>
          <w:lang w:val="en-GB"/>
        </w:rPr>
        <w:t>V</w:t>
      </w:r>
      <w:r w:rsidRPr="00381E37">
        <w:rPr>
          <w:lang w:val="en-GB"/>
        </w:rPr>
        <w:t xml:space="preserve">A </w:t>
      </w:r>
      <w:r w:rsidR="00381E37">
        <w:rPr>
          <w:lang w:val="en-GB"/>
        </w:rPr>
        <w:t>shall</w:t>
      </w:r>
      <w:r w:rsidRPr="00381E37">
        <w:rPr>
          <w:lang w:val="en-GB"/>
        </w:rPr>
        <w:t xml:space="preserve"> further monitor the academic progress and adherence to the university code of conduct by the student aw</w:t>
      </w:r>
      <w:r w:rsidR="005426C9" w:rsidRPr="00381E37">
        <w:rPr>
          <w:lang w:val="en-GB"/>
        </w:rPr>
        <w:t>arded support under</w:t>
      </w:r>
      <w:r w:rsidR="00032754">
        <w:rPr>
          <w:lang w:val="en-GB"/>
        </w:rPr>
        <w:t xml:space="preserve"> the</w:t>
      </w:r>
      <w:r w:rsidR="005426C9" w:rsidRPr="00381E37">
        <w:rPr>
          <w:lang w:val="en-GB"/>
        </w:rPr>
        <w:t xml:space="preserve"> </w:t>
      </w:r>
      <w:r w:rsidR="000877B0">
        <w:rPr>
          <w:lang w:val="en-GB"/>
        </w:rPr>
        <w:t>SALT</w:t>
      </w:r>
      <w:r w:rsidR="000877B0" w:rsidRPr="00381E37">
        <w:rPr>
          <w:lang w:val="en-GB"/>
        </w:rPr>
        <w:t xml:space="preserve"> </w:t>
      </w:r>
      <w:r w:rsidR="005426C9" w:rsidRPr="00381E37">
        <w:rPr>
          <w:lang w:val="en-GB"/>
        </w:rPr>
        <w:t>P</w:t>
      </w:r>
      <w:r w:rsidRPr="00381E37">
        <w:rPr>
          <w:lang w:val="en-GB"/>
        </w:rPr>
        <w:t>rogramme. This will be performed on a basis of regular reports and exchange of information.</w:t>
      </w:r>
    </w:p>
    <w:p w14:paraId="3C22A1A0" w14:textId="72CD0F24" w:rsidR="004F4B4B" w:rsidRPr="00B5240D" w:rsidRDefault="004F4B4B" w:rsidP="00D87FB7">
      <w:pPr>
        <w:rPr>
          <w:lang w:val="en-GB"/>
        </w:rPr>
      </w:pPr>
      <w:r w:rsidRPr="00B5240D">
        <w:rPr>
          <w:lang w:val="en-GB"/>
        </w:rPr>
        <w:t xml:space="preserve">The </w:t>
      </w:r>
      <w:r w:rsidR="0074264C" w:rsidRPr="00B5240D">
        <w:rPr>
          <w:lang w:val="en-GB"/>
        </w:rPr>
        <w:t xml:space="preserve">activities </w:t>
      </w:r>
      <w:r w:rsidRPr="00B5240D">
        <w:rPr>
          <w:lang w:val="en-GB"/>
        </w:rPr>
        <w:t>list</w:t>
      </w:r>
      <w:r w:rsidR="0074264C" w:rsidRPr="00B5240D">
        <w:rPr>
          <w:lang w:val="en-GB"/>
        </w:rPr>
        <w:t>ed</w:t>
      </w:r>
      <w:r w:rsidRPr="00B5240D">
        <w:rPr>
          <w:lang w:val="en-GB"/>
        </w:rPr>
        <w:t xml:space="preserve"> above </w:t>
      </w:r>
      <w:r w:rsidR="00E43A25" w:rsidRPr="00B5240D">
        <w:rPr>
          <w:lang w:val="en-GB"/>
        </w:rPr>
        <w:t>are</w:t>
      </w:r>
      <w:r w:rsidRPr="00B5240D">
        <w:rPr>
          <w:lang w:val="en-GB"/>
        </w:rPr>
        <w:t xml:space="preserve"> indicative and may be reviewed in consultations of </w:t>
      </w:r>
      <w:r w:rsidR="00E43A25" w:rsidRPr="00B5240D">
        <w:rPr>
          <w:lang w:val="en-GB"/>
        </w:rPr>
        <w:t xml:space="preserve">the </w:t>
      </w:r>
      <w:r w:rsidR="005426C9" w:rsidRPr="00B5240D">
        <w:rPr>
          <w:lang w:val="en-GB"/>
        </w:rPr>
        <w:t>Contact p</w:t>
      </w:r>
      <w:r w:rsidR="0074264C" w:rsidRPr="00B5240D">
        <w:rPr>
          <w:lang w:val="en-GB"/>
        </w:rPr>
        <w:t>oint</w:t>
      </w:r>
      <w:r w:rsidRPr="00B5240D">
        <w:rPr>
          <w:lang w:val="en-GB"/>
        </w:rPr>
        <w:t xml:space="preserve"> and CP</w:t>
      </w:r>
      <w:r w:rsidR="00493D0E">
        <w:rPr>
          <w:lang w:val="en-GB"/>
        </w:rPr>
        <w:t>V</w:t>
      </w:r>
      <w:r w:rsidRPr="00B5240D">
        <w:rPr>
          <w:lang w:val="en-GB"/>
        </w:rPr>
        <w:t xml:space="preserve">A </w:t>
      </w:r>
      <w:proofErr w:type="gramStart"/>
      <w:r w:rsidRPr="00B5240D">
        <w:rPr>
          <w:lang w:val="en-GB"/>
        </w:rPr>
        <w:t>in order to</w:t>
      </w:r>
      <w:proofErr w:type="gramEnd"/>
      <w:r w:rsidRPr="00B5240D">
        <w:rPr>
          <w:lang w:val="en-GB"/>
        </w:rPr>
        <w:t xml:space="preserve"> adjust management of </w:t>
      </w:r>
      <w:r w:rsidR="00E43A25" w:rsidRPr="00B5240D">
        <w:rPr>
          <w:lang w:val="en-GB"/>
        </w:rPr>
        <w:t>the</w:t>
      </w:r>
      <w:r w:rsidRPr="00B5240D">
        <w:rPr>
          <w:lang w:val="en-GB"/>
        </w:rPr>
        <w:t xml:space="preserve"> schemes in the most efficient and effective way possible as well as to take into consideration changing political, social or economic environment.</w:t>
      </w:r>
    </w:p>
    <w:p w14:paraId="53E6BCF0" w14:textId="77777777" w:rsidR="0055714B" w:rsidRPr="00B5240D" w:rsidRDefault="00972AC9" w:rsidP="0055714B">
      <w:pPr>
        <w:pStyle w:val="Nadpis1"/>
        <w:rPr>
          <w:lang w:val="en-GB"/>
        </w:rPr>
      </w:pPr>
      <w:bookmarkStart w:id="6" w:name="_Toc77836190"/>
      <w:bookmarkStart w:id="7" w:name="_Toc210756921"/>
      <w:bookmarkEnd w:id="6"/>
      <w:r w:rsidRPr="00B5240D">
        <w:rPr>
          <w:lang w:val="en-GB"/>
        </w:rPr>
        <w:t>Monitoring and Reporting</w:t>
      </w:r>
      <w:bookmarkEnd w:id="7"/>
    </w:p>
    <w:p w14:paraId="55EB31B5" w14:textId="3500BA01" w:rsidR="00424F95" w:rsidRPr="003B6212" w:rsidRDefault="00AA2500" w:rsidP="00FD7C0B">
      <w:pPr>
        <w:rPr>
          <w:rFonts w:cs="Times New Roman"/>
          <w:szCs w:val="24"/>
          <w:lang w:val="en-GB"/>
        </w:rPr>
      </w:pPr>
      <w:bookmarkStart w:id="8" w:name="_Hlk208435670"/>
      <w:r>
        <w:rPr>
          <w:rFonts w:cs="Times New Roman"/>
          <w:szCs w:val="24"/>
          <w:lang w:val="en-GB"/>
        </w:rPr>
        <w:t xml:space="preserve">The </w:t>
      </w:r>
      <w:r w:rsidR="00424F95" w:rsidRPr="00B5240D">
        <w:rPr>
          <w:rFonts w:cs="Times New Roman"/>
          <w:szCs w:val="24"/>
          <w:lang w:val="en-GB"/>
        </w:rPr>
        <w:t xml:space="preserve">Contact </w:t>
      </w:r>
      <w:r w:rsidR="005426C9" w:rsidRPr="00B5240D">
        <w:rPr>
          <w:rFonts w:cs="Times New Roman"/>
          <w:szCs w:val="24"/>
          <w:lang w:val="en-GB"/>
        </w:rPr>
        <w:t>p</w:t>
      </w:r>
      <w:r w:rsidR="00424F95" w:rsidRPr="00B5240D">
        <w:rPr>
          <w:rFonts w:cs="Times New Roman"/>
          <w:szCs w:val="24"/>
          <w:lang w:val="en-GB"/>
        </w:rPr>
        <w:t xml:space="preserve">oint </w:t>
      </w:r>
      <w:r w:rsidR="00DA29FF" w:rsidRPr="00B5240D">
        <w:rPr>
          <w:rFonts w:cs="Times New Roman"/>
          <w:szCs w:val="24"/>
          <w:lang w:val="en-GB"/>
        </w:rPr>
        <w:t xml:space="preserve">is requested to report </w:t>
      </w:r>
      <w:r w:rsidR="00424F95" w:rsidRPr="00B5240D">
        <w:rPr>
          <w:rFonts w:cs="Times New Roman"/>
          <w:szCs w:val="24"/>
          <w:lang w:val="en-GB"/>
        </w:rPr>
        <w:t>to CP</w:t>
      </w:r>
      <w:r w:rsidR="00493D0E">
        <w:rPr>
          <w:rFonts w:cs="Times New Roman"/>
          <w:szCs w:val="24"/>
          <w:lang w:val="en-GB"/>
        </w:rPr>
        <w:t>V</w:t>
      </w:r>
      <w:r w:rsidR="00424F95" w:rsidRPr="00B5240D">
        <w:rPr>
          <w:rFonts w:cs="Times New Roman"/>
          <w:szCs w:val="24"/>
          <w:lang w:val="en-GB"/>
        </w:rPr>
        <w:t xml:space="preserve">A on academic progress </w:t>
      </w:r>
      <w:r w:rsidR="00E43A25" w:rsidRPr="00B5240D">
        <w:rPr>
          <w:rFonts w:cs="Times New Roman"/>
          <w:szCs w:val="24"/>
          <w:lang w:val="en-GB"/>
        </w:rPr>
        <w:t xml:space="preserve">of Belarusian students awarded </w:t>
      </w:r>
      <w:r w:rsidR="00DA29FF" w:rsidRPr="00B5240D">
        <w:rPr>
          <w:rFonts w:cs="Times New Roman"/>
          <w:szCs w:val="24"/>
          <w:lang w:val="en-GB"/>
        </w:rPr>
        <w:t>scholarships under</w:t>
      </w:r>
      <w:r w:rsidR="00032754">
        <w:rPr>
          <w:rFonts w:cs="Times New Roman"/>
          <w:szCs w:val="24"/>
          <w:lang w:val="en-GB"/>
        </w:rPr>
        <w:t xml:space="preserve"> the</w:t>
      </w:r>
      <w:r w:rsidR="00DA29FF" w:rsidRPr="00B5240D">
        <w:rPr>
          <w:rFonts w:cs="Times New Roman"/>
          <w:szCs w:val="24"/>
          <w:lang w:val="en-GB"/>
        </w:rPr>
        <w:t xml:space="preserve"> </w:t>
      </w:r>
      <w:r w:rsidR="000877B0">
        <w:rPr>
          <w:rFonts w:cs="Times New Roman"/>
          <w:szCs w:val="24"/>
          <w:lang w:val="en-GB"/>
        </w:rPr>
        <w:t>SALT</w:t>
      </w:r>
      <w:r w:rsidR="000877B0" w:rsidRPr="005426C9">
        <w:rPr>
          <w:rFonts w:cs="Times New Roman"/>
          <w:szCs w:val="24"/>
          <w:lang w:val="en-GB"/>
        </w:rPr>
        <w:t xml:space="preserve"> </w:t>
      </w:r>
      <w:r w:rsidR="00DA29FF" w:rsidRPr="005426C9">
        <w:rPr>
          <w:rFonts w:cs="Times New Roman"/>
          <w:szCs w:val="24"/>
          <w:lang w:val="en-GB"/>
        </w:rPr>
        <w:t xml:space="preserve">Programme. </w:t>
      </w:r>
      <w:r w:rsidR="00C71D98" w:rsidRPr="005426C9">
        <w:rPr>
          <w:rFonts w:cs="Times New Roman"/>
          <w:szCs w:val="24"/>
          <w:lang w:val="en-GB"/>
        </w:rPr>
        <w:t xml:space="preserve">The </w:t>
      </w:r>
      <w:r w:rsidR="00BB67BE">
        <w:rPr>
          <w:rFonts w:cs="Times New Roman"/>
          <w:szCs w:val="24"/>
          <w:lang w:val="en-GB"/>
        </w:rPr>
        <w:t>interim report (Annex V) shall be submitted in the mid</w:t>
      </w:r>
      <w:r w:rsidR="00032754">
        <w:rPr>
          <w:rFonts w:cs="Times New Roman"/>
          <w:szCs w:val="24"/>
          <w:lang w:val="en-GB"/>
        </w:rPr>
        <w:t>dle</w:t>
      </w:r>
      <w:r w:rsidR="00BB67BE">
        <w:rPr>
          <w:rFonts w:cs="Times New Roman"/>
          <w:szCs w:val="24"/>
          <w:lang w:val="en-GB"/>
        </w:rPr>
        <w:t xml:space="preserve"> of the academic year and the </w:t>
      </w:r>
      <w:r>
        <w:rPr>
          <w:rFonts w:cs="Times New Roman"/>
          <w:szCs w:val="24"/>
          <w:lang w:val="en-GB"/>
        </w:rPr>
        <w:t xml:space="preserve">final </w:t>
      </w:r>
      <w:r w:rsidR="00C71D98" w:rsidRPr="005426C9">
        <w:rPr>
          <w:rFonts w:cs="Times New Roman"/>
          <w:szCs w:val="24"/>
          <w:lang w:val="en-GB"/>
        </w:rPr>
        <w:t xml:space="preserve">report (in </w:t>
      </w:r>
      <w:r w:rsidR="00032754">
        <w:rPr>
          <w:rFonts w:cs="Times New Roman"/>
          <w:szCs w:val="24"/>
          <w:lang w:val="en-GB"/>
        </w:rPr>
        <w:t>the</w:t>
      </w:r>
      <w:r w:rsidR="00C71D98" w:rsidRPr="005426C9">
        <w:rPr>
          <w:rFonts w:cs="Times New Roman"/>
          <w:szCs w:val="24"/>
          <w:lang w:val="en-GB"/>
        </w:rPr>
        <w:t xml:space="preserve"> form as presented in the Annex V</w:t>
      </w:r>
      <w:r w:rsidR="00BB67BE">
        <w:rPr>
          <w:rFonts w:cs="Times New Roman"/>
          <w:szCs w:val="24"/>
          <w:lang w:val="en-GB"/>
        </w:rPr>
        <w:t>I</w:t>
      </w:r>
      <w:r w:rsidR="00C71D98" w:rsidRPr="005426C9">
        <w:rPr>
          <w:rFonts w:cs="Times New Roman"/>
          <w:szCs w:val="24"/>
          <w:lang w:val="en-GB"/>
        </w:rPr>
        <w:t xml:space="preserve"> of the </w:t>
      </w:r>
      <w:r w:rsidR="005426C9" w:rsidRPr="005426C9">
        <w:rPr>
          <w:rFonts w:cs="Times New Roman"/>
          <w:szCs w:val="24"/>
          <w:lang w:val="en-GB"/>
        </w:rPr>
        <w:t>Contract</w:t>
      </w:r>
      <w:r w:rsidR="00C71D98" w:rsidRPr="005426C9">
        <w:rPr>
          <w:rFonts w:cs="Times New Roman"/>
          <w:szCs w:val="24"/>
          <w:lang w:val="en-GB"/>
        </w:rPr>
        <w:t>) is to be provided</w:t>
      </w:r>
      <w:r w:rsidR="00DA29FF" w:rsidRPr="005426C9">
        <w:rPr>
          <w:rFonts w:cs="Times New Roman"/>
          <w:szCs w:val="24"/>
          <w:lang w:val="en-GB"/>
        </w:rPr>
        <w:t xml:space="preserve"> </w:t>
      </w:r>
      <w:r w:rsidR="00424F95" w:rsidRPr="005426C9">
        <w:rPr>
          <w:rFonts w:cs="Times New Roman"/>
          <w:szCs w:val="24"/>
          <w:lang w:val="en-GB"/>
        </w:rPr>
        <w:t>after</w:t>
      </w:r>
      <w:r w:rsidR="00032754">
        <w:rPr>
          <w:rFonts w:cs="Times New Roman"/>
          <w:szCs w:val="24"/>
          <w:lang w:val="en-GB"/>
        </w:rPr>
        <w:t xml:space="preserve"> the</w:t>
      </w:r>
      <w:r w:rsidR="00424F95" w:rsidRPr="005426C9">
        <w:rPr>
          <w:rFonts w:cs="Times New Roman"/>
          <w:szCs w:val="24"/>
          <w:lang w:val="en-GB"/>
        </w:rPr>
        <w:t xml:space="preserve"> academic</w:t>
      </w:r>
      <w:r w:rsidR="00C71D98" w:rsidRPr="005426C9">
        <w:rPr>
          <w:rFonts w:cs="Times New Roman"/>
          <w:szCs w:val="24"/>
          <w:lang w:val="en-GB"/>
        </w:rPr>
        <w:t xml:space="preserve"> year</w:t>
      </w:r>
      <w:r w:rsidR="00F0719A" w:rsidRPr="00040B8C">
        <w:rPr>
          <w:rFonts w:cs="Times New Roman"/>
          <w:szCs w:val="24"/>
          <w:lang w:val="en-GB"/>
        </w:rPr>
        <w:t>.</w:t>
      </w:r>
    </w:p>
    <w:p w14:paraId="017DBCB4" w14:textId="77777777" w:rsidR="002F5978" w:rsidRDefault="002F5978" w:rsidP="002F5978">
      <w:pPr>
        <w:pStyle w:val="Nadpis1"/>
      </w:pPr>
      <w:bookmarkStart w:id="9" w:name="_Toc77836192"/>
      <w:bookmarkStart w:id="10" w:name="_Toc210756922"/>
      <w:bookmarkEnd w:id="8"/>
      <w:bookmarkEnd w:id="9"/>
      <w:r w:rsidRPr="002F5978">
        <w:t>Communication and Visibility</w:t>
      </w:r>
      <w:bookmarkEnd w:id="10"/>
    </w:p>
    <w:p w14:paraId="4FBD0441" w14:textId="1221A86F" w:rsidR="006A5335" w:rsidRPr="005266D6" w:rsidRDefault="0012798A" w:rsidP="006A5335">
      <w:pPr>
        <w:rPr>
          <w:lang w:val="en-GB"/>
        </w:rPr>
      </w:pPr>
      <w:r w:rsidRPr="006A5335">
        <w:rPr>
          <w:lang w:val="en-US"/>
        </w:rPr>
        <w:t>Communication and visibility will be given high importance during th</w:t>
      </w:r>
      <w:r>
        <w:rPr>
          <w:lang w:val="en-US"/>
        </w:rPr>
        <w:t>e implementation of the action.</w:t>
      </w:r>
      <w:r w:rsidRPr="006A5335">
        <w:rPr>
          <w:lang w:val="en-US"/>
        </w:rPr>
        <w:t xml:space="preserve"> </w:t>
      </w:r>
      <w:r>
        <w:rPr>
          <w:lang w:val="en-GB"/>
        </w:rPr>
        <w:t>The main communication objective in the action will be to bring together EU and all EU Member States’ support for the people of Belarus under one visible common banner (using Team Europe approach); thus</w:t>
      </w:r>
      <w:r w:rsidR="005D2F66">
        <w:rPr>
          <w:lang w:val="en-GB"/>
        </w:rPr>
        <w:t>,</w:t>
      </w:r>
      <w:r>
        <w:rPr>
          <w:lang w:val="en-GB"/>
        </w:rPr>
        <w:t xml:space="preserve"> demonstrating EU solidarity with the people of Belarus. The EU’s visibility requirements as set out in the Communication and Visibility Manual for EU External Actions will be followed, as appropriate. </w:t>
      </w:r>
      <w:r w:rsidR="006A5335" w:rsidRPr="006A5335">
        <w:rPr>
          <w:lang w:val="en-US"/>
        </w:rPr>
        <w:t xml:space="preserve">Communication and visibility </w:t>
      </w:r>
      <w:r>
        <w:rPr>
          <w:lang w:val="en-US"/>
        </w:rPr>
        <w:t>measures w</w:t>
      </w:r>
      <w:r w:rsidR="005426C9">
        <w:rPr>
          <w:lang w:val="en-US"/>
        </w:rPr>
        <w:t xml:space="preserve">ill be coordinated between the </w:t>
      </w:r>
      <w:r w:rsidR="005426C9">
        <w:rPr>
          <w:lang w:val="en-US"/>
        </w:rPr>
        <w:lastRenderedPageBreak/>
        <w:t>C</w:t>
      </w:r>
      <w:r>
        <w:rPr>
          <w:lang w:val="en-US"/>
        </w:rPr>
        <w:t>ontact point and CP</w:t>
      </w:r>
      <w:r w:rsidR="00C742E7">
        <w:rPr>
          <w:lang w:val="en-US"/>
        </w:rPr>
        <w:t>V</w:t>
      </w:r>
      <w:r>
        <w:rPr>
          <w:lang w:val="en-US"/>
        </w:rPr>
        <w:t xml:space="preserve">A. As a minimum, they will indicatively include messages and information </w:t>
      </w:r>
      <w:r w:rsidRPr="005266D6">
        <w:rPr>
          <w:lang w:val="en-GB"/>
        </w:rPr>
        <w:t xml:space="preserve">about the EU contribution </w:t>
      </w:r>
      <w:r w:rsidR="005426C9" w:rsidRPr="005266D6">
        <w:rPr>
          <w:lang w:val="en-GB"/>
        </w:rPr>
        <w:t>published by the C</w:t>
      </w:r>
      <w:r w:rsidRPr="005266D6">
        <w:rPr>
          <w:lang w:val="en-GB"/>
        </w:rPr>
        <w:t>ontact point a</w:t>
      </w:r>
      <w:r w:rsidR="00F84795" w:rsidRPr="005266D6">
        <w:rPr>
          <w:lang w:val="en-GB"/>
        </w:rPr>
        <w:t>fter the scholarships are awarded</w:t>
      </w:r>
      <w:r w:rsidRPr="005266D6">
        <w:rPr>
          <w:lang w:val="en-GB"/>
        </w:rPr>
        <w:t>;</w:t>
      </w:r>
      <w:r w:rsidR="00F84795" w:rsidRPr="005266D6">
        <w:rPr>
          <w:lang w:val="en-GB"/>
        </w:rPr>
        <w:t xml:space="preserve"> </w:t>
      </w:r>
      <w:r w:rsidR="00DA4821" w:rsidRPr="005266D6">
        <w:rPr>
          <w:lang w:val="en-GB"/>
        </w:rPr>
        <w:t xml:space="preserve">provisions in </w:t>
      </w:r>
      <w:r w:rsidRPr="005266D6">
        <w:rPr>
          <w:lang w:val="en-GB"/>
        </w:rPr>
        <w:t>t</w:t>
      </w:r>
      <w:r w:rsidR="00F84795" w:rsidRPr="005266D6">
        <w:rPr>
          <w:lang w:val="en-GB"/>
        </w:rPr>
        <w:t xml:space="preserve">he scholarship agreement </w:t>
      </w:r>
      <w:r w:rsidR="00DA4821" w:rsidRPr="005266D6">
        <w:rPr>
          <w:lang w:val="en-GB"/>
        </w:rPr>
        <w:t xml:space="preserve">signed with the student stipulating </w:t>
      </w:r>
      <w:r w:rsidR="005D2F66" w:rsidRPr="005266D6">
        <w:rPr>
          <w:lang w:val="en-GB"/>
        </w:rPr>
        <w:t>EU</w:t>
      </w:r>
      <w:r w:rsidR="00F84795" w:rsidRPr="005266D6">
        <w:rPr>
          <w:lang w:val="en-GB"/>
        </w:rPr>
        <w:t xml:space="preserve"> funding</w:t>
      </w:r>
      <w:r w:rsidR="00DA4821" w:rsidRPr="005266D6">
        <w:rPr>
          <w:lang w:val="en-GB"/>
        </w:rPr>
        <w:t>.</w:t>
      </w:r>
    </w:p>
    <w:p w14:paraId="4E22CA47" w14:textId="598C9C88" w:rsidR="00C742E7" w:rsidRPr="005266D6" w:rsidRDefault="000511F7" w:rsidP="00C742E7">
      <w:pPr>
        <w:pStyle w:val="Nadpis1"/>
        <w:rPr>
          <w:lang w:val="en-GB"/>
        </w:rPr>
      </w:pPr>
      <w:bookmarkStart w:id="11" w:name="_Toc210756923"/>
      <w:r>
        <w:rPr>
          <w:lang w:val="en-GB"/>
        </w:rPr>
        <w:t>Financing not linked to costs</w:t>
      </w:r>
      <w:bookmarkEnd w:id="11"/>
    </w:p>
    <w:p w14:paraId="1D76E00B" w14:textId="0679A469" w:rsidR="000511F7" w:rsidRPr="00EB6861" w:rsidRDefault="00FA2FE1" w:rsidP="00FA2FE1">
      <w:pPr>
        <w:rPr>
          <w:lang w:val="en-GB"/>
        </w:rPr>
      </w:pPr>
      <w:r w:rsidRPr="005266D6">
        <w:rPr>
          <w:lang w:val="en-GB"/>
        </w:rPr>
        <w:t>The</w:t>
      </w:r>
      <w:r w:rsidR="00C742E7" w:rsidRPr="005266D6">
        <w:rPr>
          <w:lang w:val="en-GB"/>
        </w:rPr>
        <w:t xml:space="preserve"> implementation of the action</w:t>
      </w:r>
      <w:r w:rsidRPr="005266D6">
        <w:rPr>
          <w:lang w:val="en-GB"/>
        </w:rPr>
        <w:t xml:space="preserve"> </w:t>
      </w:r>
      <w:r w:rsidR="00FC7D13">
        <w:rPr>
          <w:lang w:val="en-GB"/>
        </w:rPr>
        <w:t xml:space="preserve">is based on </w:t>
      </w:r>
      <w:r w:rsidRPr="005266D6">
        <w:rPr>
          <w:lang w:val="en-GB"/>
        </w:rPr>
        <w:t xml:space="preserve">financing not linked to costs (hereinafter - “FNLC”), </w:t>
      </w:r>
      <w:r w:rsidR="000511F7" w:rsidRPr="00FA0B2F">
        <w:rPr>
          <w:lang w:val="en-GB"/>
        </w:rPr>
        <w:t xml:space="preserve">as </w:t>
      </w:r>
      <w:r w:rsidR="00FC7D13">
        <w:rPr>
          <w:lang w:val="en-GB"/>
        </w:rPr>
        <w:t xml:space="preserve">a </w:t>
      </w:r>
      <w:r w:rsidR="000511F7" w:rsidRPr="00FA0B2F">
        <w:rPr>
          <w:lang w:val="en-GB"/>
        </w:rPr>
        <w:t xml:space="preserve">form of </w:t>
      </w:r>
      <w:r w:rsidR="00B1737D">
        <w:rPr>
          <w:lang w:val="en-GB"/>
        </w:rPr>
        <w:t xml:space="preserve">the </w:t>
      </w:r>
      <w:r w:rsidR="000511F7" w:rsidRPr="00FA0B2F">
        <w:rPr>
          <w:lang w:val="en-GB"/>
        </w:rPr>
        <w:t>EU contribution</w:t>
      </w:r>
      <w:r w:rsidR="00321B94" w:rsidRPr="00FA0B2F">
        <w:rPr>
          <w:lang w:val="en-GB"/>
        </w:rPr>
        <w:t xml:space="preserve">. According to </w:t>
      </w:r>
      <w:r w:rsidR="005266D6" w:rsidRPr="00FA0B2F">
        <w:rPr>
          <w:lang w:val="en-GB"/>
        </w:rPr>
        <w:t xml:space="preserve">the </w:t>
      </w:r>
      <w:r w:rsidRPr="00FA0B2F">
        <w:rPr>
          <w:lang w:val="en-GB"/>
        </w:rPr>
        <w:t>Article 14bis of the General Conditions of grant contract</w:t>
      </w:r>
      <w:r w:rsidR="005266D6" w:rsidRPr="00FA0B2F">
        <w:rPr>
          <w:rStyle w:val="Znakapoznpodarou"/>
          <w:lang w:val="en-GB"/>
        </w:rPr>
        <w:t xml:space="preserve"> </w:t>
      </w:r>
      <w:r w:rsidR="005266D6" w:rsidRPr="00FA0B2F">
        <w:rPr>
          <w:lang w:val="en-GB"/>
        </w:rPr>
        <w:t xml:space="preserve"> where the grant takes the form, entirely or partly, of financing not linked to costs, the grant is subject to the achievement of results measured by reference to previously set milestones or through performance indicators</w:t>
      </w:r>
      <w:r w:rsidR="000511F7" w:rsidRPr="00FA0B2F">
        <w:rPr>
          <w:lang w:val="en-GB"/>
        </w:rPr>
        <w:t>.</w:t>
      </w:r>
      <w:r w:rsidR="00FF39A2" w:rsidRPr="00FA0B2F">
        <w:rPr>
          <w:lang w:val="en-GB"/>
        </w:rPr>
        <w:t xml:space="preserve"> </w:t>
      </w:r>
    </w:p>
    <w:p w14:paraId="5C55204D" w14:textId="77777777" w:rsidR="00EB6861" w:rsidRPr="00EB6861" w:rsidRDefault="00EB6861" w:rsidP="00EB6861">
      <w:pPr>
        <w:rPr>
          <w:lang w:val="en-GB"/>
        </w:rPr>
      </w:pPr>
      <w:r w:rsidRPr="00EB6861">
        <w:rPr>
          <w:lang w:val="en-GB"/>
        </w:rPr>
        <w:t>Without prejudice to the General Conditions for grant contracts, the key elements for the use of FNLC are listed below (not exhaustive list):</w:t>
      </w:r>
    </w:p>
    <w:p w14:paraId="49163566" w14:textId="087B87E8" w:rsidR="00EB6861" w:rsidRPr="00EB6861" w:rsidRDefault="00EB6861" w:rsidP="00EB6861">
      <w:pPr>
        <w:pStyle w:val="Odstavecseseznamem"/>
        <w:numPr>
          <w:ilvl w:val="0"/>
          <w:numId w:val="20"/>
        </w:numPr>
        <w:spacing w:before="60" w:after="100"/>
        <w:rPr>
          <w:lang w:val="en-GB"/>
        </w:rPr>
      </w:pPr>
      <w:r w:rsidRPr="00EB6861">
        <w:rPr>
          <w:lang w:val="en-GB"/>
        </w:rPr>
        <w:t xml:space="preserve">FNLC is based on the achievement of results measured by previously set performance indicators. Such elements (results and indicators) </w:t>
      </w:r>
      <w:r w:rsidR="00A14860">
        <w:rPr>
          <w:lang w:val="en-GB"/>
        </w:rPr>
        <w:t>are</w:t>
      </w:r>
      <w:r w:rsidRPr="00EB6861">
        <w:rPr>
          <w:lang w:val="en-GB"/>
        </w:rPr>
        <w:t xml:space="preserve"> spelled out and described in the relevant sections of the </w:t>
      </w:r>
      <w:proofErr w:type="spellStart"/>
      <w:proofErr w:type="gramStart"/>
      <w:r w:rsidRPr="00EB6861">
        <w:rPr>
          <w:lang w:val="en-GB"/>
        </w:rPr>
        <w:t>Logfram</w:t>
      </w:r>
      <w:r>
        <w:rPr>
          <w:lang w:val="en-GB"/>
        </w:rPr>
        <w:t>e</w:t>
      </w:r>
      <w:proofErr w:type="spellEnd"/>
      <w:r w:rsidRPr="00EB6861">
        <w:rPr>
          <w:lang w:val="en-GB"/>
        </w:rPr>
        <w:t>;</w:t>
      </w:r>
      <w:proofErr w:type="gramEnd"/>
    </w:p>
    <w:p w14:paraId="740B622B" w14:textId="551E41D0" w:rsidR="00EB6861" w:rsidRPr="00EB6861" w:rsidRDefault="00EB6861" w:rsidP="00EB6861">
      <w:pPr>
        <w:pStyle w:val="Odstavecseseznamem"/>
        <w:numPr>
          <w:ilvl w:val="0"/>
          <w:numId w:val="20"/>
        </w:numPr>
        <w:spacing w:before="60" w:after="100"/>
        <w:rPr>
          <w:lang w:val="en-GB"/>
        </w:rPr>
      </w:pPr>
      <w:r w:rsidRPr="00EB6861">
        <w:rPr>
          <w:lang w:val="en-GB"/>
        </w:rPr>
        <w:t xml:space="preserve">the same results and indicators that are spelled out and described in Annex I as linked to FNLC are listed in the </w:t>
      </w:r>
      <w:proofErr w:type="gramStart"/>
      <w:r w:rsidRPr="00EB6861" w:rsidDel="00EB719E">
        <w:rPr>
          <w:lang w:val="en-GB"/>
        </w:rPr>
        <w:t>B</w:t>
      </w:r>
      <w:r w:rsidRPr="00EB6861">
        <w:rPr>
          <w:lang w:val="en-GB"/>
        </w:rPr>
        <w:t>udget</w:t>
      </w:r>
      <w:r>
        <w:rPr>
          <w:lang w:val="en-GB"/>
        </w:rPr>
        <w:t>;</w:t>
      </w:r>
      <w:proofErr w:type="gramEnd"/>
    </w:p>
    <w:p w14:paraId="73C1FCD6" w14:textId="77777777" w:rsidR="00EB6861" w:rsidRPr="00EB6861" w:rsidRDefault="00EB6861" w:rsidP="00EB6861">
      <w:pPr>
        <w:pStyle w:val="Odstavecseseznamem"/>
        <w:numPr>
          <w:ilvl w:val="0"/>
          <w:numId w:val="20"/>
        </w:numPr>
        <w:spacing w:before="60" w:after="100"/>
        <w:rPr>
          <w:lang w:val="en-GB"/>
        </w:rPr>
      </w:pPr>
      <w:r w:rsidRPr="00EB6861">
        <w:rPr>
          <w:lang w:val="en-GB"/>
        </w:rPr>
        <w:t>FNLC part of the action is not subject to any other provision applicable to costs (i.e. eligibility, direct and indirect, contingency, expenditure verification, no-profit, etc.</w:t>
      </w:r>
      <w:proofErr w:type="gramStart"/>
      <w:r w:rsidRPr="00EB6861">
        <w:rPr>
          <w:lang w:val="en-GB"/>
        </w:rPr>
        <w:t>);</w:t>
      </w:r>
      <w:proofErr w:type="gramEnd"/>
    </w:p>
    <w:p w14:paraId="3C6F4A2A" w14:textId="5846AE22" w:rsidR="00F765D0" w:rsidRDefault="00EB6861" w:rsidP="00940844">
      <w:pPr>
        <w:pStyle w:val="Odstavecseseznamem"/>
        <w:numPr>
          <w:ilvl w:val="0"/>
          <w:numId w:val="20"/>
        </w:numPr>
        <w:spacing w:before="60" w:after="100"/>
        <w:rPr>
          <w:lang w:val="en-GB"/>
        </w:rPr>
      </w:pPr>
      <w:r w:rsidRPr="00EB6861">
        <w:rPr>
          <w:lang w:val="en-GB"/>
        </w:rPr>
        <w:t xml:space="preserve">the </w:t>
      </w:r>
      <w:r w:rsidRPr="007812D2">
        <w:t>financial reporting on the FNLC part of the action is not to be based on costs. However, the necessary supporting</w:t>
      </w:r>
      <w:r w:rsidRPr="00EB6861">
        <w:rPr>
          <w:lang w:val="en-GB"/>
        </w:rPr>
        <w:t xml:space="preserve"> documents, including where relevant accounting documents, are to be provided, if requested.</w:t>
      </w:r>
    </w:p>
    <w:p w14:paraId="467B96F3" w14:textId="77777777" w:rsidR="007812D2" w:rsidRPr="00940844" w:rsidRDefault="007812D2" w:rsidP="007812D2">
      <w:pPr>
        <w:pStyle w:val="Odstavecseseznamem"/>
        <w:spacing w:before="60" w:after="100"/>
        <w:rPr>
          <w:lang w:val="en-GB"/>
        </w:rPr>
      </w:pPr>
    </w:p>
    <w:p w14:paraId="721C571D" w14:textId="77777777" w:rsidR="000877B0" w:rsidRPr="00D777E8" w:rsidRDefault="000877B0" w:rsidP="000877B0">
      <w:pPr>
        <w:pStyle w:val="Nadpis1"/>
        <w:rPr>
          <w:color w:val="auto"/>
          <w:lang w:val="en-GB"/>
        </w:rPr>
      </w:pPr>
      <w:bookmarkStart w:id="12" w:name="_Toc210756924"/>
      <w:bookmarkStart w:id="13" w:name="_Toc209541830"/>
      <w:bookmarkStart w:id="14" w:name="_Toc210756925"/>
      <w:bookmarkEnd w:id="12"/>
      <w:r w:rsidRPr="00D777E8">
        <w:rPr>
          <w:color w:val="auto"/>
          <w:lang w:val="en-GB"/>
        </w:rPr>
        <w:t xml:space="preserve">Supplementing </w:t>
      </w:r>
      <w:bookmarkEnd w:id="13"/>
      <w:r w:rsidRPr="00D777E8">
        <w:rPr>
          <w:color w:val="auto"/>
          <w:lang w:val="en-GB"/>
        </w:rPr>
        <w:t>provisions</w:t>
      </w:r>
      <w:bookmarkEnd w:id="14"/>
    </w:p>
    <w:p w14:paraId="064ED84D" w14:textId="77777777" w:rsidR="002E7F66" w:rsidRPr="00D777E8" w:rsidRDefault="002E7F66" w:rsidP="002E7F66">
      <w:pPr>
        <w:rPr>
          <w:lang w:val="en-GB"/>
        </w:rPr>
      </w:pPr>
    </w:p>
    <w:p w14:paraId="5450C903" w14:textId="194E7AD4" w:rsidR="002E7F66" w:rsidRPr="00D777E8" w:rsidRDefault="002E7F66" w:rsidP="007812D2">
      <w:pPr>
        <w:pStyle w:val="Odstavecseseznamem"/>
        <w:numPr>
          <w:ilvl w:val="0"/>
          <w:numId w:val="26"/>
        </w:numPr>
        <w:ind w:left="567" w:hanging="567"/>
        <w:rPr>
          <w:lang w:val="en-GB"/>
        </w:rPr>
      </w:pPr>
      <w:r w:rsidRPr="00D777E8">
        <w:rPr>
          <w:lang w:val="en-GB"/>
        </w:rPr>
        <w:t xml:space="preserve">Only the costs actually incurred are eligible, i.e., paid to the </w:t>
      </w:r>
      <w:proofErr w:type="gramStart"/>
      <w:r w:rsidRPr="00D777E8">
        <w:rPr>
          <w:lang w:val="en-GB"/>
        </w:rPr>
        <w:t>Master’s</w:t>
      </w:r>
      <w:proofErr w:type="gramEnd"/>
      <w:r w:rsidRPr="00D777E8">
        <w:rPr>
          <w:lang w:val="en-GB"/>
        </w:rPr>
        <w:t xml:space="preserve"> student for actual study period during the academic year 2025/2026 and management costs per number of students administered, regardless of the duration of the student's studies per academic year. If the student drops out/withdraws from studies or takes an academic leave, the payment of cost-of-living scholarship is terminated. </w:t>
      </w:r>
    </w:p>
    <w:p w14:paraId="3A3C55AD" w14:textId="7B3D65C9" w:rsidR="002E7F66" w:rsidRPr="00D777E8" w:rsidRDefault="002E7F66" w:rsidP="007812D2">
      <w:pPr>
        <w:pStyle w:val="Odstavecseseznamem"/>
        <w:numPr>
          <w:ilvl w:val="0"/>
          <w:numId w:val="26"/>
        </w:numPr>
        <w:ind w:left="567" w:hanging="567"/>
        <w:rPr>
          <w:lang w:val="en-GB"/>
        </w:rPr>
      </w:pPr>
      <w:r w:rsidRPr="00D777E8">
        <w:rPr>
          <w:lang w:val="en-GB"/>
        </w:rPr>
        <w:t>The maximum number of payments of the scholarship depends on the duration of the studied period in academic year but is not longer than ten (10) months per 2025/2026 academic year.</w:t>
      </w:r>
    </w:p>
    <w:p w14:paraId="37AFA2AB" w14:textId="0F7E3BBE" w:rsidR="002E7F66" w:rsidRPr="00D777E8" w:rsidRDefault="002E7F66" w:rsidP="007812D2">
      <w:pPr>
        <w:pStyle w:val="Odstavecseseznamem"/>
        <w:numPr>
          <w:ilvl w:val="1"/>
          <w:numId w:val="26"/>
        </w:numPr>
        <w:ind w:left="567" w:hanging="567"/>
        <w:rPr>
          <w:lang w:val="en-GB"/>
        </w:rPr>
      </w:pPr>
      <w:r w:rsidRPr="00D777E8">
        <w:rPr>
          <w:lang w:val="en-GB"/>
        </w:rPr>
        <w:t xml:space="preserve">The Scholarship is payable </w:t>
      </w:r>
      <w:proofErr w:type="gramStart"/>
      <w:r w:rsidRPr="00D777E8">
        <w:rPr>
          <w:lang w:val="en-GB"/>
        </w:rPr>
        <w:t>on a monthly basis</w:t>
      </w:r>
      <w:proofErr w:type="gramEnd"/>
      <w:r w:rsidRPr="00D777E8">
        <w:rPr>
          <w:lang w:val="en-GB"/>
        </w:rPr>
        <w:t>, provided that the student is enrolled and actively pursuing studies at least one (1) day within the respective calendar month. If the student has not studied for a full month (e.g. due to the reasons listed in 2.3), the amount of the scholarship will not be recalculated, and the student will receive the full monthly scholarship.</w:t>
      </w:r>
    </w:p>
    <w:p w14:paraId="49336288" w14:textId="77777777" w:rsidR="002E7F66" w:rsidRPr="00D777E8" w:rsidRDefault="002E7F66" w:rsidP="007812D2">
      <w:pPr>
        <w:pStyle w:val="Odstavecseseznamem"/>
        <w:numPr>
          <w:ilvl w:val="1"/>
          <w:numId w:val="26"/>
        </w:numPr>
        <w:ind w:left="567" w:hanging="567"/>
        <w:rPr>
          <w:lang w:val="en-GB"/>
        </w:rPr>
      </w:pPr>
      <w:r w:rsidRPr="00D777E8">
        <w:rPr>
          <w:lang w:val="en-GB"/>
        </w:rPr>
        <w:t>The eligible period of the academic year is from the first day of the first semester to</w:t>
      </w:r>
      <w:r w:rsidRPr="00D777E8">
        <w:rPr>
          <w:lang w:val="en-GB"/>
        </w:rPr>
        <w:br/>
        <w:t>latest day of these options: final day of primary examination session; last day of course, work, lectures of the second semester, excluding summer holidays (i.e., when the academic year lasts nine (9) months, the cost-of-living scholarship is paid for nine (9) months).</w:t>
      </w:r>
    </w:p>
    <w:p w14:paraId="15DE90F2" w14:textId="77777777" w:rsidR="002E7F66" w:rsidRPr="00D777E8" w:rsidRDefault="002E7F66" w:rsidP="007812D2">
      <w:pPr>
        <w:pStyle w:val="Odstavecseseznamem"/>
        <w:numPr>
          <w:ilvl w:val="1"/>
          <w:numId w:val="26"/>
        </w:numPr>
        <w:ind w:left="567" w:hanging="567"/>
        <w:rPr>
          <w:lang w:val="en-GB"/>
        </w:rPr>
      </w:pPr>
      <w:r w:rsidRPr="00D777E8">
        <w:rPr>
          <w:lang w:val="en-GB"/>
        </w:rPr>
        <w:t>If the student passed the exams before the end of the session or the exam session ended before the end of the academic year; it is paid for the eligible</w:t>
      </w:r>
      <w:r w:rsidRPr="00D777E8">
        <w:rPr>
          <w:lang w:val="en-GB"/>
        </w:rPr>
        <w:br/>
        <w:t>period of academic year.</w:t>
      </w:r>
    </w:p>
    <w:p w14:paraId="1A207591" w14:textId="77777777" w:rsidR="002E7F66" w:rsidRPr="00D777E8" w:rsidRDefault="002E7F66" w:rsidP="007812D2">
      <w:pPr>
        <w:pStyle w:val="Odstavecseseznamem"/>
        <w:numPr>
          <w:ilvl w:val="1"/>
          <w:numId w:val="26"/>
        </w:numPr>
        <w:ind w:left="567" w:hanging="567"/>
        <w:rPr>
          <w:lang w:val="en-GB"/>
        </w:rPr>
      </w:pPr>
      <w:r w:rsidRPr="00D777E8">
        <w:rPr>
          <w:lang w:val="en-GB"/>
        </w:rPr>
        <w:lastRenderedPageBreak/>
        <w:t>If the student has dropped out and lost his/her student status, withdrawn from the</w:t>
      </w:r>
      <w:r w:rsidRPr="00D777E8">
        <w:rPr>
          <w:lang w:val="en-GB"/>
        </w:rPr>
        <w:br/>
        <w:t>student list or has taken an academic leave of absence, left studies himself he/she shall be</w:t>
      </w:r>
      <w:r w:rsidRPr="00D777E8">
        <w:rPr>
          <w:lang w:val="en-GB"/>
        </w:rPr>
        <w:br/>
        <w:t>paid for the number of months he/she has been in the studies.</w:t>
      </w:r>
    </w:p>
    <w:p w14:paraId="551BA7BD" w14:textId="1FD06E34" w:rsidR="002E7F66" w:rsidRPr="00D777E8" w:rsidRDefault="002E7F66" w:rsidP="007812D2">
      <w:pPr>
        <w:pStyle w:val="Odstavecseseznamem"/>
        <w:numPr>
          <w:ilvl w:val="1"/>
          <w:numId w:val="26"/>
        </w:numPr>
        <w:ind w:left="567" w:hanging="567"/>
        <w:rPr>
          <w:lang w:val="en-GB"/>
        </w:rPr>
      </w:pPr>
      <w:r w:rsidRPr="00D777E8">
        <w:rPr>
          <w:lang w:val="en-GB"/>
        </w:rPr>
        <w:t xml:space="preserve">Regardless of the day of a calendar month in which the student </w:t>
      </w:r>
      <w:proofErr w:type="gramStart"/>
      <w:r w:rsidRPr="00D777E8">
        <w:rPr>
          <w:lang w:val="en-GB"/>
        </w:rPr>
        <w:t>actually started</w:t>
      </w:r>
      <w:proofErr w:type="gramEnd"/>
      <w:r w:rsidRPr="00D777E8">
        <w:rPr>
          <w:lang w:val="en-GB"/>
        </w:rPr>
        <w:t xml:space="preserve"> his/her studies, the monthly scholarship will be paid for the whole month, provided that the student has studied on at least one day of that month.</w:t>
      </w:r>
    </w:p>
    <w:p w14:paraId="20FED015" w14:textId="0F336B95" w:rsidR="002E7F66" w:rsidRPr="00D777E8" w:rsidRDefault="002E7F66" w:rsidP="007812D2">
      <w:pPr>
        <w:pStyle w:val="Odstavecseseznamem"/>
        <w:numPr>
          <w:ilvl w:val="0"/>
          <w:numId w:val="26"/>
        </w:numPr>
        <w:ind w:left="567" w:hanging="567"/>
        <w:rPr>
          <w:lang w:val="en-GB"/>
        </w:rPr>
      </w:pPr>
      <w:r w:rsidRPr="00D777E8">
        <w:rPr>
          <w:lang w:val="en-GB"/>
        </w:rPr>
        <w:t>Management costs are paid regardless of the studies duration and the cost-of-living scholarship paid. If the student has studied for at least one day during the academic year, the management costs are paid for the whole academic year (the management cost result (unit) is the administered student, i.e. the student who has studied for at least one day during the reported academic year).</w:t>
      </w:r>
    </w:p>
    <w:p w14:paraId="15DACEA1" w14:textId="3E033D8B" w:rsidR="002E7F66" w:rsidRPr="00D777E8" w:rsidRDefault="002E7F66" w:rsidP="007812D2">
      <w:pPr>
        <w:pStyle w:val="Odstavecseseznamem"/>
        <w:numPr>
          <w:ilvl w:val="0"/>
          <w:numId w:val="26"/>
        </w:numPr>
        <w:ind w:left="567" w:hanging="567"/>
        <w:rPr>
          <w:lang w:val="en-GB"/>
        </w:rPr>
      </w:pPr>
      <w:r w:rsidRPr="00D777E8">
        <w:rPr>
          <w:lang w:val="en-GB"/>
        </w:rPr>
        <w:t>In all cases, it must be ensured that there is no double funding, including but not</w:t>
      </w:r>
      <w:r w:rsidRPr="00D777E8">
        <w:rPr>
          <w:lang w:val="en-GB"/>
        </w:rPr>
        <w:br/>
        <w:t>limited to</w:t>
      </w:r>
      <w:r w:rsidR="00EF631E" w:rsidRPr="00D777E8">
        <w:rPr>
          <w:lang w:val="en-GB"/>
        </w:rPr>
        <w:t>.</w:t>
      </w:r>
    </w:p>
    <w:p w14:paraId="067BAB23" w14:textId="126C6D52" w:rsidR="0047277E" w:rsidRPr="00D777E8" w:rsidRDefault="002E7F66" w:rsidP="0047277E">
      <w:pPr>
        <w:pStyle w:val="Odstavecseseznamem"/>
        <w:numPr>
          <w:ilvl w:val="1"/>
          <w:numId w:val="26"/>
        </w:numPr>
        <w:ind w:left="567" w:hanging="567"/>
        <w:rPr>
          <w:lang w:val="en-GB"/>
        </w:rPr>
      </w:pPr>
      <w:r w:rsidRPr="00D777E8">
        <w:rPr>
          <w:lang w:val="en-GB"/>
        </w:rPr>
        <w:t xml:space="preserve">When a student receives scholarships to study under Erasmus+ exchange and other </w:t>
      </w:r>
      <w:r w:rsidR="002F2883" w:rsidRPr="00D777E8">
        <w:rPr>
          <w:lang w:val="en-GB"/>
        </w:rPr>
        <w:t xml:space="preserve">EU funded </w:t>
      </w:r>
      <w:r w:rsidRPr="00D777E8">
        <w:rPr>
          <w:lang w:val="en-GB"/>
        </w:rPr>
        <w:t>programmes, the payment of living costs is suspended and recalculated in proportion to the months studied under Erasmus+ and other programmes</w:t>
      </w:r>
      <w:r w:rsidR="0047277E" w:rsidRPr="00D777E8">
        <w:rPr>
          <w:lang w:val="en-GB"/>
        </w:rPr>
        <w:t>:</w:t>
      </w:r>
    </w:p>
    <w:p w14:paraId="745F4426" w14:textId="291F4AA3" w:rsidR="0047277E" w:rsidRPr="00D777E8" w:rsidRDefault="0047277E" w:rsidP="007812D2">
      <w:pPr>
        <w:pStyle w:val="Odstavecseseznamem"/>
        <w:ind w:left="567" w:hanging="567"/>
        <w:rPr>
          <w:lang w:val="en-GB"/>
        </w:rPr>
      </w:pPr>
      <w:r w:rsidRPr="00D777E8">
        <w:rPr>
          <w:lang w:val="en-GB"/>
        </w:rPr>
        <w:t xml:space="preserve">4.1.1 </w:t>
      </w:r>
      <w:r w:rsidR="002E7F66" w:rsidRPr="00D777E8">
        <w:rPr>
          <w:lang w:val="en-GB"/>
        </w:rPr>
        <w:t xml:space="preserve">If the student’s Erasmus+ or other </w:t>
      </w:r>
      <w:r w:rsidR="002F2883" w:rsidRPr="00D777E8">
        <w:rPr>
          <w:lang w:val="en-GB"/>
        </w:rPr>
        <w:t xml:space="preserve">EU funded </w:t>
      </w:r>
      <w:r w:rsidR="002E7F66" w:rsidRPr="00D777E8">
        <w:rPr>
          <w:lang w:val="en-GB"/>
        </w:rPr>
        <w:t>programme commences after the first day of a calendar month, the SALT III scholarship for that month shall remain payable.</w:t>
      </w:r>
    </w:p>
    <w:p w14:paraId="05BA6954" w14:textId="6C889220" w:rsidR="002E7F66" w:rsidRPr="00D777E8" w:rsidRDefault="0047277E" w:rsidP="007812D2">
      <w:pPr>
        <w:ind w:left="567" w:hanging="567"/>
        <w:rPr>
          <w:lang w:val="en-GB"/>
        </w:rPr>
      </w:pPr>
      <w:r w:rsidRPr="00D777E8">
        <w:rPr>
          <w:lang w:val="en-GB"/>
        </w:rPr>
        <w:t xml:space="preserve">4.1.2 </w:t>
      </w:r>
      <w:r w:rsidR="002E7F66" w:rsidRPr="00D777E8">
        <w:rPr>
          <w:lang w:val="en-GB"/>
        </w:rPr>
        <w:t xml:space="preserve">If the student’s Erasmus+ or other </w:t>
      </w:r>
      <w:r w:rsidR="002F2883" w:rsidRPr="00D777E8">
        <w:rPr>
          <w:lang w:val="en-GB"/>
        </w:rPr>
        <w:t xml:space="preserve">EU funded </w:t>
      </w:r>
      <w:r w:rsidR="002E7F66" w:rsidRPr="00D777E8">
        <w:rPr>
          <w:lang w:val="en-GB"/>
        </w:rPr>
        <w:t>programme commences or continues the first day of a calendar month, the SALT III scholarship for that month shall not be paid.</w:t>
      </w:r>
    </w:p>
    <w:p w14:paraId="08FF96C5" w14:textId="160F7AEB" w:rsidR="002E7F66" w:rsidRPr="00D777E8" w:rsidRDefault="002E7F66" w:rsidP="007812D2">
      <w:pPr>
        <w:pStyle w:val="Odstavecseseznamem"/>
        <w:ind w:left="567" w:hanging="567"/>
        <w:rPr>
          <w:lang w:val="en-GB"/>
        </w:rPr>
      </w:pPr>
      <w:r w:rsidRPr="00D777E8">
        <w:rPr>
          <w:lang w:val="en-GB"/>
        </w:rPr>
        <w:t xml:space="preserve">4.1.3 For the avoidance of doubt, the total number of SALT III scholarship payments suspended shall be equal to the number of full calendar months for which the student receives Erasmus+ or other </w:t>
      </w:r>
      <w:r w:rsidR="002F2883" w:rsidRPr="00D777E8">
        <w:rPr>
          <w:lang w:val="en-GB"/>
        </w:rPr>
        <w:t xml:space="preserve">EU funded </w:t>
      </w:r>
      <w:r w:rsidRPr="00D777E8">
        <w:rPr>
          <w:lang w:val="en-GB"/>
        </w:rPr>
        <w:t>programme financial support.</w:t>
      </w:r>
    </w:p>
    <w:p w14:paraId="5047C474" w14:textId="2B3FB750" w:rsidR="002E7F66" w:rsidRPr="00D777E8" w:rsidRDefault="002E7F66" w:rsidP="007812D2">
      <w:pPr>
        <w:ind w:left="567" w:hanging="567"/>
        <w:rPr>
          <w:lang w:val="en-GB"/>
        </w:rPr>
      </w:pPr>
      <w:r w:rsidRPr="00D777E8">
        <w:rPr>
          <w:lang w:val="en-GB"/>
        </w:rPr>
        <w:t xml:space="preserve">4.2 </w:t>
      </w:r>
      <w:r w:rsidR="0047277E" w:rsidRPr="00D777E8">
        <w:rPr>
          <w:lang w:val="en-GB"/>
        </w:rPr>
        <w:tab/>
      </w:r>
      <w:r w:rsidRPr="00D777E8">
        <w:rPr>
          <w:lang w:val="en-GB"/>
        </w:rPr>
        <w:t>Cost-of-living scholarship is paid only for students who are studying in the host country university full-time (i.e., living costs are not paid when the study method is remote).</w:t>
      </w:r>
    </w:p>
    <w:p w14:paraId="5C7C8B74" w14:textId="77777777" w:rsidR="000877B0" w:rsidRPr="00D777E8" w:rsidRDefault="000877B0" w:rsidP="00F765D0">
      <w:pPr>
        <w:rPr>
          <w:lang w:val="en-GB"/>
        </w:rPr>
      </w:pPr>
    </w:p>
    <w:p w14:paraId="67C4CD44" w14:textId="77777777" w:rsidR="000877B0" w:rsidRPr="000877B0" w:rsidRDefault="000877B0" w:rsidP="007812D2">
      <w:pPr>
        <w:rPr>
          <w:lang w:val="en-GB"/>
        </w:rPr>
      </w:pPr>
    </w:p>
    <w:p w14:paraId="4AF74908" w14:textId="77777777" w:rsidR="000511F7" w:rsidRPr="00FA0B2F" w:rsidRDefault="000511F7" w:rsidP="000511F7">
      <w:pPr>
        <w:pStyle w:val="Nadpis1"/>
        <w:rPr>
          <w:lang w:val="en-GB"/>
        </w:rPr>
      </w:pPr>
      <w:bookmarkStart w:id="15" w:name="_Toc210756926"/>
      <w:r w:rsidRPr="00FA0B2F">
        <w:rPr>
          <w:lang w:val="en-GB"/>
        </w:rPr>
        <w:t>Logical Framework</w:t>
      </w:r>
      <w:bookmarkEnd w:id="15"/>
    </w:p>
    <w:p w14:paraId="43C7C244" w14:textId="01664381" w:rsidR="00A14860" w:rsidRPr="008975BA" w:rsidRDefault="00882537" w:rsidP="00A14860">
      <w:pPr>
        <w:rPr>
          <w:lang w:val="en-GB"/>
        </w:rPr>
        <w:sectPr w:rsidR="00A14860" w:rsidRPr="008975BA" w:rsidSect="00A14860">
          <w:footerReference w:type="default" r:id="rId11"/>
          <w:pgSz w:w="11906" w:h="16838"/>
          <w:pgMar w:top="1701" w:right="567" w:bottom="1134" w:left="1701" w:header="567" w:footer="567" w:gutter="0"/>
          <w:cols w:space="1296"/>
        </w:sectPr>
      </w:pPr>
      <w:r w:rsidRPr="00FA0B2F">
        <w:rPr>
          <w:lang w:val="en-GB"/>
        </w:rPr>
        <w:t>Because of the nature of FNLC as</w:t>
      </w:r>
      <w:r w:rsidR="00A07843">
        <w:rPr>
          <w:lang w:val="en-GB"/>
        </w:rPr>
        <w:t xml:space="preserve"> a</w:t>
      </w:r>
      <w:r w:rsidRPr="00FA0B2F">
        <w:rPr>
          <w:lang w:val="en-GB"/>
        </w:rPr>
        <w:t xml:space="preserve"> form of </w:t>
      </w:r>
      <w:r w:rsidR="00A07843">
        <w:rPr>
          <w:lang w:val="en-GB"/>
        </w:rPr>
        <w:t xml:space="preserve">the </w:t>
      </w:r>
      <w:r w:rsidRPr="00FA0B2F">
        <w:rPr>
          <w:lang w:val="en-GB"/>
        </w:rPr>
        <w:t>Union contribution</w:t>
      </w:r>
      <w:r w:rsidR="00961F03">
        <w:rPr>
          <w:lang w:val="en-GB"/>
        </w:rPr>
        <w:t>,</w:t>
      </w:r>
      <w:r w:rsidRPr="00FA0B2F">
        <w:rPr>
          <w:lang w:val="en-GB"/>
        </w:rPr>
        <w:t xml:space="preserve"> the intervention logic </w:t>
      </w:r>
      <w:r w:rsidR="00163391" w:rsidRPr="00FA0B2F">
        <w:rPr>
          <w:lang w:val="en-GB"/>
        </w:rPr>
        <w:t xml:space="preserve">is prepared to </w:t>
      </w:r>
      <w:r w:rsidRPr="00FA0B2F">
        <w:rPr>
          <w:lang w:val="en-GB"/>
        </w:rPr>
        <w:t>specif</w:t>
      </w:r>
      <w:r w:rsidR="00163391" w:rsidRPr="00FA0B2F">
        <w:rPr>
          <w:lang w:val="en-GB"/>
        </w:rPr>
        <w:t>y</w:t>
      </w:r>
      <w:r w:rsidRPr="00FA0B2F">
        <w:rPr>
          <w:lang w:val="en-GB"/>
        </w:rPr>
        <w:t xml:space="preserve"> </w:t>
      </w:r>
      <w:r w:rsidR="00163391" w:rsidRPr="00FA0B2F">
        <w:rPr>
          <w:lang w:val="en-GB"/>
        </w:rPr>
        <w:t>the</w:t>
      </w:r>
      <w:r w:rsidRPr="00FA0B2F">
        <w:rPr>
          <w:lang w:val="en-GB"/>
        </w:rPr>
        <w:t xml:space="preserve"> results and indicators </w:t>
      </w:r>
      <w:r w:rsidR="00163391" w:rsidRPr="00FA0B2F">
        <w:rPr>
          <w:lang w:val="en-GB"/>
        </w:rPr>
        <w:t>of the grant agreement that are</w:t>
      </w:r>
      <w:r w:rsidRPr="00FA0B2F">
        <w:rPr>
          <w:lang w:val="en-GB"/>
        </w:rPr>
        <w:t xml:space="preserve"> eventually transpose</w:t>
      </w:r>
      <w:r w:rsidR="00163391" w:rsidRPr="00FA0B2F">
        <w:rPr>
          <w:lang w:val="en-GB"/>
        </w:rPr>
        <w:t>d</w:t>
      </w:r>
      <w:r w:rsidRPr="00FA0B2F">
        <w:rPr>
          <w:lang w:val="en-GB"/>
        </w:rPr>
        <w:t xml:space="preserve"> in the budget (Annex </w:t>
      </w:r>
      <w:r w:rsidR="00163391" w:rsidRPr="00FA0B2F">
        <w:rPr>
          <w:lang w:val="en-GB"/>
        </w:rPr>
        <w:t>III</w:t>
      </w:r>
      <w:r w:rsidRPr="00FA0B2F">
        <w:rPr>
          <w:lang w:val="en-GB"/>
        </w:rPr>
        <w:t>)</w:t>
      </w:r>
      <w:r w:rsidR="009E5661" w:rsidRPr="00FA0B2F">
        <w:rPr>
          <w:lang w:val="en-GB"/>
        </w:rPr>
        <w:t xml:space="preserve">. </w:t>
      </w:r>
      <w:r w:rsidR="00A14860" w:rsidRPr="008975BA">
        <w:rPr>
          <w:lang w:val="en-GB"/>
        </w:rPr>
        <w:t xml:space="preserve">Activities, outputs expected, and all indicators, targets and baselines included in the </w:t>
      </w:r>
      <w:proofErr w:type="spellStart"/>
      <w:r w:rsidR="00A14860" w:rsidRPr="008975BA">
        <w:rPr>
          <w:lang w:val="en-GB"/>
        </w:rPr>
        <w:t>logframe</w:t>
      </w:r>
      <w:proofErr w:type="spellEnd"/>
      <w:r w:rsidR="00A14860" w:rsidRPr="008975BA">
        <w:rPr>
          <w:lang w:val="en-GB"/>
        </w:rPr>
        <w:t xml:space="preserve"> matrix are indicative and may be updated during the in</w:t>
      </w:r>
      <w:r w:rsidR="008F1DE3">
        <w:rPr>
          <w:lang w:val="en-GB"/>
        </w:rPr>
        <w:t>terim</w:t>
      </w:r>
      <w:r w:rsidR="00A14860" w:rsidRPr="008975BA">
        <w:rPr>
          <w:lang w:val="en-GB"/>
        </w:rPr>
        <w:t xml:space="preserve"> and implementation phases</w:t>
      </w:r>
      <w:r w:rsidR="008F1DE3">
        <w:rPr>
          <w:lang w:val="en-GB"/>
        </w:rPr>
        <w:t xml:space="preserve">. </w:t>
      </w:r>
      <w:r w:rsidR="00A14860" w:rsidRPr="008975BA">
        <w:rPr>
          <w:lang w:val="en-GB"/>
        </w:rPr>
        <w:t xml:space="preserve">The indicative </w:t>
      </w:r>
      <w:proofErr w:type="spellStart"/>
      <w:r w:rsidR="00A14860" w:rsidRPr="008975BA">
        <w:rPr>
          <w:lang w:val="en-GB"/>
        </w:rPr>
        <w:t>logframe</w:t>
      </w:r>
      <w:proofErr w:type="spellEnd"/>
      <w:r w:rsidR="00A14860" w:rsidRPr="008975BA">
        <w:rPr>
          <w:lang w:val="en-GB"/>
        </w:rPr>
        <w:t xml:space="preserve"> matrix will evolve during the lifetime of the Action: new lines will be added for listing the activities as well as new columns for intermediary targets (milestones) when it is relevant and for reporting purpose on the achievement of results as measured by indicators</w:t>
      </w:r>
      <w:r w:rsidR="00961F03">
        <w:rPr>
          <w:lang w:val="en-GB"/>
        </w:rPr>
        <w:t>.</w:t>
      </w:r>
    </w:p>
    <w:p w14:paraId="3D8C2081" w14:textId="6861ACF1" w:rsidR="00A14860" w:rsidRPr="00626ABC" w:rsidRDefault="00626ABC" w:rsidP="00A14860">
      <w:pPr>
        <w:rPr>
          <w:b/>
          <w:bCs/>
          <w:sz w:val="28"/>
          <w:szCs w:val="28"/>
          <w:lang w:val="en-GB"/>
        </w:rPr>
      </w:pPr>
      <w:r w:rsidRPr="00626ABC">
        <w:rPr>
          <w:b/>
          <w:bCs/>
          <w:sz w:val="28"/>
          <w:szCs w:val="28"/>
          <w:lang w:val="en-GB"/>
        </w:rPr>
        <w:lastRenderedPageBreak/>
        <w:t>Logical Framework</w:t>
      </w:r>
      <w:r w:rsidRPr="00626ABC">
        <w:rPr>
          <w:b/>
          <w:bCs/>
          <w:sz w:val="28"/>
          <w:szCs w:val="28"/>
          <w:lang w:val="en-GB"/>
        </w:rPr>
        <w:tab/>
      </w:r>
    </w:p>
    <w:tbl>
      <w:tblPr>
        <w:tblW w:w="14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259"/>
        <w:gridCol w:w="1940"/>
        <w:gridCol w:w="1066"/>
        <w:gridCol w:w="1066"/>
        <w:gridCol w:w="1066"/>
        <w:gridCol w:w="1315"/>
        <w:gridCol w:w="1579"/>
        <w:gridCol w:w="1839"/>
      </w:tblGrid>
      <w:tr w:rsidR="008658FD" w:rsidRPr="008658FD" w14:paraId="02299947" w14:textId="77777777" w:rsidTr="00EA7B3D">
        <w:trPr>
          <w:cantSplit/>
          <w:trHeight w:val="1313"/>
          <w:tblHeader/>
          <w:jc w:val="center"/>
        </w:trPr>
        <w:tc>
          <w:tcPr>
            <w:tcW w:w="988" w:type="dxa"/>
            <w:tcBorders>
              <w:bottom w:val="single" w:sz="4" w:space="0" w:color="auto"/>
            </w:tcBorders>
            <w:shd w:val="clear" w:color="auto" w:fill="BFBFBF" w:themeFill="background1" w:themeFillShade="BF"/>
            <w:textDirection w:val="btLr"/>
          </w:tcPr>
          <w:p w14:paraId="7F523BFC" w14:textId="77777777" w:rsidR="008658FD" w:rsidRPr="00880291" w:rsidRDefault="008658FD" w:rsidP="00AE3A51">
            <w:pPr>
              <w:spacing w:before="60" w:afterLines="60" w:after="144"/>
              <w:ind w:left="113" w:right="113"/>
              <w:jc w:val="center"/>
              <w:rPr>
                <w:b/>
                <w:iCs/>
                <w:sz w:val="20"/>
                <w:lang w:val="en-GB"/>
              </w:rPr>
            </w:pPr>
            <w:r w:rsidRPr="00880291">
              <w:rPr>
                <w:b/>
                <w:iCs/>
                <w:sz w:val="20"/>
                <w:lang w:val="en-GB"/>
              </w:rPr>
              <w:t>Results</w:t>
            </w:r>
          </w:p>
        </w:tc>
        <w:tc>
          <w:tcPr>
            <w:tcW w:w="3259" w:type="dxa"/>
            <w:tcBorders>
              <w:bottom w:val="single" w:sz="4" w:space="0" w:color="auto"/>
            </w:tcBorders>
            <w:shd w:val="clear" w:color="auto" w:fill="BFBFBF" w:themeFill="background1" w:themeFillShade="BF"/>
            <w:vAlign w:val="center"/>
          </w:tcPr>
          <w:p w14:paraId="10D42C9C" w14:textId="77777777" w:rsidR="008658FD" w:rsidRPr="00880291" w:rsidRDefault="008658FD" w:rsidP="00AE3A51">
            <w:pPr>
              <w:spacing w:after="0"/>
              <w:jc w:val="center"/>
              <w:rPr>
                <w:b/>
                <w:iCs/>
                <w:sz w:val="20"/>
                <w:lang w:val="en-GB"/>
              </w:rPr>
            </w:pPr>
            <w:r w:rsidRPr="00880291">
              <w:rPr>
                <w:b/>
                <w:iCs/>
                <w:sz w:val="20"/>
                <w:lang w:val="en-GB"/>
              </w:rPr>
              <w:t>Results chain</w:t>
            </w:r>
          </w:p>
        </w:tc>
        <w:tc>
          <w:tcPr>
            <w:tcW w:w="1940" w:type="dxa"/>
            <w:tcBorders>
              <w:bottom w:val="single" w:sz="4" w:space="0" w:color="auto"/>
            </w:tcBorders>
            <w:shd w:val="clear" w:color="auto" w:fill="BFBFBF" w:themeFill="background1" w:themeFillShade="BF"/>
            <w:vAlign w:val="center"/>
          </w:tcPr>
          <w:p w14:paraId="36C00C1A" w14:textId="77777777" w:rsidR="008658FD" w:rsidRPr="00880291" w:rsidRDefault="008658FD" w:rsidP="00AE3A51">
            <w:pPr>
              <w:spacing w:after="0"/>
              <w:jc w:val="center"/>
              <w:rPr>
                <w:b/>
                <w:iCs/>
                <w:sz w:val="20"/>
                <w:lang w:val="en-GB"/>
              </w:rPr>
            </w:pPr>
            <w:r w:rsidRPr="00880291">
              <w:rPr>
                <w:b/>
                <w:iCs/>
                <w:sz w:val="20"/>
                <w:lang w:val="en-GB"/>
              </w:rPr>
              <w:t>Indicator</w:t>
            </w:r>
          </w:p>
        </w:tc>
        <w:tc>
          <w:tcPr>
            <w:tcW w:w="1066" w:type="dxa"/>
            <w:tcBorders>
              <w:bottom w:val="single" w:sz="4" w:space="0" w:color="auto"/>
            </w:tcBorders>
            <w:shd w:val="clear" w:color="auto" w:fill="BFBFBF" w:themeFill="background1" w:themeFillShade="BF"/>
            <w:vAlign w:val="center"/>
          </w:tcPr>
          <w:p w14:paraId="009D1A77" w14:textId="77777777" w:rsidR="008658FD" w:rsidRPr="00880291" w:rsidRDefault="008658FD" w:rsidP="00AE3A51">
            <w:pPr>
              <w:spacing w:after="0"/>
              <w:jc w:val="center"/>
              <w:rPr>
                <w:b/>
                <w:iCs/>
                <w:sz w:val="20"/>
                <w:lang w:val="en-GB"/>
              </w:rPr>
            </w:pPr>
            <w:r w:rsidRPr="00880291">
              <w:rPr>
                <w:b/>
                <w:iCs/>
                <w:sz w:val="20"/>
                <w:lang w:val="en-GB"/>
              </w:rPr>
              <w:t>FNLC</w:t>
            </w:r>
          </w:p>
        </w:tc>
        <w:tc>
          <w:tcPr>
            <w:tcW w:w="1066" w:type="dxa"/>
            <w:tcBorders>
              <w:bottom w:val="single" w:sz="4" w:space="0" w:color="auto"/>
            </w:tcBorders>
            <w:shd w:val="clear" w:color="auto" w:fill="BFBFBF" w:themeFill="background1" w:themeFillShade="BF"/>
            <w:vAlign w:val="center"/>
          </w:tcPr>
          <w:p w14:paraId="260CF29E" w14:textId="77777777" w:rsidR="008658FD" w:rsidRPr="00880291" w:rsidRDefault="008658FD" w:rsidP="00AE3A51">
            <w:pPr>
              <w:spacing w:after="0"/>
              <w:jc w:val="center"/>
              <w:rPr>
                <w:b/>
                <w:iCs/>
                <w:sz w:val="20"/>
                <w:lang w:val="en-GB"/>
              </w:rPr>
            </w:pPr>
            <w:r w:rsidRPr="00880291">
              <w:rPr>
                <w:b/>
                <w:iCs/>
                <w:sz w:val="20"/>
                <w:lang w:val="en-GB"/>
              </w:rPr>
              <w:t>Unit of measure</w:t>
            </w:r>
          </w:p>
        </w:tc>
        <w:tc>
          <w:tcPr>
            <w:tcW w:w="1066" w:type="dxa"/>
            <w:tcBorders>
              <w:bottom w:val="single" w:sz="4" w:space="0" w:color="auto"/>
            </w:tcBorders>
            <w:shd w:val="clear" w:color="auto" w:fill="BFBFBF" w:themeFill="background1" w:themeFillShade="BF"/>
            <w:vAlign w:val="center"/>
          </w:tcPr>
          <w:p w14:paraId="59C45165" w14:textId="77777777" w:rsidR="008658FD" w:rsidRPr="00880291" w:rsidRDefault="008658FD" w:rsidP="00AE3A51">
            <w:pPr>
              <w:spacing w:after="0"/>
              <w:jc w:val="center"/>
              <w:rPr>
                <w:b/>
                <w:iCs/>
                <w:sz w:val="20"/>
                <w:lang w:val="en-GB"/>
              </w:rPr>
            </w:pPr>
            <w:r w:rsidRPr="00880291">
              <w:rPr>
                <w:b/>
                <w:iCs/>
                <w:sz w:val="20"/>
                <w:lang w:val="en-GB"/>
              </w:rPr>
              <w:t>Baseline</w:t>
            </w:r>
          </w:p>
          <w:p w14:paraId="5B73654C" w14:textId="77777777" w:rsidR="008658FD" w:rsidRPr="00880291" w:rsidRDefault="008658FD" w:rsidP="00AE3A51">
            <w:pPr>
              <w:spacing w:after="0"/>
              <w:jc w:val="center"/>
              <w:rPr>
                <w:b/>
                <w:iCs/>
                <w:sz w:val="20"/>
                <w:lang w:val="en-GB"/>
              </w:rPr>
            </w:pPr>
            <w:r w:rsidRPr="00880291">
              <w:rPr>
                <w:b/>
                <w:iCs/>
                <w:sz w:val="20"/>
                <w:lang w:val="en-GB"/>
              </w:rPr>
              <w:t>(value &amp; reference year)</w:t>
            </w:r>
          </w:p>
        </w:tc>
        <w:tc>
          <w:tcPr>
            <w:tcW w:w="1315" w:type="dxa"/>
            <w:tcBorders>
              <w:bottom w:val="single" w:sz="4" w:space="0" w:color="auto"/>
            </w:tcBorders>
            <w:shd w:val="clear" w:color="auto" w:fill="BFBFBF" w:themeFill="background1" w:themeFillShade="BF"/>
            <w:vAlign w:val="center"/>
          </w:tcPr>
          <w:p w14:paraId="7501EF6B" w14:textId="77777777" w:rsidR="008658FD" w:rsidRPr="00880291" w:rsidRDefault="008658FD" w:rsidP="00AE3A51">
            <w:pPr>
              <w:spacing w:after="0"/>
              <w:jc w:val="center"/>
              <w:rPr>
                <w:b/>
                <w:iCs/>
                <w:sz w:val="20"/>
                <w:lang w:val="en-GB"/>
              </w:rPr>
            </w:pPr>
            <w:r w:rsidRPr="00880291">
              <w:rPr>
                <w:b/>
                <w:iCs/>
                <w:sz w:val="20"/>
                <w:lang w:val="en-GB"/>
              </w:rPr>
              <w:t>Target</w:t>
            </w:r>
          </w:p>
          <w:p w14:paraId="664AE1C4" w14:textId="77777777" w:rsidR="008658FD" w:rsidRPr="00880291" w:rsidRDefault="008658FD" w:rsidP="00AE3A51">
            <w:pPr>
              <w:spacing w:after="0"/>
              <w:jc w:val="center"/>
              <w:rPr>
                <w:b/>
                <w:iCs/>
                <w:sz w:val="20"/>
                <w:lang w:val="en-GB"/>
              </w:rPr>
            </w:pPr>
            <w:r w:rsidRPr="00880291">
              <w:rPr>
                <w:b/>
                <w:iCs/>
                <w:sz w:val="20"/>
                <w:lang w:val="en-GB"/>
              </w:rPr>
              <w:t>(value &amp; reference year)</w:t>
            </w:r>
          </w:p>
        </w:tc>
        <w:tc>
          <w:tcPr>
            <w:tcW w:w="1579" w:type="dxa"/>
            <w:tcBorders>
              <w:bottom w:val="single" w:sz="4" w:space="0" w:color="auto"/>
            </w:tcBorders>
            <w:shd w:val="clear" w:color="auto" w:fill="BFBFBF" w:themeFill="background1" w:themeFillShade="BF"/>
            <w:vAlign w:val="center"/>
          </w:tcPr>
          <w:p w14:paraId="61C40CD2" w14:textId="77777777" w:rsidR="008658FD" w:rsidRPr="00880291" w:rsidRDefault="008658FD" w:rsidP="00AE3A51">
            <w:pPr>
              <w:spacing w:after="0"/>
              <w:jc w:val="center"/>
              <w:rPr>
                <w:b/>
                <w:iCs/>
                <w:sz w:val="20"/>
                <w:lang w:val="en-GB"/>
              </w:rPr>
            </w:pPr>
            <w:r w:rsidRPr="00880291">
              <w:rPr>
                <w:b/>
                <w:iCs/>
                <w:sz w:val="20"/>
                <w:lang w:val="en-GB"/>
              </w:rPr>
              <w:t>Sources of data</w:t>
            </w:r>
          </w:p>
        </w:tc>
        <w:tc>
          <w:tcPr>
            <w:tcW w:w="1839" w:type="dxa"/>
            <w:tcBorders>
              <w:bottom w:val="single" w:sz="4" w:space="0" w:color="auto"/>
            </w:tcBorders>
            <w:shd w:val="clear" w:color="auto" w:fill="BFBFBF" w:themeFill="background1" w:themeFillShade="BF"/>
            <w:vAlign w:val="center"/>
          </w:tcPr>
          <w:p w14:paraId="392CAE5B" w14:textId="77777777" w:rsidR="008658FD" w:rsidRPr="00880291" w:rsidRDefault="008658FD" w:rsidP="00AE3A51">
            <w:pPr>
              <w:spacing w:after="0"/>
              <w:jc w:val="center"/>
              <w:rPr>
                <w:b/>
                <w:iCs/>
                <w:sz w:val="20"/>
                <w:lang w:val="en-GB"/>
              </w:rPr>
            </w:pPr>
            <w:r w:rsidRPr="00880291">
              <w:rPr>
                <w:b/>
                <w:iCs/>
                <w:sz w:val="20"/>
                <w:lang w:val="en-GB"/>
              </w:rPr>
              <w:t>Assumptions</w:t>
            </w:r>
          </w:p>
        </w:tc>
      </w:tr>
      <w:tr w:rsidR="005E0972" w:rsidRPr="008658FD" w14:paraId="2D4D54FB" w14:textId="77777777" w:rsidTr="00EA7B3D">
        <w:trPr>
          <w:trHeight w:val="402"/>
          <w:jc w:val="center"/>
        </w:trPr>
        <w:tc>
          <w:tcPr>
            <w:tcW w:w="988" w:type="dxa"/>
            <w:textDirection w:val="btLr"/>
          </w:tcPr>
          <w:p w14:paraId="17607779" w14:textId="20E68EED" w:rsidR="005E0972" w:rsidRPr="008658FD" w:rsidRDefault="005E0972" w:rsidP="005E0972">
            <w:pPr>
              <w:tabs>
                <w:tab w:val="left" w:pos="0"/>
                <w:tab w:val="left" w:pos="132"/>
              </w:tabs>
              <w:spacing w:before="60" w:afterLines="60" w:after="144"/>
              <w:ind w:left="113" w:right="113"/>
              <w:jc w:val="center"/>
              <w:rPr>
                <w:b/>
                <w:i/>
                <w:sz w:val="18"/>
                <w:szCs w:val="18"/>
                <w:lang w:val="en-GB"/>
              </w:rPr>
            </w:pPr>
            <w:r w:rsidRPr="008658FD">
              <w:rPr>
                <w:b/>
                <w:i/>
                <w:sz w:val="20"/>
                <w:lang w:val="en-GB"/>
              </w:rPr>
              <w:t>Impact (Overall objective)</w:t>
            </w:r>
          </w:p>
        </w:tc>
        <w:tc>
          <w:tcPr>
            <w:tcW w:w="3259" w:type="dxa"/>
          </w:tcPr>
          <w:p w14:paraId="6AD42C61" w14:textId="1B50B0E7" w:rsidR="005E0972" w:rsidRPr="008658FD" w:rsidRDefault="005E0972" w:rsidP="005E0972">
            <w:pPr>
              <w:autoSpaceDE w:val="0"/>
              <w:autoSpaceDN w:val="0"/>
              <w:adjustRightInd w:val="0"/>
              <w:spacing w:before="60" w:afterLines="60" w:after="144"/>
              <w:rPr>
                <w:sz w:val="18"/>
                <w:szCs w:val="18"/>
                <w:lang w:val="en-GB"/>
              </w:rPr>
            </w:pPr>
            <w:r w:rsidRPr="00005BB0">
              <w:rPr>
                <w:sz w:val="20"/>
                <w:szCs w:val="20"/>
                <w:lang w:val="en-GB"/>
              </w:rPr>
              <w:t xml:space="preserve">The </w:t>
            </w:r>
            <w:r w:rsidRPr="00005BB0">
              <w:rPr>
                <w:b/>
                <w:bCs/>
                <w:sz w:val="20"/>
                <w:szCs w:val="20"/>
                <w:lang w:val="en-GB"/>
              </w:rPr>
              <w:t>Overall Objective</w:t>
            </w:r>
            <w:r w:rsidRPr="00005BB0">
              <w:rPr>
                <w:sz w:val="20"/>
                <w:szCs w:val="20"/>
                <w:lang w:val="en-GB"/>
              </w:rPr>
              <w:t xml:space="preserve"> (Impact) </w:t>
            </w:r>
            <w:r w:rsidRPr="00005BB0">
              <w:rPr>
                <w:iCs/>
                <w:sz w:val="20"/>
                <w:szCs w:val="20"/>
                <w:lang w:val="en-GB"/>
              </w:rPr>
              <w:t>is to reinforce the resilience and cap</w:t>
            </w:r>
            <w:r w:rsidRPr="00005BB0">
              <w:rPr>
                <w:iCs/>
                <w:sz w:val="20"/>
                <w:lang w:val="en-GB"/>
              </w:rPr>
              <w:t>acity among the Belarusian people affected by the political crisis to achieve democratic changes in Belarus.</w:t>
            </w:r>
          </w:p>
        </w:tc>
        <w:tc>
          <w:tcPr>
            <w:tcW w:w="1940" w:type="dxa"/>
          </w:tcPr>
          <w:p w14:paraId="68B773C1" w14:textId="688847F3" w:rsidR="005E0972" w:rsidRPr="009F3928" w:rsidRDefault="005E0972" w:rsidP="005E0972">
            <w:pPr>
              <w:autoSpaceDE w:val="0"/>
              <w:autoSpaceDN w:val="0"/>
              <w:adjustRightInd w:val="0"/>
              <w:spacing w:before="60" w:afterLines="60" w:after="144"/>
              <w:jc w:val="left"/>
              <w:rPr>
                <w:sz w:val="20"/>
                <w:szCs w:val="20"/>
                <w:lang w:val="en-GB"/>
              </w:rPr>
            </w:pPr>
            <w:r w:rsidRPr="009F3928">
              <w:rPr>
                <w:rFonts w:cs="Calibri"/>
                <w:iCs/>
                <w:sz w:val="20"/>
                <w:szCs w:val="20"/>
                <w:lang w:val="en-GB"/>
              </w:rPr>
              <w:t>Democracy Index score (1- 10)</w:t>
            </w:r>
          </w:p>
        </w:tc>
        <w:tc>
          <w:tcPr>
            <w:tcW w:w="1066" w:type="dxa"/>
          </w:tcPr>
          <w:p w14:paraId="60E0B051" w14:textId="53E48E38" w:rsidR="005E0972" w:rsidRPr="009F3928" w:rsidRDefault="005E0972" w:rsidP="005E0972">
            <w:pPr>
              <w:autoSpaceDE w:val="0"/>
              <w:autoSpaceDN w:val="0"/>
              <w:adjustRightInd w:val="0"/>
              <w:spacing w:before="60" w:afterLines="60" w:after="144"/>
              <w:jc w:val="left"/>
              <w:rPr>
                <w:sz w:val="20"/>
                <w:szCs w:val="20"/>
                <w:lang w:val="en-GB"/>
              </w:rPr>
            </w:pPr>
            <w:r w:rsidRPr="009F3928">
              <w:rPr>
                <w:sz w:val="20"/>
                <w:szCs w:val="20"/>
                <w:lang w:val="en-GB"/>
              </w:rPr>
              <w:t>NO</w:t>
            </w:r>
          </w:p>
        </w:tc>
        <w:tc>
          <w:tcPr>
            <w:tcW w:w="1066" w:type="dxa"/>
          </w:tcPr>
          <w:p w14:paraId="26D90146" w14:textId="7F383AF0" w:rsidR="005E0972" w:rsidRPr="009F3928" w:rsidRDefault="00133CEB" w:rsidP="005E0972">
            <w:pPr>
              <w:autoSpaceDE w:val="0"/>
              <w:autoSpaceDN w:val="0"/>
              <w:adjustRightInd w:val="0"/>
              <w:spacing w:before="60" w:afterLines="60" w:after="144"/>
              <w:jc w:val="left"/>
              <w:rPr>
                <w:sz w:val="20"/>
                <w:szCs w:val="20"/>
                <w:lang w:val="en-GB"/>
              </w:rPr>
            </w:pPr>
            <w:r w:rsidRPr="009F3928">
              <w:rPr>
                <w:sz w:val="20"/>
                <w:szCs w:val="20"/>
                <w:lang w:val="en-GB"/>
              </w:rPr>
              <w:t>Number</w:t>
            </w:r>
          </w:p>
        </w:tc>
        <w:tc>
          <w:tcPr>
            <w:tcW w:w="1066" w:type="dxa"/>
          </w:tcPr>
          <w:p w14:paraId="04F32D6A" w14:textId="01794250" w:rsidR="005A4502" w:rsidRPr="009F3928" w:rsidRDefault="005A4502" w:rsidP="005A4502">
            <w:pPr>
              <w:autoSpaceDE w:val="0"/>
              <w:autoSpaceDN w:val="0"/>
              <w:adjustRightInd w:val="0"/>
              <w:spacing w:after="0"/>
              <w:jc w:val="left"/>
              <w:rPr>
                <w:rFonts w:cs="Times New Roman"/>
                <w:color w:val="0D0D0D"/>
                <w:sz w:val="20"/>
                <w:szCs w:val="20"/>
                <w:lang w:val="en-GB"/>
              </w:rPr>
            </w:pPr>
            <w:r w:rsidRPr="009F3928">
              <w:rPr>
                <w:rFonts w:cs="Times New Roman"/>
                <w:color w:val="0D0D0D"/>
                <w:sz w:val="20"/>
                <w:szCs w:val="20"/>
                <w:lang w:val="en-GB"/>
              </w:rPr>
              <w:t>2,59</w:t>
            </w:r>
          </w:p>
          <w:p w14:paraId="6E1298D8" w14:textId="0021F9DA" w:rsidR="005E0972" w:rsidRPr="009F3928" w:rsidRDefault="005A4502" w:rsidP="005A4502">
            <w:pPr>
              <w:autoSpaceDE w:val="0"/>
              <w:autoSpaceDN w:val="0"/>
              <w:adjustRightInd w:val="0"/>
              <w:spacing w:before="60" w:afterLines="60" w:after="144"/>
              <w:jc w:val="left"/>
              <w:rPr>
                <w:sz w:val="20"/>
                <w:szCs w:val="20"/>
                <w:lang w:val="en-GB"/>
              </w:rPr>
            </w:pPr>
            <w:r w:rsidRPr="009F3928">
              <w:rPr>
                <w:rFonts w:cs="Times New Roman"/>
                <w:color w:val="0D0D0D"/>
                <w:sz w:val="20"/>
                <w:szCs w:val="20"/>
                <w:lang w:val="en-GB"/>
              </w:rPr>
              <w:t>(Authoritarian Regime 2020)</w:t>
            </w:r>
          </w:p>
        </w:tc>
        <w:tc>
          <w:tcPr>
            <w:tcW w:w="1315" w:type="dxa"/>
          </w:tcPr>
          <w:p w14:paraId="110B0F6B" w14:textId="77777777" w:rsidR="005A4502" w:rsidRPr="009F3928" w:rsidRDefault="005A4502" w:rsidP="005A4502">
            <w:pPr>
              <w:autoSpaceDE w:val="0"/>
              <w:autoSpaceDN w:val="0"/>
              <w:adjustRightInd w:val="0"/>
              <w:spacing w:after="0"/>
              <w:jc w:val="left"/>
              <w:rPr>
                <w:rFonts w:cs="Times New Roman"/>
                <w:color w:val="0D0D0D"/>
                <w:sz w:val="20"/>
                <w:szCs w:val="20"/>
                <w:lang w:val="en-GB"/>
              </w:rPr>
            </w:pPr>
            <w:r w:rsidRPr="009F3928">
              <w:rPr>
                <w:rFonts w:cs="Times New Roman"/>
                <w:color w:val="0D0D0D"/>
                <w:sz w:val="20"/>
                <w:szCs w:val="20"/>
                <w:lang w:val="en-GB"/>
              </w:rPr>
              <w:t>&gt;4</w:t>
            </w:r>
          </w:p>
          <w:p w14:paraId="5A7E7C12" w14:textId="772B85E2" w:rsidR="005E0972" w:rsidRPr="009F3928" w:rsidRDefault="005A4502" w:rsidP="005A4502">
            <w:pPr>
              <w:autoSpaceDE w:val="0"/>
              <w:autoSpaceDN w:val="0"/>
              <w:adjustRightInd w:val="0"/>
              <w:spacing w:before="60" w:afterLines="60" w:after="144"/>
              <w:jc w:val="left"/>
              <w:rPr>
                <w:sz w:val="20"/>
                <w:szCs w:val="20"/>
                <w:lang w:val="en-GB"/>
              </w:rPr>
            </w:pPr>
            <w:r w:rsidRPr="009F3928">
              <w:rPr>
                <w:rFonts w:cs="Times New Roman"/>
                <w:color w:val="0D0D0D"/>
                <w:sz w:val="20"/>
                <w:szCs w:val="20"/>
                <w:lang w:val="en-GB"/>
              </w:rPr>
              <w:t xml:space="preserve"> (2026)</w:t>
            </w:r>
          </w:p>
        </w:tc>
        <w:tc>
          <w:tcPr>
            <w:tcW w:w="1579" w:type="dxa"/>
          </w:tcPr>
          <w:p w14:paraId="416AA411" w14:textId="5AF88E3B" w:rsidR="005E0972" w:rsidRPr="009F3928" w:rsidRDefault="005E0972" w:rsidP="005E0972">
            <w:pPr>
              <w:autoSpaceDE w:val="0"/>
              <w:autoSpaceDN w:val="0"/>
              <w:adjustRightInd w:val="0"/>
              <w:spacing w:before="60" w:afterLines="60" w:after="144"/>
              <w:jc w:val="left"/>
              <w:rPr>
                <w:sz w:val="20"/>
                <w:szCs w:val="20"/>
                <w:lang w:val="en-GB"/>
              </w:rPr>
            </w:pPr>
            <w:r w:rsidRPr="009F3928">
              <w:rPr>
                <w:rFonts w:cs="Times New Roman"/>
                <w:color w:val="0D0D0D"/>
                <w:sz w:val="20"/>
                <w:szCs w:val="20"/>
                <w:lang w:val="en-GB"/>
              </w:rPr>
              <w:t>Economist Intelligence Unit</w:t>
            </w:r>
          </w:p>
        </w:tc>
        <w:tc>
          <w:tcPr>
            <w:tcW w:w="1839" w:type="dxa"/>
            <w:shd w:val="clear" w:color="auto" w:fill="D9D9D9" w:themeFill="background1" w:themeFillShade="D9"/>
          </w:tcPr>
          <w:p w14:paraId="3324FEBD" w14:textId="77777777" w:rsidR="005E0972" w:rsidRPr="008658FD" w:rsidRDefault="005E0972" w:rsidP="005E0972">
            <w:pPr>
              <w:spacing w:before="60" w:afterLines="60" w:after="144"/>
              <w:jc w:val="left"/>
              <w:rPr>
                <w:sz w:val="18"/>
                <w:szCs w:val="18"/>
                <w:lang w:val="en-GB"/>
              </w:rPr>
            </w:pPr>
            <w:r w:rsidRPr="008658FD">
              <w:rPr>
                <w:i/>
                <w:sz w:val="18"/>
                <w:szCs w:val="18"/>
                <w:lang w:val="en-GB"/>
              </w:rPr>
              <w:t>Not applicable at impact level</w:t>
            </w:r>
          </w:p>
        </w:tc>
      </w:tr>
      <w:tr w:rsidR="004E2ACF" w:rsidRPr="008658FD" w14:paraId="5E9197BB" w14:textId="77777777" w:rsidTr="008509C4">
        <w:trPr>
          <w:trHeight w:val="636"/>
          <w:jc w:val="center"/>
        </w:trPr>
        <w:tc>
          <w:tcPr>
            <w:tcW w:w="988" w:type="dxa"/>
            <w:textDirection w:val="btLr"/>
          </w:tcPr>
          <w:p w14:paraId="76F3A000" w14:textId="66AA5CD7" w:rsidR="004E2ACF" w:rsidRPr="008658FD" w:rsidRDefault="004E2ACF" w:rsidP="005A4502">
            <w:pPr>
              <w:tabs>
                <w:tab w:val="left" w:pos="0"/>
                <w:tab w:val="left" w:pos="132"/>
              </w:tabs>
              <w:spacing w:before="60" w:afterLines="60" w:after="144"/>
              <w:ind w:left="113" w:right="113" w:hanging="101"/>
              <w:jc w:val="center"/>
              <w:rPr>
                <w:b/>
                <w:i/>
                <w:sz w:val="18"/>
                <w:szCs w:val="18"/>
                <w:lang w:val="en-GB"/>
              </w:rPr>
            </w:pPr>
            <w:r w:rsidRPr="008658FD">
              <w:rPr>
                <w:b/>
                <w:i/>
                <w:sz w:val="20"/>
                <w:lang w:val="en-GB"/>
              </w:rPr>
              <w:t>Outcome (s) (Specific objective(s)</w:t>
            </w:r>
          </w:p>
        </w:tc>
        <w:tc>
          <w:tcPr>
            <w:tcW w:w="3259" w:type="dxa"/>
            <w:tcBorders>
              <w:top w:val="single" w:sz="4" w:space="0" w:color="auto"/>
              <w:left w:val="single" w:sz="4" w:space="0" w:color="auto"/>
              <w:bottom w:val="single" w:sz="4" w:space="0" w:color="auto"/>
              <w:right w:val="single" w:sz="4" w:space="0" w:color="auto"/>
            </w:tcBorders>
          </w:tcPr>
          <w:p w14:paraId="62634D7C" w14:textId="5490FCA0" w:rsidR="00880291" w:rsidRDefault="004E2ACF" w:rsidP="00611E06">
            <w:pPr>
              <w:autoSpaceDE w:val="0"/>
              <w:autoSpaceDN w:val="0"/>
              <w:adjustRightInd w:val="0"/>
              <w:spacing w:before="60" w:afterLines="60" w:after="144"/>
              <w:rPr>
                <w:iCs/>
                <w:sz w:val="20"/>
                <w:lang w:val="en-GB"/>
              </w:rPr>
            </w:pPr>
            <w:r w:rsidRPr="00611E06">
              <w:rPr>
                <w:rFonts w:cs="Times New Roman"/>
                <w:color w:val="000000"/>
                <w:sz w:val="20"/>
                <w:szCs w:val="20"/>
                <w:lang w:val="en-GB"/>
              </w:rPr>
              <w:t xml:space="preserve">The </w:t>
            </w:r>
            <w:r w:rsidRPr="00611E06">
              <w:rPr>
                <w:rFonts w:cs="Times New Roman"/>
                <w:b/>
                <w:bCs/>
                <w:color w:val="000000"/>
                <w:sz w:val="20"/>
                <w:szCs w:val="20"/>
                <w:lang w:val="en-GB"/>
              </w:rPr>
              <w:t>Specific Objective</w:t>
            </w:r>
            <w:r w:rsidRPr="00611E06">
              <w:rPr>
                <w:rFonts w:cs="Times New Roman"/>
                <w:color w:val="000000"/>
                <w:sz w:val="20"/>
                <w:szCs w:val="20"/>
                <w:lang w:val="en-GB"/>
              </w:rPr>
              <w:t xml:space="preserve"> (Outcome)</w:t>
            </w:r>
            <w:r w:rsidR="00D83300">
              <w:rPr>
                <w:rFonts w:cs="Times New Roman"/>
                <w:color w:val="000000"/>
                <w:sz w:val="20"/>
                <w:szCs w:val="20"/>
                <w:lang w:val="en-GB"/>
              </w:rPr>
              <w:t xml:space="preserve"> is</w:t>
            </w:r>
            <w:r w:rsidRPr="00611E06">
              <w:rPr>
                <w:rFonts w:cs="Times New Roman"/>
                <w:color w:val="000000"/>
                <w:sz w:val="20"/>
                <w:szCs w:val="20"/>
                <w:lang w:val="en-GB"/>
              </w:rPr>
              <w:t xml:space="preserve"> to </w:t>
            </w:r>
            <w:r w:rsidRPr="00611E06">
              <w:rPr>
                <w:iCs/>
                <w:sz w:val="20"/>
                <w:lang w:val="en-GB"/>
              </w:rPr>
              <w:t xml:space="preserve">support </w:t>
            </w:r>
            <w:r w:rsidRPr="00D777E8">
              <w:rPr>
                <w:iCs/>
                <w:sz w:val="20"/>
                <w:lang w:val="en-GB"/>
              </w:rPr>
              <w:t xml:space="preserve">Belarusian students in accessing </w:t>
            </w:r>
            <w:r w:rsidR="003D7F37" w:rsidRPr="00D777E8">
              <w:rPr>
                <w:iCs/>
                <w:sz w:val="20"/>
                <w:lang w:val="en-GB"/>
              </w:rPr>
              <w:t>advanced</w:t>
            </w:r>
            <w:r w:rsidRPr="00D777E8">
              <w:rPr>
                <w:iCs/>
                <w:sz w:val="20"/>
                <w:lang w:val="en-GB"/>
              </w:rPr>
              <w:t xml:space="preserve"> education.</w:t>
            </w:r>
            <w:r w:rsidR="00880291" w:rsidRPr="00D777E8">
              <w:rPr>
                <w:iCs/>
                <w:sz w:val="20"/>
                <w:lang w:val="en-GB"/>
              </w:rPr>
              <w:t xml:space="preserve"> </w:t>
            </w:r>
          </w:p>
          <w:p w14:paraId="7B4E0D9E" w14:textId="16A072E7" w:rsidR="00611E06" w:rsidRPr="00880291" w:rsidRDefault="00880291" w:rsidP="00611E06">
            <w:pPr>
              <w:autoSpaceDE w:val="0"/>
              <w:autoSpaceDN w:val="0"/>
              <w:adjustRightInd w:val="0"/>
              <w:spacing w:before="60" w:afterLines="60" w:after="144"/>
              <w:rPr>
                <w:iCs/>
                <w:sz w:val="20"/>
                <w:lang w:val="en-GB"/>
              </w:rPr>
            </w:pPr>
            <w:r w:rsidRPr="00C14F15">
              <w:rPr>
                <w:rFonts w:cs="Times New Roman"/>
                <w:sz w:val="20"/>
              </w:rPr>
              <w:t>(FNLC ou</w:t>
            </w:r>
            <w:r>
              <w:rPr>
                <w:rFonts w:cs="Times New Roman"/>
                <w:sz w:val="20"/>
              </w:rPr>
              <w:t>tcome</w:t>
            </w:r>
            <w:r w:rsidRPr="00C14F15">
              <w:rPr>
                <w:rFonts w:cs="Times New Roman"/>
                <w:sz w:val="20"/>
              </w:rPr>
              <w:t>)</w:t>
            </w:r>
          </w:p>
        </w:tc>
        <w:tc>
          <w:tcPr>
            <w:tcW w:w="1940" w:type="dxa"/>
            <w:tcBorders>
              <w:top w:val="single" w:sz="4" w:space="0" w:color="auto"/>
              <w:left w:val="single" w:sz="4" w:space="0" w:color="auto"/>
              <w:bottom w:val="single" w:sz="4" w:space="0" w:color="auto"/>
              <w:right w:val="single" w:sz="4" w:space="0" w:color="auto"/>
            </w:tcBorders>
          </w:tcPr>
          <w:p w14:paraId="7C6D5CB5" w14:textId="6D47CF69" w:rsidR="004E2ACF" w:rsidRPr="009F3928" w:rsidRDefault="004E2ACF" w:rsidP="005A4502">
            <w:pPr>
              <w:autoSpaceDE w:val="0"/>
              <w:autoSpaceDN w:val="0"/>
              <w:adjustRightInd w:val="0"/>
              <w:spacing w:before="100" w:beforeAutospacing="1" w:after="100" w:afterAutospacing="1"/>
              <w:jc w:val="left"/>
              <w:rPr>
                <w:rFonts w:cs="Calibri"/>
                <w:iCs/>
                <w:sz w:val="20"/>
                <w:szCs w:val="20"/>
                <w:lang w:val="en-GB"/>
              </w:rPr>
            </w:pPr>
            <w:r w:rsidRPr="009F3928">
              <w:rPr>
                <w:rFonts w:cs="Calibri"/>
                <w:iCs/>
                <w:sz w:val="20"/>
                <w:szCs w:val="20"/>
                <w:lang w:val="en-GB"/>
              </w:rPr>
              <w:t xml:space="preserve">1. </w:t>
            </w:r>
            <w:r w:rsidR="00CD60B6" w:rsidRPr="009F3928">
              <w:rPr>
                <w:rFonts w:cs="Calibri"/>
                <w:iCs/>
                <w:sz w:val="20"/>
                <w:szCs w:val="20"/>
                <w:lang w:val="en-GB"/>
              </w:rPr>
              <w:t xml:space="preserve">Number of Belarusian </w:t>
            </w:r>
            <w:r w:rsidR="00301DC9">
              <w:rPr>
                <w:rFonts w:cs="Calibri"/>
                <w:iCs/>
                <w:sz w:val="20"/>
                <w:szCs w:val="20"/>
                <w:lang w:val="en-GB"/>
              </w:rPr>
              <w:t>M</w:t>
            </w:r>
            <w:r w:rsidR="00CD60B6" w:rsidRPr="009F3928">
              <w:rPr>
                <w:rFonts w:cs="Calibri"/>
                <w:iCs/>
                <w:sz w:val="20"/>
                <w:szCs w:val="20"/>
                <w:lang w:val="en-GB"/>
              </w:rPr>
              <w:t>aster’s students supported by the cost-of-living scholarship scheme</w:t>
            </w:r>
            <w:r w:rsidR="006D704A" w:rsidRPr="009F3928">
              <w:rPr>
                <w:rFonts w:cs="Calibri"/>
                <w:iCs/>
                <w:sz w:val="20"/>
                <w:szCs w:val="20"/>
                <w:lang w:val="en-GB"/>
              </w:rPr>
              <w:t xml:space="preserve"> per </w:t>
            </w:r>
            <w:r w:rsidR="00F46BF0" w:rsidRPr="009F3928">
              <w:rPr>
                <w:rFonts w:cs="Calibri"/>
                <w:iCs/>
                <w:sz w:val="20"/>
                <w:szCs w:val="20"/>
                <w:lang w:val="en-GB"/>
              </w:rPr>
              <w:t xml:space="preserve">academic </w:t>
            </w:r>
            <w:r w:rsidR="00CD60B6" w:rsidRPr="009F3928">
              <w:rPr>
                <w:rFonts w:cs="Calibri"/>
                <w:iCs/>
                <w:sz w:val="20"/>
                <w:szCs w:val="20"/>
                <w:lang w:val="en-GB"/>
              </w:rPr>
              <w:t>year.</w:t>
            </w:r>
            <w:r w:rsidRPr="009F3928">
              <w:rPr>
                <w:sz w:val="20"/>
                <w:szCs w:val="20"/>
                <w:lang w:val="en-GB"/>
              </w:rPr>
              <w:t xml:space="preserve"> </w:t>
            </w:r>
          </w:p>
        </w:tc>
        <w:tc>
          <w:tcPr>
            <w:tcW w:w="1066" w:type="dxa"/>
            <w:tcBorders>
              <w:top w:val="single" w:sz="4" w:space="0" w:color="auto"/>
              <w:left w:val="single" w:sz="4" w:space="0" w:color="auto"/>
              <w:bottom w:val="single" w:sz="4" w:space="0" w:color="auto"/>
              <w:right w:val="single" w:sz="4" w:space="0" w:color="auto"/>
            </w:tcBorders>
          </w:tcPr>
          <w:p w14:paraId="0A8A84C4" w14:textId="5DE53B77" w:rsidR="004E2ACF" w:rsidRPr="009F3928" w:rsidRDefault="004E2ACF" w:rsidP="005A4502">
            <w:pPr>
              <w:spacing w:before="60" w:afterLines="60" w:after="144"/>
              <w:jc w:val="left"/>
              <w:rPr>
                <w:sz w:val="20"/>
                <w:szCs w:val="20"/>
                <w:lang w:val="en-GB"/>
              </w:rPr>
            </w:pPr>
            <w:r w:rsidRPr="009F3928">
              <w:rPr>
                <w:sz w:val="20"/>
                <w:szCs w:val="20"/>
                <w:lang w:val="en-GB"/>
              </w:rPr>
              <w:t>YES</w:t>
            </w:r>
          </w:p>
        </w:tc>
        <w:tc>
          <w:tcPr>
            <w:tcW w:w="1066" w:type="dxa"/>
            <w:tcBorders>
              <w:top w:val="single" w:sz="4" w:space="0" w:color="auto"/>
              <w:left w:val="single" w:sz="4" w:space="0" w:color="auto"/>
              <w:bottom w:val="single" w:sz="4" w:space="0" w:color="auto"/>
              <w:right w:val="single" w:sz="4" w:space="0" w:color="auto"/>
            </w:tcBorders>
          </w:tcPr>
          <w:p w14:paraId="1D6D5408" w14:textId="7A43818B" w:rsidR="004E2ACF" w:rsidRPr="009F3928" w:rsidRDefault="00CD60B6" w:rsidP="005A4502">
            <w:pPr>
              <w:spacing w:after="0"/>
              <w:jc w:val="left"/>
              <w:rPr>
                <w:sz w:val="20"/>
                <w:szCs w:val="20"/>
                <w:lang w:val="en-GB"/>
              </w:rPr>
            </w:pPr>
            <w:r w:rsidRPr="009F3928">
              <w:rPr>
                <w:sz w:val="20"/>
                <w:szCs w:val="20"/>
                <w:lang w:val="en-GB"/>
              </w:rPr>
              <w:t xml:space="preserve">Student </w:t>
            </w:r>
          </w:p>
          <w:p w14:paraId="7F14142A" w14:textId="4D6E3BCC" w:rsidR="00924669" w:rsidRPr="009F3928" w:rsidRDefault="00924669" w:rsidP="005A4502">
            <w:pPr>
              <w:spacing w:after="0"/>
              <w:jc w:val="left"/>
              <w:rPr>
                <w:sz w:val="20"/>
                <w:szCs w:val="20"/>
                <w:lang w:val="en-GB"/>
              </w:rPr>
            </w:pPr>
          </w:p>
        </w:tc>
        <w:tc>
          <w:tcPr>
            <w:tcW w:w="1066" w:type="dxa"/>
            <w:tcBorders>
              <w:top w:val="single" w:sz="4" w:space="0" w:color="auto"/>
              <w:left w:val="single" w:sz="4" w:space="0" w:color="auto"/>
              <w:bottom w:val="single" w:sz="4" w:space="0" w:color="auto"/>
              <w:right w:val="single" w:sz="4" w:space="0" w:color="auto"/>
            </w:tcBorders>
          </w:tcPr>
          <w:p w14:paraId="4A8B5326" w14:textId="77777777" w:rsidR="004E2ACF" w:rsidRPr="009F3928" w:rsidRDefault="004E2ACF" w:rsidP="005A4502">
            <w:pPr>
              <w:spacing w:after="0"/>
              <w:jc w:val="left"/>
              <w:rPr>
                <w:rFonts w:cs="Calibri"/>
                <w:sz w:val="20"/>
                <w:szCs w:val="20"/>
                <w:lang w:val="en-GB"/>
              </w:rPr>
            </w:pPr>
            <w:r w:rsidRPr="009F3928">
              <w:rPr>
                <w:rFonts w:cs="Calibri"/>
                <w:sz w:val="20"/>
                <w:szCs w:val="20"/>
                <w:lang w:val="en-GB"/>
              </w:rPr>
              <w:t xml:space="preserve">0 </w:t>
            </w:r>
          </w:p>
          <w:p w14:paraId="5E01B963" w14:textId="2CE9DB96" w:rsidR="004E2ACF" w:rsidRPr="009F3928" w:rsidRDefault="004E2ACF" w:rsidP="005A4502">
            <w:pPr>
              <w:spacing w:after="0"/>
              <w:jc w:val="left"/>
              <w:rPr>
                <w:rFonts w:cs="Calibri"/>
                <w:sz w:val="20"/>
                <w:szCs w:val="20"/>
                <w:lang w:val="en-GB"/>
              </w:rPr>
            </w:pPr>
            <w:r w:rsidRPr="009F3928">
              <w:rPr>
                <w:rFonts w:cs="Calibri"/>
                <w:sz w:val="20"/>
                <w:szCs w:val="20"/>
                <w:lang w:val="en-GB"/>
              </w:rPr>
              <w:t>(2025)</w:t>
            </w:r>
          </w:p>
          <w:p w14:paraId="40567B9B" w14:textId="4D75A943" w:rsidR="004E2ACF" w:rsidRPr="009F3928" w:rsidRDefault="004E2ACF" w:rsidP="005A4502">
            <w:pPr>
              <w:spacing w:after="0"/>
              <w:jc w:val="left"/>
              <w:rPr>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352F1716" w14:textId="2A79AE6E" w:rsidR="004E2ACF" w:rsidRPr="009F3928" w:rsidRDefault="005D2F66" w:rsidP="005A4502">
            <w:pPr>
              <w:spacing w:after="0"/>
              <w:jc w:val="left"/>
              <w:rPr>
                <w:sz w:val="20"/>
                <w:szCs w:val="20"/>
                <w:lang w:val="en-GB"/>
              </w:rPr>
            </w:pPr>
            <w:r w:rsidRPr="009F3928">
              <w:rPr>
                <w:sz w:val="20"/>
                <w:szCs w:val="20"/>
                <w:lang w:val="en-GB"/>
              </w:rPr>
              <w:t xml:space="preserve">9 </w:t>
            </w:r>
          </w:p>
          <w:p w14:paraId="6A956F5F" w14:textId="77777777" w:rsidR="004E2ACF" w:rsidRPr="009F3928" w:rsidRDefault="004E2ACF" w:rsidP="005A4502">
            <w:pPr>
              <w:spacing w:after="0"/>
              <w:jc w:val="left"/>
              <w:rPr>
                <w:sz w:val="20"/>
                <w:szCs w:val="20"/>
                <w:lang w:val="en-GB"/>
              </w:rPr>
            </w:pPr>
            <w:r w:rsidRPr="009F3928">
              <w:rPr>
                <w:sz w:val="20"/>
                <w:szCs w:val="20"/>
                <w:lang w:val="en-GB"/>
              </w:rPr>
              <w:t>(2026)</w:t>
            </w:r>
          </w:p>
          <w:p w14:paraId="061C9E68" w14:textId="01DE7B30" w:rsidR="004E2ACF" w:rsidRPr="009F3928" w:rsidRDefault="004E2ACF" w:rsidP="005A4502">
            <w:pPr>
              <w:spacing w:after="0"/>
              <w:jc w:val="left"/>
              <w:rPr>
                <w:rFonts w:cs="Calibri"/>
                <w:sz w:val="20"/>
                <w:szCs w:val="20"/>
                <w:lang w:val="en-GB"/>
              </w:rPr>
            </w:pPr>
          </w:p>
          <w:p w14:paraId="50D0B5F6" w14:textId="45F94017" w:rsidR="004E2ACF" w:rsidRPr="009F3928" w:rsidRDefault="004E2ACF" w:rsidP="005A4502">
            <w:pPr>
              <w:spacing w:before="60" w:afterLines="60" w:after="144"/>
              <w:jc w:val="left"/>
              <w:rPr>
                <w:sz w:val="20"/>
                <w:szCs w:val="20"/>
                <w:lang w:val="en-GB"/>
              </w:rPr>
            </w:pPr>
          </w:p>
        </w:tc>
        <w:tc>
          <w:tcPr>
            <w:tcW w:w="1579" w:type="dxa"/>
            <w:tcBorders>
              <w:top w:val="single" w:sz="4" w:space="0" w:color="auto"/>
              <w:left w:val="single" w:sz="4" w:space="0" w:color="auto"/>
              <w:bottom w:val="single" w:sz="4" w:space="0" w:color="auto"/>
              <w:right w:val="single" w:sz="4" w:space="0" w:color="auto"/>
            </w:tcBorders>
          </w:tcPr>
          <w:p w14:paraId="71E1713C" w14:textId="656A2CE1" w:rsidR="004E2ACF" w:rsidRPr="009F3928" w:rsidRDefault="004E2ACF" w:rsidP="005A4502">
            <w:pPr>
              <w:autoSpaceDE w:val="0"/>
              <w:autoSpaceDN w:val="0"/>
              <w:adjustRightInd w:val="0"/>
              <w:spacing w:before="60" w:afterLines="60" w:after="144"/>
              <w:jc w:val="left"/>
              <w:rPr>
                <w:sz w:val="20"/>
                <w:szCs w:val="20"/>
                <w:lang w:val="en-GB"/>
              </w:rPr>
            </w:pPr>
            <w:proofErr w:type="gramStart"/>
            <w:r w:rsidRPr="009F3928">
              <w:rPr>
                <w:rFonts w:cs="Calibri"/>
                <w:sz w:val="20"/>
                <w:szCs w:val="20"/>
                <w:lang w:val="en-GB"/>
              </w:rPr>
              <w:t>Reports</w:t>
            </w:r>
            <w:r w:rsidR="00BB2222" w:rsidRPr="009F3928">
              <w:rPr>
                <w:rFonts w:cs="Calibri"/>
                <w:sz w:val="20"/>
                <w:szCs w:val="20"/>
                <w:lang w:val="en-GB"/>
              </w:rPr>
              <w:t>,  agreements</w:t>
            </w:r>
            <w:proofErr w:type="gramEnd"/>
            <w:r w:rsidR="00BB2222" w:rsidRPr="009F3928">
              <w:rPr>
                <w:rFonts w:cs="Calibri"/>
                <w:sz w:val="20"/>
                <w:szCs w:val="20"/>
                <w:lang w:val="en-GB"/>
              </w:rPr>
              <w:t xml:space="preserve"> with the students/ universities, state students’ register</w:t>
            </w:r>
          </w:p>
        </w:tc>
        <w:tc>
          <w:tcPr>
            <w:tcW w:w="1839" w:type="dxa"/>
            <w:vMerge w:val="restart"/>
            <w:tcBorders>
              <w:top w:val="single" w:sz="4" w:space="0" w:color="auto"/>
              <w:left w:val="single" w:sz="4" w:space="0" w:color="auto"/>
              <w:right w:val="single" w:sz="4" w:space="0" w:color="auto"/>
            </w:tcBorders>
          </w:tcPr>
          <w:p w14:paraId="70C206F3" w14:textId="2DFE41E4" w:rsidR="004E2ACF" w:rsidRPr="008658FD" w:rsidRDefault="00D36DC4" w:rsidP="005A4502">
            <w:pPr>
              <w:autoSpaceDE w:val="0"/>
              <w:autoSpaceDN w:val="0"/>
              <w:adjustRightInd w:val="0"/>
              <w:spacing w:before="60" w:afterLines="60" w:after="144"/>
              <w:jc w:val="left"/>
              <w:rPr>
                <w:sz w:val="18"/>
                <w:szCs w:val="18"/>
                <w:lang w:val="en-GB"/>
              </w:rPr>
            </w:pPr>
            <w:r w:rsidRPr="00D36DC4">
              <w:rPr>
                <w:sz w:val="18"/>
                <w:szCs w:val="18"/>
                <w:lang w:val="en-GB"/>
              </w:rPr>
              <w:t>All awarded students are motivated and able to complete the full academic year for which they were awarded the scholarship.</w:t>
            </w:r>
          </w:p>
        </w:tc>
      </w:tr>
      <w:tr w:rsidR="004E2ACF" w:rsidRPr="008658FD" w14:paraId="0C538EF8" w14:textId="77777777" w:rsidTr="008509C4">
        <w:trPr>
          <w:trHeight w:val="1627"/>
          <w:jc w:val="center"/>
        </w:trPr>
        <w:tc>
          <w:tcPr>
            <w:tcW w:w="988" w:type="dxa"/>
            <w:shd w:val="clear" w:color="auto" w:fill="D9D9D9" w:themeFill="background1" w:themeFillShade="D9"/>
            <w:textDirection w:val="btLr"/>
          </w:tcPr>
          <w:p w14:paraId="5414B1EE" w14:textId="77777777" w:rsidR="004E2ACF" w:rsidRPr="008658FD" w:rsidRDefault="004E2ACF" w:rsidP="008B5F0D">
            <w:pPr>
              <w:tabs>
                <w:tab w:val="left" w:pos="0"/>
                <w:tab w:val="left" w:pos="132"/>
              </w:tabs>
              <w:spacing w:before="60" w:afterLines="60" w:after="144"/>
              <w:ind w:left="113" w:right="113" w:hanging="101"/>
              <w:jc w:val="center"/>
              <w:rPr>
                <w:b/>
                <w:i/>
                <w:sz w:val="18"/>
                <w:szCs w:val="18"/>
                <w:lang w:val="en-GB"/>
              </w:rPr>
            </w:pPr>
            <w:r w:rsidRPr="008658FD">
              <w:rPr>
                <w:b/>
                <w:i/>
                <w:sz w:val="20"/>
                <w:lang w:val="en-GB"/>
              </w:rPr>
              <w:t>Outputs</w:t>
            </w:r>
          </w:p>
        </w:tc>
        <w:tc>
          <w:tcPr>
            <w:tcW w:w="3259" w:type="dxa"/>
            <w:shd w:val="clear" w:color="auto" w:fill="FFFFFF" w:themeFill="background1"/>
          </w:tcPr>
          <w:p w14:paraId="4A448308" w14:textId="77777777" w:rsidR="00880291" w:rsidRDefault="004E2ACF" w:rsidP="008B5F0D">
            <w:pPr>
              <w:autoSpaceDE w:val="0"/>
              <w:autoSpaceDN w:val="0"/>
              <w:adjustRightInd w:val="0"/>
              <w:spacing w:before="60" w:afterLines="60" w:after="144"/>
              <w:jc w:val="left"/>
              <w:rPr>
                <w:sz w:val="20"/>
                <w:lang w:val="en-GB"/>
              </w:rPr>
            </w:pPr>
            <w:r w:rsidRPr="008658FD">
              <w:rPr>
                <w:rFonts w:eastAsia="Calibri"/>
                <w:sz w:val="18"/>
                <w:szCs w:val="18"/>
                <w:lang w:val="en-GB"/>
              </w:rPr>
              <w:t xml:space="preserve">1.1 </w:t>
            </w:r>
            <w:r w:rsidR="00006BBB" w:rsidRPr="00005BB0">
              <w:rPr>
                <w:rFonts w:cs="Calibri"/>
                <w:iCs/>
                <w:sz w:val="20"/>
                <w:szCs w:val="20"/>
                <w:lang w:val="en-GB"/>
              </w:rPr>
              <w:t xml:space="preserve">Implementation of the </w:t>
            </w:r>
            <w:r w:rsidR="00006BBB" w:rsidRPr="00005BB0">
              <w:rPr>
                <w:sz w:val="20"/>
                <w:lang w:val="en-GB"/>
              </w:rPr>
              <w:t>cost-of-living scholarship scheme for Belarusian students.</w:t>
            </w:r>
            <w:r w:rsidR="00880291">
              <w:rPr>
                <w:sz w:val="20"/>
                <w:lang w:val="en-GB"/>
              </w:rPr>
              <w:t xml:space="preserve"> </w:t>
            </w:r>
          </w:p>
          <w:p w14:paraId="3D0A9A90" w14:textId="2464CE21" w:rsidR="004E2ACF" w:rsidRDefault="00880291" w:rsidP="008B5F0D">
            <w:pPr>
              <w:autoSpaceDE w:val="0"/>
              <w:autoSpaceDN w:val="0"/>
              <w:adjustRightInd w:val="0"/>
              <w:spacing w:before="60" w:afterLines="60" w:after="144"/>
              <w:jc w:val="left"/>
              <w:rPr>
                <w:sz w:val="20"/>
                <w:lang w:val="en-GB"/>
              </w:rPr>
            </w:pPr>
            <w:r w:rsidRPr="00C14F15">
              <w:rPr>
                <w:rFonts w:cs="Times New Roman"/>
                <w:sz w:val="20"/>
              </w:rPr>
              <w:t>(FNLC output)</w:t>
            </w:r>
          </w:p>
          <w:p w14:paraId="26099C22" w14:textId="5F0164A6" w:rsidR="00611E06" w:rsidRPr="00C171E1" w:rsidRDefault="00611E06" w:rsidP="008B5F0D">
            <w:pPr>
              <w:autoSpaceDE w:val="0"/>
              <w:autoSpaceDN w:val="0"/>
              <w:adjustRightInd w:val="0"/>
              <w:spacing w:before="60" w:afterLines="60" w:after="144"/>
              <w:jc w:val="left"/>
              <w:rPr>
                <w:i/>
                <w:sz w:val="18"/>
                <w:szCs w:val="18"/>
                <w:lang w:val="en-GB"/>
              </w:rPr>
            </w:pPr>
          </w:p>
        </w:tc>
        <w:tc>
          <w:tcPr>
            <w:tcW w:w="1940" w:type="dxa"/>
            <w:shd w:val="clear" w:color="auto" w:fill="FFFFFF" w:themeFill="background1"/>
          </w:tcPr>
          <w:p w14:paraId="59B79340" w14:textId="098E8976" w:rsidR="00924669" w:rsidRPr="009F3928" w:rsidRDefault="004E2ACF" w:rsidP="008B5F0D">
            <w:pPr>
              <w:autoSpaceDE w:val="0"/>
              <w:autoSpaceDN w:val="0"/>
              <w:adjustRightInd w:val="0"/>
              <w:spacing w:before="60" w:afterLines="60" w:after="144"/>
              <w:rPr>
                <w:rFonts w:cs="Calibri"/>
                <w:iCs/>
                <w:sz w:val="20"/>
                <w:szCs w:val="20"/>
                <w:lang w:val="en-GB"/>
              </w:rPr>
            </w:pPr>
            <w:r w:rsidRPr="009F3928">
              <w:rPr>
                <w:sz w:val="20"/>
                <w:szCs w:val="20"/>
                <w:lang w:val="en-GB"/>
              </w:rPr>
              <w:t xml:space="preserve">1.1. </w:t>
            </w:r>
            <w:r w:rsidR="00CD60B6" w:rsidRPr="009F3928">
              <w:rPr>
                <w:sz w:val="20"/>
                <w:szCs w:val="20"/>
                <w:lang w:val="en-GB"/>
              </w:rPr>
              <w:t xml:space="preserve">Number of monthly scholarships paid to the awarded </w:t>
            </w:r>
            <w:proofErr w:type="gramStart"/>
            <w:r w:rsidR="00301DC9">
              <w:rPr>
                <w:sz w:val="20"/>
                <w:szCs w:val="20"/>
                <w:lang w:val="en-GB"/>
              </w:rPr>
              <w:t>M</w:t>
            </w:r>
            <w:r w:rsidR="00CD60B6" w:rsidRPr="009F3928">
              <w:rPr>
                <w:sz w:val="20"/>
                <w:szCs w:val="20"/>
                <w:lang w:val="en-GB"/>
              </w:rPr>
              <w:t>aster’s</w:t>
            </w:r>
            <w:proofErr w:type="gramEnd"/>
            <w:r w:rsidR="00CD60B6" w:rsidRPr="009F3928">
              <w:rPr>
                <w:sz w:val="20"/>
                <w:szCs w:val="20"/>
                <w:lang w:val="en-GB"/>
              </w:rPr>
              <w:t xml:space="preserve"> students </w:t>
            </w:r>
            <w:r w:rsidR="00B564C1" w:rsidRPr="009F3928">
              <w:rPr>
                <w:rFonts w:cs="Calibri"/>
                <w:iCs/>
                <w:sz w:val="20"/>
                <w:szCs w:val="20"/>
                <w:lang w:val="en-GB"/>
              </w:rPr>
              <w:t>per academic year</w:t>
            </w:r>
            <w:r w:rsidR="00B564C1" w:rsidRPr="009F3928">
              <w:rPr>
                <w:sz w:val="20"/>
                <w:szCs w:val="20"/>
                <w:lang w:val="en-GB"/>
              </w:rPr>
              <w:t xml:space="preserve"> </w:t>
            </w:r>
            <w:r w:rsidR="00CD60B6" w:rsidRPr="009F3928">
              <w:rPr>
                <w:sz w:val="20"/>
                <w:szCs w:val="20"/>
                <w:lang w:val="en-GB"/>
              </w:rPr>
              <w:t>(</w:t>
            </w:r>
            <w:r w:rsidR="00F01DAD" w:rsidRPr="009F3928">
              <w:rPr>
                <w:sz w:val="20"/>
                <w:szCs w:val="20"/>
                <w:lang w:val="en-GB"/>
              </w:rPr>
              <w:t xml:space="preserve">up to </w:t>
            </w:r>
            <w:r w:rsidR="00CD60B6" w:rsidRPr="009F3928">
              <w:rPr>
                <w:sz w:val="20"/>
                <w:szCs w:val="20"/>
                <w:lang w:val="en-GB"/>
              </w:rPr>
              <w:t xml:space="preserve">10 months </w:t>
            </w:r>
            <w:r w:rsidR="007E261B" w:rsidRPr="009F3928">
              <w:rPr>
                <w:sz w:val="20"/>
                <w:szCs w:val="20"/>
                <w:lang w:val="en-GB"/>
              </w:rPr>
              <w:t>per</w:t>
            </w:r>
            <w:r w:rsidR="00CD60B6" w:rsidRPr="009F3928">
              <w:rPr>
                <w:sz w:val="20"/>
                <w:szCs w:val="20"/>
                <w:lang w:val="en-GB"/>
              </w:rPr>
              <w:t xml:space="preserve"> academic year)</w:t>
            </w:r>
            <w:r w:rsidR="000F5CE2" w:rsidRPr="009F3928">
              <w:rPr>
                <w:sz w:val="20"/>
                <w:szCs w:val="20"/>
                <w:lang w:val="en-GB"/>
              </w:rPr>
              <w:t>.</w:t>
            </w:r>
          </w:p>
        </w:tc>
        <w:tc>
          <w:tcPr>
            <w:tcW w:w="1066" w:type="dxa"/>
            <w:shd w:val="clear" w:color="auto" w:fill="FFFFFF" w:themeFill="background1"/>
          </w:tcPr>
          <w:p w14:paraId="7298E25A" w14:textId="11440DFF" w:rsidR="004E2ACF" w:rsidRPr="009F3928" w:rsidRDefault="004E2ACF" w:rsidP="008B5F0D">
            <w:pPr>
              <w:autoSpaceDE w:val="0"/>
              <w:autoSpaceDN w:val="0"/>
              <w:adjustRightInd w:val="0"/>
              <w:spacing w:before="60" w:afterLines="60" w:after="144"/>
              <w:rPr>
                <w:i/>
                <w:sz w:val="20"/>
                <w:szCs w:val="20"/>
                <w:lang w:val="en-GB"/>
              </w:rPr>
            </w:pPr>
            <w:r w:rsidRPr="009F3928">
              <w:rPr>
                <w:sz w:val="20"/>
                <w:szCs w:val="20"/>
                <w:lang w:val="en-GB"/>
              </w:rPr>
              <w:t>YES</w:t>
            </w:r>
          </w:p>
        </w:tc>
        <w:tc>
          <w:tcPr>
            <w:tcW w:w="1066" w:type="dxa"/>
            <w:shd w:val="clear" w:color="auto" w:fill="FFFFFF" w:themeFill="background1"/>
          </w:tcPr>
          <w:p w14:paraId="6E308A4F" w14:textId="0ACDB3CD" w:rsidR="004E2ACF" w:rsidRPr="009F3928" w:rsidRDefault="00CD60B6" w:rsidP="008B5F0D">
            <w:pPr>
              <w:autoSpaceDE w:val="0"/>
              <w:autoSpaceDN w:val="0"/>
              <w:adjustRightInd w:val="0"/>
              <w:spacing w:before="60" w:afterLines="60" w:after="144"/>
              <w:rPr>
                <w:i/>
                <w:sz w:val="20"/>
                <w:szCs w:val="20"/>
                <w:lang w:val="en-GB"/>
              </w:rPr>
            </w:pPr>
            <w:r w:rsidRPr="009F3928">
              <w:rPr>
                <w:sz w:val="20"/>
                <w:szCs w:val="20"/>
                <w:lang w:val="en-GB"/>
              </w:rPr>
              <w:t>Month</w:t>
            </w:r>
          </w:p>
        </w:tc>
        <w:tc>
          <w:tcPr>
            <w:tcW w:w="1066" w:type="dxa"/>
            <w:shd w:val="clear" w:color="auto" w:fill="FFFFFF" w:themeFill="background1"/>
          </w:tcPr>
          <w:p w14:paraId="4BF7DF92" w14:textId="12C654DD" w:rsidR="004E2ACF" w:rsidRPr="009F3928" w:rsidRDefault="00472037" w:rsidP="008B5F0D">
            <w:pPr>
              <w:spacing w:after="0"/>
              <w:jc w:val="left"/>
              <w:rPr>
                <w:rFonts w:cs="Calibri"/>
                <w:sz w:val="20"/>
                <w:szCs w:val="20"/>
                <w:lang w:val="en-GB"/>
              </w:rPr>
            </w:pPr>
            <w:r w:rsidRPr="009F3928">
              <w:rPr>
                <w:rFonts w:cs="Calibri"/>
                <w:sz w:val="20"/>
                <w:szCs w:val="20"/>
                <w:lang w:val="en-GB"/>
              </w:rPr>
              <w:t>0</w:t>
            </w:r>
            <w:r w:rsidR="004E2ACF" w:rsidRPr="009F3928">
              <w:rPr>
                <w:rFonts w:cs="Calibri"/>
                <w:sz w:val="20"/>
                <w:szCs w:val="20"/>
                <w:lang w:val="en-GB"/>
              </w:rPr>
              <w:t xml:space="preserve"> </w:t>
            </w:r>
          </w:p>
          <w:p w14:paraId="7F48D447" w14:textId="77777777" w:rsidR="004E2ACF" w:rsidRPr="009F3928" w:rsidRDefault="004E2ACF" w:rsidP="008B5F0D">
            <w:pPr>
              <w:spacing w:after="0"/>
              <w:jc w:val="left"/>
              <w:rPr>
                <w:rFonts w:cs="Calibri"/>
                <w:sz w:val="20"/>
                <w:szCs w:val="20"/>
                <w:lang w:val="en-GB"/>
              </w:rPr>
            </w:pPr>
            <w:r w:rsidRPr="009F3928">
              <w:rPr>
                <w:rFonts w:cs="Calibri"/>
                <w:sz w:val="20"/>
                <w:szCs w:val="20"/>
                <w:lang w:val="en-GB"/>
              </w:rPr>
              <w:t>(2025)</w:t>
            </w:r>
          </w:p>
          <w:p w14:paraId="5736DD07" w14:textId="6A11E7D6" w:rsidR="004E2ACF" w:rsidRPr="009F3928" w:rsidRDefault="004E2ACF" w:rsidP="008B5F0D">
            <w:pPr>
              <w:autoSpaceDE w:val="0"/>
              <w:autoSpaceDN w:val="0"/>
              <w:adjustRightInd w:val="0"/>
              <w:spacing w:before="60" w:afterLines="60" w:after="144"/>
              <w:rPr>
                <w:i/>
                <w:sz w:val="20"/>
                <w:szCs w:val="20"/>
                <w:lang w:val="en-GB"/>
              </w:rPr>
            </w:pPr>
          </w:p>
        </w:tc>
        <w:tc>
          <w:tcPr>
            <w:tcW w:w="1315" w:type="dxa"/>
            <w:shd w:val="clear" w:color="auto" w:fill="FFFFFF" w:themeFill="background1"/>
          </w:tcPr>
          <w:p w14:paraId="563D6CEB" w14:textId="664863C9" w:rsidR="004E2ACF" w:rsidRPr="009F3928" w:rsidRDefault="005D2F66" w:rsidP="008B5F0D">
            <w:pPr>
              <w:spacing w:after="0"/>
              <w:jc w:val="left"/>
              <w:rPr>
                <w:sz w:val="20"/>
                <w:szCs w:val="20"/>
                <w:lang w:val="en-GB"/>
              </w:rPr>
            </w:pPr>
            <w:r w:rsidRPr="009F3928">
              <w:rPr>
                <w:sz w:val="20"/>
                <w:szCs w:val="20"/>
                <w:lang w:val="en-GB"/>
              </w:rPr>
              <w:t>90</w:t>
            </w:r>
          </w:p>
          <w:p w14:paraId="0D88457F" w14:textId="77777777" w:rsidR="004E2ACF" w:rsidRPr="009F3928" w:rsidRDefault="004E2ACF" w:rsidP="008B5F0D">
            <w:pPr>
              <w:spacing w:after="0"/>
              <w:jc w:val="left"/>
              <w:rPr>
                <w:sz w:val="20"/>
                <w:szCs w:val="20"/>
                <w:lang w:val="en-GB"/>
              </w:rPr>
            </w:pPr>
            <w:r w:rsidRPr="009F3928">
              <w:rPr>
                <w:sz w:val="20"/>
                <w:szCs w:val="20"/>
                <w:lang w:val="en-GB"/>
              </w:rPr>
              <w:t>(2026)</w:t>
            </w:r>
          </w:p>
          <w:p w14:paraId="3FDECF9C" w14:textId="77777777" w:rsidR="004E2ACF" w:rsidRPr="009F3928" w:rsidRDefault="004E2ACF" w:rsidP="008B5F0D">
            <w:pPr>
              <w:spacing w:after="0"/>
              <w:jc w:val="left"/>
              <w:rPr>
                <w:rFonts w:cs="Calibri"/>
                <w:sz w:val="20"/>
                <w:szCs w:val="20"/>
                <w:lang w:val="en-GB"/>
              </w:rPr>
            </w:pPr>
          </w:p>
          <w:p w14:paraId="6ECA37C5" w14:textId="2804ABBE" w:rsidR="004E2ACF" w:rsidRPr="009F3928" w:rsidRDefault="004E2ACF" w:rsidP="008B5F0D">
            <w:pPr>
              <w:autoSpaceDE w:val="0"/>
              <w:autoSpaceDN w:val="0"/>
              <w:adjustRightInd w:val="0"/>
              <w:spacing w:before="60" w:afterLines="60" w:after="144"/>
              <w:rPr>
                <w:i/>
                <w:sz w:val="20"/>
                <w:szCs w:val="20"/>
                <w:lang w:val="en-GB"/>
              </w:rPr>
            </w:pPr>
          </w:p>
        </w:tc>
        <w:tc>
          <w:tcPr>
            <w:tcW w:w="1579" w:type="dxa"/>
            <w:tcBorders>
              <w:right w:val="single" w:sz="4" w:space="0" w:color="auto"/>
            </w:tcBorders>
            <w:shd w:val="clear" w:color="auto" w:fill="FFFFFF" w:themeFill="background1"/>
          </w:tcPr>
          <w:p w14:paraId="5ECA85CA" w14:textId="12614B30" w:rsidR="004E2ACF" w:rsidRPr="009F3928" w:rsidRDefault="004E2ACF" w:rsidP="008B5F0D">
            <w:pPr>
              <w:spacing w:after="0"/>
              <w:jc w:val="left"/>
              <w:rPr>
                <w:i/>
                <w:sz w:val="20"/>
                <w:szCs w:val="20"/>
                <w:lang w:val="en-GB"/>
              </w:rPr>
            </w:pPr>
            <w:r w:rsidRPr="009F3928">
              <w:rPr>
                <w:rFonts w:cs="Calibri"/>
                <w:sz w:val="20"/>
                <w:szCs w:val="20"/>
                <w:lang w:val="en-GB"/>
              </w:rPr>
              <w:t>Reports</w:t>
            </w:r>
            <w:r w:rsidR="0021725A" w:rsidRPr="009F3928">
              <w:rPr>
                <w:rFonts w:cs="Calibri"/>
                <w:sz w:val="20"/>
                <w:szCs w:val="20"/>
                <w:lang w:val="en-GB"/>
              </w:rPr>
              <w:t xml:space="preserve">, </w:t>
            </w:r>
            <w:r w:rsidR="00BB2222" w:rsidRPr="009F3928">
              <w:rPr>
                <w:rFonts w:cs="Calibri"/>
                <w:sz w:val="20"/>
                <w:szCs w:val="20"/>
                <w:lang w:val="en-GB"/>
              </w:rPr>
              <w:t>financial payment documents, financial reports</w:t>
            </w:r>
          </w:p>
        </w:tc>
        <w:tc>
          <w:tcPr>
            <w:tcW w:w="1839" w:type="dxa"/>
            <w:vMerge/>
            <w:tcBorders>
              <w:left w:val="single" w:sz="4" w:space="0" w:color="auto"/>
              <w:right w:val="single" w:sz="4" w:space="0" w:color="auto"/>
            </w:tcBorders>
            <w:shd w:val="clear" w:color="auto" w:fill="FFFFFF" w:themeFill="background1"/>
          </w:tcPr>
          <w:p w14:paraId="1A7B6EBA" w14:textId="6E7B2A5D" w:rsidR="004E2ACF" w:rsidRPr="00C55D33" w:rsidRDefault="004E2ACF" w:rsidP="008B5F0D">
            <w:pPr>
              <w:autoSpaceDE w:val="0"/>
              <w:autoSpaceDN w:val="0"/>
              <w:adjustRightInd w:val="0"/>
              <w:spacing w:before="60" w:afterLines="60" w:after="144"/>
              <w:jc w:val="left"/>
              <w:rPr>
                <w:i/>
                <w:sz w:val="18"/>
                <w:szCs w:val="18"/>
                <w:lang w:val="en-GB"/>
              </w:rPr>
            </w:pPr>
          </w:p>
        </w:tc>
      </w:tr>
    </w:tbl>
    <w:p w14:paraId="59FE7202" w14:textId="77777777" w:rsidR="002E3A7B" w:rsidRDefault="002E3A7B" w:rsidP="008658FD">
      <w:pPr>
        <w:pStyle w:val="Odstavecseseznamem"/>
        <w:tabs>
          <w:tab w:val="left" w:pos="-1440"/>
          <w:tab w:val="left" w:pos="-720"/>
        </w:tabs>
        <w:spacing w:after="240"/>
        <w:ind w:left="0"/>
        <w:contextualSpacing w:val="0"/>
        <w:rPr>
          <w:b/>
          <w:szCs w:val="24"/>
          <w:u w:val="single"/>
        </w:rPr>
      </w:pPr>
    </w:p>
    <w:p w14:paraId="2A9CF5CE" w14:textId="77777777" w:rsidR="004B7D21" w:rsidRDefault="004B7D21" w:rsidP="008658FD">
      <w:pPr>
        <w:pStyle w:val="Odstavecseseznamem"/>
        <w:tabs>
          <w:tab w:val="left" w:pos="-1440"/>
          <w:tab w:val="left" w:pos="-720"/>
        </w:tabs>
        <w:spacing w:after="240"/>
        <w:ind w:left="0"/>
        <w:contextualSpacing w:val="0"/>
        <w:rPr>
          <w:b/>
          <w:szCs w:val="24"/>
          <w:u w:val="single"/>
        </w:rPr>
      </w:pPr>
    </w:p>
    <w:p w14:paraId="1406869B" w14:textId="77777777" w:rsidR="004B7D21" w:rsidRPr="00040B8C" w:rsidRDefault="004B7D21" w:rsidP="008658FD">
      <w:pPr>
        <w:pStyle w:val="Odstavecseseznamem"/>
        <w:tabs>
          <w:tab w:val="left" w:pos="-1440"/>
          <w:tab w:val="left" w:pos="-720"/>
        </w:tabs>
        <w:spacing w:after="240"/>
        <w:ind w:left="0"/>
        <w:contextualSpacing w:val="0"/>
        <w:rPr>
          <w:b/>
          <w:szCs w:val="24"/>
          <w:u w:val="single"/>
          <w:lang w:val="en-US"/>
        </w:rPr>
      </w:pPr>
    </w:p>
    <w:p w14:paraId="52DD43E3" w14:textId="77777777" w:rsidR="004B7D21" w:rsidRDefault="004B7D21" w:rsidP="008658FD">
      <w:pPr>
        <w:pStyle w:val="Odstavecseseznamem"/>
        <w:tabs>
          <w:tab w:val="left" w:pos="-1440"/>
          <w:tab w:val="left" w:pos="-720"/>
        </w:tabs>
        <w:spacing w:after="240"/>
        <w:ind w:left="0"/>
        <w:contextualSpacing w:val="0"/>
        <w:rPr>
          <w:b/>
          <w:szCs w:val="24"/>
          <w:u w:val="single"/>
        </w:rPr>
      </w:pPr>
    </w:p>
    <w:p w14:paraId="56A5AA1F" w14:textId="77777777" w:rsidR="004B7D21" w:rsidRPr="009B4591" w:rsidRDefault="004B7D21" w:rsidP="008658FD">
      <w:pPr>
        <w:pStyle w:val="Odstavecseseznamem"/>
        <w:tabs>
          <w:tab w:val="left" w:pos="-1440"/>
          <w:tab w:val="left" w:pos="-720"/>
        </w:tabs>
        <w:spacing w:after="240"/>
        <w:ind w:left="0"/>
        <w:contextualSpacing w:val="0"/>
        <w:rPr>
          <w:b/>
          <w:szCs w:val="24"/>
          <w:u w:val="single"/>
          <w:lang w:val="en-GB"/>
        </w:rPr>
      </w:pPr>
    </w:p>
    <w:p w14:paraId="15486BDE" w14:textId="0D823130" w:rsidR="008658FD" w:rsidRPr="009B4591" w:rsidRDefault="008658FD" w:rsidP="008658FD">
      <w:pPr>
        <w:pStyle w:val="Odstavecseseznamem"/>
        <w:tabs>
          <w:tab w:val="left" w:pos="-1440"/>
          <w:tab w:val="left" w:pos="-720"/>
        </w:tabs>
        <w:spacing w:after="240"/>
        <w:ind w:left="0"/>
        <w:contextualSpacing w:val="0"/>
        <w:rPr>
          <w:b/>
          <w:szCs w:val="24"/>
          <w:u w:val="single"/>
          <w:lang w:val="en-GB"/>
        </w:rPr>
      </w:pPr>
      <w:r w:rsidRPr="009B4591">
        <w:rPr>
          <w:b/>
          <w:szCs w:val="24"/>
          <w:u w:val="single"/>
          <w:lang w:val="en-GB"/>
        </w:rPr>
        <w:t>Activities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620"/>
        <w:gridCol w:w="6446"/>
        <w:gridCol w:w="2589"/>
      </w:tblGrid>
      <w:tr w:rsidR="008658FD" w:rsidRPr="009B4591" w14:paraId="3E783189" w14:textId="77777777" w:rsidTr="00AE3A51">
        <w:trPr>
          <w:trHeight w:val="558"/>
          <w:tblHeader/>
        </w:trPr>
        <w:tc>
          <w:tcPr>
            <w:tcW w:w="835" w:type="pct"/>
            <w:shd w:val="clear" w:color="auto" w:fill="D9D9D9" w:themeFill="background1" w:themeFillShade="D9"/>
            <w:vAlign w:val="center"/>
          </w:tcPr>
          <w:p w14:paraId="165EDAB9" w14:textId="77777777" w:rsidR="008658FD" w:rsidRPr="009B4591" w:rsidRDefault="008658FD" w:rsidP="00AE3A51">
            <w:pPr>
              <w:spacing w:after="0"/>
              <w:jc w:val="center"/>
              <w:rPr>
                <w:b/>
                <w:bCs/>
                <w:i/>
                <w:iCs/>
                <w:lang w:val="en-GB"/>
              </w:rPr>
            </w:pPr>
            <w:r w:rsidRPr="009B4591">
              <w:rPr>
                <w:b/>
                <w:bCs/>
                <w:i/>
                <w:iCs/>
                <w:lang w:val="en-GB"/>
              </w:rPr>
              <w:t>Outputs</w:t>
            </w:r>
          </w:p>
        </w:tc>
        <w:tc>
          <w:tcPr>
            <w:tcW w:w="936" w:type="pct"/>
            <w:shd w:val="clear" w:color="auto" w:fill="D9D9D9" w:themeFill="background1" w:themeFillShade="D9"/>
            <w:vAlign w:val="center"/>
          </w:tcPr>
          <w:p w14:paraId="4FF9B217" w14:textId="77777777" w:rsidR="008658FD" w:rsidRPr="009B4591" w:rsidRDefault="008658FD" w:rsidP="00AE3A51">
            <w:pPr>
              <w:spacing w:after="0"/>
              <w:jc w:val="center"/>
              <w:rPr>
                <w:b/>
                <w:bCs/>
                <w:i/>
                <w:iCs/>
                <w:lang w:val="en-GB"/>
              </w:rPr>
            </w:pPr>
            <w:r w:rsidRPr="009B4591">
              <w:rPr>
                <w:b/>
                <w:bCs/>
                <w:i/>
                <w:iCs/>
                <w:lang w:val="en-GB"/>
              </w:rPr>
              <w:t>Activities</w:t>
            </w:r>
          </w:p>
        </w:tc>
        <w:tc>
          <w:tcPr>
            <w:tcW w:w="2303" w:type="pct"/>
            <w:shd w:val="clear" w:color="auto" w:fill="D9D9D9" w:themeFill="background1" w:themeFillShade="D9"/>
            <w:vAlign w:val="center"/>
          </w:tcPr>
          <w:p w14:paraId="3931EFC0" w14:textId="77777777" w:rsidR="008658FD" w:rsidRPr="009B4591" w:rsidRDefault="008658FD" w:rsidP="00AE3A51">
            <w:pPr>
              <w:spacing w:after="0"/>
              <w:jc w:val="center"/>
              <w:rPr>
                <w:b/>
                <w:bCs/>
                <w:i/>
                <w:iCs/>
                <w:lang w:val="en-GB"/>
              </w:rPr>
            </w:pPr>
            <w:r w:rsidRPr="009B4591">
              <w:rPr>
                <w:b/>
                <w:bCs/>
                <w:i/>
                <w:iCs/>
                <w:lang w:val="en-GB"/>
              </w:rPr>
              <w:t>Indicative inputs and amounts</w:t>
            </w:r>
          </w:p>
        </w:tc>
        <w:tc>
          <w:tcPr>
            <w:tcW w:w="925" w:type="pct"/>
            <w:shd w:val="clear" w:color="auto" w:fill="D9D9D9" w:themeFill="background1" w:themeFillShade="D9"/>
            <w:vAlign w:val="center"/>
          </w:tcPr>
          <w:p w14:paraId="4BC778F5" w14:textId="77777777" w:rsidR="008658FD" w:rsidRPr="009B4591" w:rsidRDefault="008658FD" w:rsidP="00AE3A51">
            <w:pPr>
              <w:autoSpaceDE w:val="0"/>
              <w:autoSpaceDN w:val="0"/>
              <w:adjustRightInd w:val="0"/>
              <w:spacing w:after="0"/>
              <w:jc w:val="center"/>
              <w:rPr>
                <w:b/>
                <w:bCs/>
                <w:i/>
                <w:lang w:val="en-GB"/>
              </w:rPr>
            </w:pPr>
            <w:r w:rsidRPr="009B4591">
              <w:rPr>
                <w:b/>
                <w:bCs/>
                <w:i/>
                <w:lang w:val="en-GB"/>
              </w:rPr>
              <w:t>Assumptions</w:t>
            </w:r>
          </w:p>
        </w:tc>
      </w:tr>
      <w:tr w:rsidR="004B7D21" w:rsidRPr="009B4591" w14:paraId="4B9044F2" w14:textId="77777777" w:rsidTr="00AE3A51">
        <w:trPr>
          <w:cantSplit/>
          <w:trHeight w:val="558"/>
        </w:trPr>
        <w:tc>
          <w:tcPr>
            <w:tcW w:w="835" w:type="pct"/>
            <w:tcBorders>
              <w:bottom w:val="single" w:sz="4" w:space="0" w:color="auto"/>
            </w:tcBorders>
            <w:shd w:val="clear" w:color="auto" w:fill="FFFFFF" w:themeFill="background1"/>
          </w:tcPr>
          <w:p w14:paraId="6B05DFEF" w14:textId="3E00C4FE" w:rsidR="004B7D21" w:rsidRPr="009B4591" w:rsidRDefault="004B7D21" w:rsidP="004B7D21">
            <w:pPr>
              <w:spacing w:before="120" w:after="120"/>
              <w:jc w:val="left"/>
              <w:rPr>
                <w:szCs w:val="24"/>
                <w:lang w:val="en-GB"/>
              </w:rPr>
            </w:pPr>
            <w:r w:rsidRPr="009B4591">
              <w:rPr>
                <w:rFonts w:eastAsia="Calibri"/>
                <w:szCs w:val="24"/>
                <w:lang w:val="en-GB"/>
              </w:rPr>
              <w:t xml:space="preserve">1.1 </w:t>
            </w:r>
            <w:r w:rsidRPr="009B4591">
              <w:rPr>
                <w:rFonts w:cs="Calibri"/>
                <w:iCs/>
                <w:szCs w:val="24"/>
                <w:lang w:val="en-GB"/>
              </w:rPr>
              <w:t xml:space="preserve">Implementation of the </w:t>
            </w:r>
            <w:r w:rsidRPr="009B4591">
              <w:rPr>
                <w:szCs w:val="24"/>
                <w:lang w:val="en-GB"/>
              </w:rPr>
              <w:t>cost-of-living scholarship scheme for Belarusian students.</w:t>
            </w:r>
          </w:p>
        </w:tc>
        <w:tc>
          <w:tcPr>
            <w:tcW w:w="936" w:type="pct"/>
            <w:tcBorders>
              <w:bottom w:val="single" w:sz="4" w:space="0" w:color="auto"/>
            </w:tcBorders>
            <w:shd w:val="clear" w:color="auto" w:fill="FFFFFF" w:themeFill="background1"/>
          </w:tcPr>
          <w:p w14:paraId="5B6CBD8C" w14:textId="585FEB8F" w:rsidR="004B7D21" w:rsidRPr="009B4591" w:rsidRDefault="00FA2934" w:rsidP="004B7D21">
            <w:pPr>
              <w:spacing w:before="120" w:after="120"/>
              <w:rPr>
                <w:szCs w:val="24"/>
                <w:lang w:val="en-GB"/>
              </w:rPr>
            </w:pPr>
            <w:r w:rsidRPr="00FA2934">
              <w:rPr>
                <w:lang w:val="en-GB"/>
              </w:rPr>
              <w:t xml:space="preserve">Payment of monthly scholarships to </w:t>
            </w:r>
            <w:r>
              <w:rPr>
                <w:lang w:val="en-GB"/>
              </w:rPr>
              <w:t>the selected</w:t>
            </w:r>
            <w:r w:rsidRPr="00FA2934">
              <w:rPr>
                <w:lang w:val="en-GB"/>
              </w:rPr>
              <w:t xml:space="preserve"> students; monitoring of student status; reporting to the contracting authority.</w:t>
            </w:r>
          </w:p>
        </w:tc>
        <w:tc>
          <w:tcPr>
            <w:tcW w:w="2303" w:type="pct"/>
            <w:tcBorders>
              <w:bottom w:val="single" w:sz="4" w:space="0" w:color="auto"/>
            </w:tcBorders>
            <w:shd w:val="clear" w:color="auto" w:fill="FFFFFF" w:themeFill="background1"/>
          </w:tcPr>
          <w:p w14:paraId="1ED8607B" w14:textId="77777777" w:rsidR="009B4591" w:rsidRPr="00D36DC4" w:rsidRDefault="009B4591" w:rsidP="009B4591">
            <w:pPr>
              <w:spacing w:before="120" w:after="120"/>
              <w:jc w:val="left"/>
              <w:rPr>
                <w:b/>
                <w:bCs/>
                <w:i/>
                <w:iCs/>
                <w:szCs w:val="24"/>
                <w:lang w:val="en-GB"/>
              </w:rPr>
            </w:pPr>
            <w:r w:rsidRPr="00D36DC4">
              <w:rPr>
                <w:b/>
                <w:bCs/>
                <w:i/>
                <w:iCs/>
                <w:szCs w:val="24"/>
                <w:lang w:val="en-GB"/>
              </w:rPr>
              <w:t>Inputs</w:t>
            </w:r>
          </w:p>
          <w:p w14:paraId="4A658ABD" w14:textId="77777777" w:rsidR="009F3928" w:rsidRPr="00334DFC" w:rsidRDefault="009F3928" w:rsidP="009F3928">
            <w:pPr>
              <w:spacing w:before="120" w:after="120"/>
              <w:jc w:val="left"/>
              <w:rPr>
                <w:szCs w:val="24"/>
                <w:lang w:val="en-GB"/>
              </w:rPr>
            </w:pPr>
            <w:r w:rsidRPr="00334DFC">
              <w:rPr>
                <w:szCs w:val="24"/>
                <w:lang w:val="en-GB"/>
              </w:rPr>
              <w:t>The Contact Point will manage payments of the scholarships for up to 10 months/student/ academic year 2025/2026.</w:t>
            </w:r>
          </w:p>
          <w:p w14:paraId="79BE4F3B" w14:textId="5A26BE7B" w:rsidR="009B4591" w:rsidRPr="00D36DC4" w:rsidRDefault="009B4591" w:rsidP="009B4591">
            <w:pPr>
              <w:spacing w:before="120" w:after="120"/>
              <w:jc w:val="left"/>
              <w:rPr>
                <w:b/>
                <w:bCs/>
                <w:i/>
                <w:iCs/>
                <w:szCs w:val="24"/>
                <w:lang w:val="en-GB"/>
              </w:rPr>
            </w:pPr>
            <w:r w:rsidRPr="00D36DC4">
              <w:rPr>
                <w:b/>
                <w:bCs/>
                <w:i/>
                <w:iCs/>
                <w:szCs w:val="24"/>
                <w:lang w:val="en-GB"/>
              </w:rPr>
              <w:t>Amounts</w:t>
            </w:r>
            <w:r w:rsidR="00EC0F05">
              <w:rPr>
                <w:b/>
                <w:bCs/>
                <w:i/>
                <w:iCs/>
                <w:szCs w:val="24"/>
                <w:lang w:val="en-GB"/>
              </w:rPr>
              <w:t xml:space="preserve"> </w:t>
            </w:r>
          </w:p>
          <w:p w14:paraId="6A6C6777" w14:textId="59385E77" w:rsidR="00E3114D" w:rsidRDefault="009F3928" w:rsidP="009F3928">
            <w:pPr>
              <w:spacing w:before="120" w:after="120"/>
              <w:rPr>
                <w:szCs w:val="24"/>
                <w:lang w:val="en-GB"/>
              </w:rPr>
            </w:pPr>
            <w:r w:rsidRPr="00334DFC">
              <w:rPr>
                <w:szCs w:val="24"/>
                <w:lang w:val="en-GB"/>
              </w:rPr>
              <w:t xml:space="preserve">An amount of </w:t>
            </w:r>
            <w:r w:rsidR="00E3114D">
              <w:rPr>
                <w:szCs w:val="24"/>
                <w:lang w:val="en-GB"/>
              </w:rPr>
              <w:t>2</w:t>
            </w:r>
            <w:r w:rsidR="003D7F37">
              <w:rPr>
                <w:szCs w:val="24"/>
                <w:lang w:val="en-GB"/>
              </w:rPr>
              <w:t xml:space="preserve"> </w:t>
            </w:r>
            <w:r w:rsidR="002F6845">
              <w:rPr>
                <w:szCs w:val="24"/>
                <w:lang w:val="en-GB"/>
              </w:rPr>
              <w:t>25</w:t>
            </w:r>
            <w:r w:rsidRPr="00334DFC">
              <w:rPr>
                <w:szCs w:val="24"/>
                <w:lang w:val="en-GB"/>
              </w:rPr>
              <w:t xml:space="preserve">0 EUR will be used for administration of the grant contract. </w:t>
            </w:r>
          </w:p>
          <w:p w14:paraId="30659BD6" w14:textId="628CDAFD" w:rsidR="009F3928" w:rsidRPr="00334DFC" w:rsidRDefault="009F3928" w:rsidP="009F3928">
            <w:pPr>
              <w:spacing w:before="120" w:after="120"/>
              <w:rPr>
                <w:szCs w:val="24"/>
                <w:lang w:val="en-GB"/>
              </w:rPr>
            </w:pPr>
            <w:r w:rsidRPr="00334DFC">
              <w:rPr>
                <w:szCs w:val="24"/>
                <w:lang w:val="en-GB"/>
              </w:rPr>
              <w:t xml:space="preserve">An amount of </w:t>
            </w:r>
            <w:r w:rsidR="002F6845">
              <w:rPr>
                <w:szCs w:val="24"/>
                <w:lang w:val="en-GB"/>
              </w:rPr>
              <w:t>49</w:t>
            </w:r>
            <w:r w:rsidR="003D7F37">
              <w:rPr>
                <w:szCs w:val="24"/>
                <w:lang w:val="en-GB"/>
              </w:rPr>
              <w:t xml:space="preserve"> </w:t>
            </w:r>
            <w:r w:rsidR="002F6845">
              <w:rPr>
                <w:szCs w:val="24"/>
                <w:lang w:val="en-GB"/>
              </w:rPr>
              <w:t>5</w:t>
            </w:r>
            <w:r w:rsidRPr="00334DFC">
              <w:rPr>
                <w:szCs w:val="24"/>
                <w:lang w:val="en-GB"/>
              </w:rPr>
              <w:t xml:space="preserve">00 EUR is required to pay cost-for-living scholarships of 550 EUR/month up to 10 months/student/ academic year 2025/2026 for </w:t>
            </w:r>
            <w:r w:rsidR="00C4306B">
              <w:rPr>
                <w:szCs w:val="24"/>
                <w:lang w:val="en-GB"/>
              </w:rPr>
              <w:t>9</w:t>
            </w:r>
            <w:r w:rsidRPr="00334DFC">
              <w:rPr>
                <w:szCs w:val="24"/>
                <w:lang w:val="en-GB"/>
              </w:rPr>
              <w:t xml:space="preserve"> students.</w:t>
            </w:r>
          </w:p>
          <w:p w14:paraId="75B08916" w14:textId="4C889FC1" w:rsidR="0093165E" w:rsidRPr="00D36DC4" w:rsidRDefault="0093165E" w:rsidP="004B7D21">
            <w:pPr>
              <w:spacing w:before="120" w:after="120"/>
              <w:rPr>
                <w:szCs w:val="24"/>
                <w:lang w:val="en-GB"/>
              </w:rPr>
            </w:pPr>
          </w:p>
        </w:tc>
        <w:tc>
          <w:tcPr>
            <w:tcW w:w="925" w:type="pct"/>
            <w:tcBorders>
              <w:bottom w:val="single" w:sz="4" w:space="0" w:color="auto"/>
            </w:tcBorders>
          </w:tcPr>
          <w:p w14:paraId="1087FA0B" w14:textId="175F1A12" w:rsidR="004B7D21" w:rsidRPr="00D36DC4" w:rsidRDefault="00D36DC4" w:rsidP="004B7D21">
            <w:pPr>
              <w:autoSpaceDE w:val="0"/>
              <w:autoSpaceDN w:val="0"/>
              <w:adjustRightInd w:val="0"/>
              <w:spacing w:before="120" w:after="120"/>
              <w:rPr>
                <w:b/>
                <w:i/>
                <w:szCs w:val="24"/>
                <w:lang w:val="en-GB"/>
              </w:rPr>
            </w:pPr>
            <w:r w:rsidRPr="00D36DC4">
              <w:rPr>
                <w:szCs w:val="24"/>
                <w:lang w:val="en-GB"/>
              </w:rPr>
              <w:t>All awarded students are motivated and able to complete the full academic year for which they were awarded the scholarship.</w:t>
            </w:r>
          </w:p>
        </w:tc>
      </w:tr>
    </w:tbl>
    <w:p w14:paraId="30FD2864" w14:textId="77777777" w:rsidR="008658FD" w:rsidRPr="009B4591" w:rsidRDefault="008658FD" w:rsidP="008658FD">
      <w:pPr>
        <w:spacing w:before="120" w:after="120"/>
        <w:rPr>
          <w:lang w:val="en-GB"/>
        </w:rPr>
      </w:pPr>
    </w:p>
    <w:sectPr w:rsidR="008658FD" w:rsidRPr="009B4591" w:rsidSect="00626ABC">
      <w:footerReference w:type="default" r:id="rId12"/>
      <w:pgSz w:w="16838" w:h="11906" w:orient="landscape"/>
      <w:pgMar w:top="1701" w:right="1701"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29B5A" w14:textId="77777777" w:rsidR="009C4031" w:rsidRDefault="009C4031" w:rsidP="002F5978">
      <w:pPr>
        <w:spacing w:after="0" w:line="240" w:lineRule="auto"/>
      </w:pPr>
      <w:r>
        <w:separator/>
      </w:r>
    </w:p>
  </w:endnote>
  <w:endnote w:type="continuationSeparator" w:id="0">
    <w:p w14:paraId="62F43076" w14:textId="77777777" w:rsidR="009C4031" w:rsidRDefault="009C4031" w:rsidP="002F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249511"/>
      <w:docPartObj>
        <w:docPartGallery w:val="Page Numbers (Bottom of Page)"/>
        <w:docPartUnique/>
      </w:docPartObj>
    </w:sdtPr>
    <w:sdtEndPr>
      <w:rPr>
        <w:noProof/>
      </w:rPr>
    </w:sdtEndPr>
    <w:sdtContent>
      <w:p w14:paraId="22156822" w14:textId="70A704EB" w:rsidR="00BD3952" w:rsidRDefault="00BD3952">
        <w:pPr>
          <w:pStyle w:val="Zpat"/>
          <w:jc w:val="center"/>
        </w:pPr>
        <w:r>
          <w:fldChar w:fldCharType="begin"/>
        </w:r>
        <w:r>
          <w:instrText xml:space="preserve"> PAGE   \* MERGEFORMAT </w:instrText>
        </w:r>
        <w:r>
          <w:fldChar w:fldCharType="separate"/>
        </w:r>
        <w:r>
          <w:rPr>
            <w:noProof/>
          </w:rPr>
          <w:t>2</w:t>
        </w:r>
        <w:r>
          <w:rPr>
            <w:noProof/>
          </w:rPr>
          <w:fldChar w:fldCharType="end"/>
        </w:r>
      </w:p>
    </w:sdtContent>
  </w:sdt>
  <w:p w14:paraId="30C86076" w14:textId="77777777" w:rsidR="00BD3952" w:rsidRDefault="00BD39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228013"/>
      <w:docPartObj>
        <w:docPartGallery w:val="Page Numbers (Bottom of Page)"/>
        <w:docPartUnique/>
      </w:docPartObj>
    </w:sdtPr>
    <w:sdtEndPr>
      <w:rPr>
        <w:noProof/>
      </w:rPr>
    </w:sdtEndPr>
    <w:sdtContent>
      <w:p w14:paraId="15614EF1" w14:textId="1B83879F" w:rsidR="0056286A" w:rsidRDefault="0056286A">
        <w:pPr>
          <w:pStyle w:val="Zpat"/>
          <w:jc w:val="center"/>
        </w:pPr>
        <w:r>
          <w:fldChar w:fldCharType="begin"/>
        </w:r>
        <w:r>
          <w:instrText xml:space="preserve"> PAGE   \* MERGEFORMAT </w:instrText>
        </w:r>
        <w:r>
          <w:fldChar w:fldCharType="separate"/>
        </w:r>
        <w:r>
          <w:rPr>
            <w:noProof/>
          </w:rPr>
          <w:t>2</w:t>
        </w:r>
        <w:r>
          <w:rPr>
            <w:noProof/>
          </w:rPr>
          <w:fldChar w:fldCharType="end"/>
        </w:r>
      </w:p>
    </w:sdtContent>
  </w:sdt>
  <w:p w14:paraId="26C4BFB5" w14:textId="77777777" w:rsidR="0056286A" w:rsidRDefault="005628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B4E2F" w14:textId="77777777" w:rsidR="009C4031" w:rsidRDefault="009C4031" w:rsidP="002F5978">
      <w:pPr>
        <w:spacing w:after="0" w:line="240" w:lineRule="auto"/>
      </w:pPr>
      <w:r>
        <w:separator/>
      </w:r>
    </w:p>
  </w:footnote>
  <w:footnote w:type="continuationSeparator" w:id="0">
    <w:p w14:paraId="6AC38076" w14:textId="77777777" w:rsidR="009C4031" w:rsidRDefault="009C4031" w:rsidP="002F5978">
      <w:pPr>
        <w:spacing w:after="0" w:line="240" w:lineRule="auto"/>
      </w:pPr>
      <w:r>
        <w:continuationSeparator/>
      </w:r>
    </w:p>
  </w:footnote>
  <w:footnote w:id="1">
    <w:p w14:paraId="2DCF40A2" w14:textId="49E21098" w:rsidR="0056286A" w:rsidRDefault="0056286A" w:rsidP="0056286A">
      <w:pPr>
        <w:pBdr>
          <w:top w:val="nil"/>
          <w:left w:val="nil"/>
          <w:bottom w:val="nil"/>
          <w:right w:val="nil"/>
          <w:between w:val="nil"/>
        </w:pBdr>
        <w:spacing w:after="60"/>
        <w:rPr>
          <w:color w:val="000000"/>
          <w:sz w:val="20"/>
          <w:szCs w:val="20"/>
        </w:rPr>
      </w:pPr>
      <w:r>
        <w:rPr>
          <w:rStyle w:val="Znakapoznpodarou"/>
        </w:rPr>
        <w:footnoteRef/>
      </w:r>
      <w:r>
        <w:rPr>
          <w:color w:val="000000"/>
          <w:sz w:val="20"/>
          <w:szCs w:val="20"/>
        </w:rPr>
        <w:t xml:space="preserve"> </w:t>
      </w:r>
      <w:r w:rsidRPr="00570149">
        <w:rPr>
          <w:color w:val="000000"/>
          <w:sz w:val="20"/>
          <w:szCs w:val="20"/>
          <w:lang w:val="en-GB"/>
        </w:rPr>
        <w:t>Applicants, who lost or renounced their Belarusian citizenship after August 2020, or do not have</w:t>
      </w:r>
      <w:r w:rsidR="00E7376F">
        <w:rPr>
          <w:color w:val="000000"/>
          <w:sz w:val="20"/>
          <w:szCs w:val="20"/>
          <w:lang w:val="en-GB"/>
        </w:rPr>
        <w:t xml:space="preserve"> a</w:t>
      </w:r>
      <w:r w:rsidRPr="00570149">
        <w:rPr>
          <w:color w:val="000000"/>
          <w:sz w:val="20"/>
          <w:szCs w:val="20"/>
          <w:lang w:val="en-GB"/>
        </w:rPr>
        <w:t xml:space="preserve"> valid Belarusian passport at the time of Application submission, must present documental evidence of valid Belarusian citizenship at the time of August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E43"/>
    <w:multiLevelType w:val="multilevel"/>
    <w:tmpl w:val="F25086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6455F"/>
    <w:multiLevelType w:val="hybridMultilevel"/>
    <w:tmpl w:val="0380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65220"/>
    <w:multiLevelType w:val="multilevel"/>
    <w:tmpl w:val="9D2E5602"/>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0DEB1566"/>
    <w:multiLevelType w:val="multilevel"/>
    <w:tmpl w:val="C58ABBF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DF358E"/>
    <w:multiLevelType w:val="multilevel"/>
    <w:tmpl w:val="60FC350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D0165A6"/>
    <w:multiLevelType w:val="hybridMultilevel"/>
    <w:tmpl w:val="CE9A7BD4"/>
    <w:lvl w:ilvl="0" w:tplc="0C384612">
      <w:start w:val="1"/>
      <w:numFmt w:val="bullet"/>
      <w:lvlText w:val="•"/>
      <w:lvlJc w:val="left"/>
      <w:pPr>
        <w:tabs>
          <w:tab w:val="num" w:pos="720"/>
        </w:tabs>
        <w:ind w:left="720" w:hanging="360"/>
      </w:pPr>
      <w:rPr>
        <w:rFonts w:ascii="Times New Roman" w:hAnsi="Times New Roman" w:hint="default"/>
      </w:rPr>
    </w:lvl>
    <w:lvl w:ilvl="1" w:tplc="B6685C20" w:tentative="1">
      <w:start w:val="1"/>
      <w:numFmt w:val="bullet"/>
      <w:lvlText w:val="•"/>
      <w:lvlJc w:val="left"/>
      <w:pPr>
        <w:tabs>
          <w:tab w:val="num" w:pos="1440"/>
        </w:tabs>
        <w:ind w:left="1440" w:hanging="360"/>
      </w:pPr>
      <w:rPr>
        <w:rFonts w:ascii="Times New Roman" w:hAnsi="Times New Roman" w:hint="default"/>
      </w:rPr>
    </w:lvl>
    <w:lvl w:ilvl="2" w:tplc="D0DC2016" w:tentative="1">
      <w:start w:val="1"/>
      <w:numFmt w:val="bullet"/>
      <w:lvlText w:val="•"/>
      <w:lvlJc w:val="left"/>
      <w:pPr>
        <w:tabs>
          <w:tab w:val="num" w:pos="2160"/>
        </w:tabs>
        <w:ind w:left="2160" w:hanging="360"/>
      </w:pPr>
      <w:rPr>
        <w:rFonts w:ascii="Times New Roman" w:hAnsi="Times New Roman" w:hint="default"/>
      </w:rPr>
    </w:lvl>
    <w:lvl w:ilvl="3" w:tplc="48A09F66" w:tentative="1">
      <w:start w:val="1"/>
      <w:numFmt w:val="bullet"/>
      <w:lvlText w:val="•"/>
      <w:lvlJc w:val="left"/>
      <w:pPr>
        <w:tabs>
          <w:tab w:val="num" w:pos="2880"/>
        </w:tabs>
        <w:ind w:left="2880" w:hanging="360"/>
      </w:pPr>
      <w:rPr>
        <w:rFonts w:ascii="Times New Roman" w:hAnsi="Times New Roman" w:hint="default"/>
      </w:rPr>
    </w:lvl>
    <w:lvl w:ilvl="4" w:tplc="ADC607B8" w:tentative="1">
      <w:start w:val="1"/>
      <w:numFmt w:val="bullet"/>
      <w:lvlText w:val="•"/>
      <w:lvlJc w:val="left"/>
      <w:pPr>
        <w:tabs>
          <w:tab w:val="num" w:pos="3600"/>
        </w:tabs>
        <w:ind w:left="3600" w:hanging="360"/>
      </w:pPr>
      <w:rPr>
        <w:rFonts w:ascii="Times New Roman" w:hAnsi="Times New Roman" w:hint="default"/>
      </w:rPr>
    </w:lvl>
    <w:lvl w:ilvl="5" w:tplc="57F48A38" w:tentative="1">
      <w:start w:val="1"/>
      <w:numFmt w:val="bullet"/>
      <w:lvlText w:val="•"/>
      <w:lvlJc w:val="left"/>
      <w:pPr>
        <w:tabs>
          <w:tab w:val="num" w:pos="4320"/>
        </w:tabs>
        <w:ind w:left="4320" w:hanging="360"/>
      </w:pPr>
      <w:rPr>
        <w:rFonts w:ascii="Times New Roman" w:hAnsi="Times New Roman" w:hint="default"/>
      </w:rPr>
    </w:lvl>
    <w:lvl w:ilvl="6" w:tplc="F7422454" w:tentative="1">
      <w:start w:val="1"/>
      <w:numFmt w:val="bullet"/>
      <w:lvlText w:val="•"/>
      <w:lvlJc w:val="left"/>
      <w:pPr>
        <w:tabs>
          <w:tab w:val="num" w:pos="5040"/>
        </w:tabs>
        <w:ind w:left="5040" w:hanging="360"/>
      </w:pPr>
      <w:rPr>
        <w:rFonts w:ascii="Times New Roman" w:hAnsi="Times New Roman" w:hint="default"/>
      </w:rPr>
    </w:lvl>
    <w:lvl w:ilvl="7" w:tplc="1D048916" w:tentative="1">
      <w:start w:val="1"/>
      <w:numFmt w:val="bullet"/>
      <w:lvlText w:val="•"/>
      <w:lvlJc w:val="left"/>
      <w:pPr>
        <w:tabs>
          <w:tab w:val="num" w:pos="5760"/>
        </w:tabs>
        <w:ind w:left="5760" w:hanging="360"/>
      </w:pPr>
      <w:rPr>
        <w:rFonts w:ascii="Times New Roman" w:hAnsi="Times New Roman" w:hint="default"/>
      </w:rPr>
    </w:lvl>
    <w:lvl w:ilvl="8" w:tplc="88662B1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22D5A41"/>
    <w:multiLevelType w:val="multilevel"/>
    <w:tmpl w:val="5E6CB12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4046827"/>
    <w:multiLevelType w:val="hybridMultilevel"/>
    <w:tmpl w:val="FE9EB27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B192B42"/>
    <w:multiLevelType w:val="hybridMultilevel"/>
    <w:tmpl w:val="DAA20E24"/>
    <w:lvl w:ilvl="0" w:tplc="C414EA9A">
      <w:start w:val="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E8021E"/>
    <w:multiLevelType w:val="hybridMultilevel"/>
    <w:tmpl w:val="AE629820"/>
    <w:lvl w:ilvl="0" w:tplc="0F6A98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66F72"/>
    <w:multiLevelType w:val="hybridMultilevel"/>
    <w:tmpl w:val="ADD8BCC8"/>
    <w:lvl w:ilvl="0" w:tplc="0F6A9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90F47"/>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47C35AA6"/>
    <w:multiLevelType w:val="hybridMultilevel"/>
    <w:tmpl w:val="9D24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21267"/>
    <w:multiLevelType w:val="multilevel"/>
    <w:tmpl w:val="03542996"/>
    <w:lvl w:ilvl="0">
      <w:start w:val="1"/>
      <w:numFmt w:val="decimal"/>
      <w:pStyle w:val="Nadpis1"/>
      <w:lvlText w:val="%1"/>
      <w:lvlJc w:val="left"/>
      <w:pPr>
        <w:ind w:left="716"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4A2533F7"/>
    <w:multiLevelType w:val="hybridMultilevel"/>
    <w:tmpl w:val="A9A82980"/>
    <w:lvl w:ilvl="0" w:tplc="0F6A98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E3728D"/>
    <w:multiLevelType w:val="hybridMultilevel"/>
    <w:tmpl w:val="9BBACD7A"/>
    <w:lvl w:ilvl="0" w:tplc="18090001">
      <w:start w:val="1"/>
      <w:numFmt w:val="bullet"/>
      <w:lvlText w:val=""/>
      <w:lvlJc w:val="left"/>
      <w:pPr>
        <w:ind w:left="720" w:hanging="360"/>
      </w:pPr>
      <w:rPr>
        <w:rFonts w:ascii="Symbol" w:hAnsi="Symbol" w:hint="default"/>
      </w:rPr>
    </w:lvl>
    <w:lvl w:ilvl="1" w:tplc="45FE99FA">
      <w:numFmt w:val="bullet"/>
      <w:lvlText w:val="•"/>
      <w:lvlJc w:val="left"/>
      <w:pPr>
        <w:ind w:left="1440" w:hanging="360"/>
      </w:pPr>
      <w:rPr>
        <w:rFonts w:ascii="Times New Roman" w:eastAsiaTheme="minorHAnsi"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E2A555E"/>
    <w:multiLevelType w:val="multilevel"/>
    <w:tmpl w:val="768EB2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6E3461"/>
    <w:multiLevelType w:val="hybridMultilevel"/>
    <w:tmpl w:val="3C865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6776A88"/>
    <w:multiLevelType w:val="hybridMultilevel"/>
    <w:tmpl w:val="5FBE4F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98D4F3A"/>
    <w:multiLevelType w:val="hybridMultilevel"/>
    <w:tmpl w:val="96608828"/>
    <w:lvl w:ilvl="0" w:tplc="54B04550">
      <w:start w:val="1"/>
      <w:numFmt w:val="decimal"/>
      <w:lvlText w:val="%1."/>
      <w:lvlJc w:val="left"/>
      <w:pPr>
        <w:ind w:left="720" w:hanging="360"/>
      </w:pPr>
      <w:rPr>
        <w:rFonts w:cs="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8676BD"/>
    <w:multiLevelType w:val="hybridMultilevel"/>
    <w:tmpl w:val="7DAA6F86"/>
    <w:lvl w:ilvl="0" w:tplc="0F6A983A">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E51776C"/>
    <w:multiLevelType w:val="hybridMultilevel"/>
    <w:tmpl w:val="5860D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92C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5200527">
    <w:abstractNumId w:val="4"/>
  </w:num>
  <w:num w:numId="2" w16cid:durableId="1077674427">
    <w:abstractNumId w:val="2"/>
  </w:num>
  <w:num w:numId="3" w16cid:durableId="111484032">
    <w:abstractNumId w:val="22"/>
  </w:num>
  <w:num w:numId="4" w16cid:durableId="285160271">
    <w:abstractNumId w:val="11"/>
  </w:num>
  <w:num w:numId="5" w16cid:durableId="1666201186">
    <w:abstractNumId w:val="16"/>
  </w:num>
  <w:num w:numId="6" w16cid:durableId="1300838120">
    <w:abstractNumId w:val="13"/>
  </w:num>
  <w:num w:numId="7" w16cid:durableId="1650285572">
    <w:abstractNumId w:val="18"/>
  </w:num>
  <w:num w:numId="8" w16cid:durableId="2126581671">
    <w:abstractNumId w:val="7"/>
  </w:num>
  <w:num w:numId="9" w16cid:durableId="483661026">
    <w:abstractNumId w:val="1"/>
  </w:num>
  <w:num w:numId="10" w16cid:durableId="51269714">
    <w:abstractNumId w:val="8"/>
  </w:num>
  <w:num w:numId="11" w16cid:durableId="1221669871">
    <w:abstractNumId w:val="5"/>
  </w:num>
  <w:num w:numId="12" w16cid:durableId="1828010434">
    <w:abstractNumId w:val="12"/>
  </w:num>
  <w:num w:numId="13" w16cid:durableId="812256458">
    <w:abstractNumId w:val="21"/>
  </w:num>
  <w:num w:numId="14" w16cid:durableId="182986601">
    <w:abstractNumId w:val="10"/>
  </w:num>
  <w:num w:numId="15" w16cid:durableId="1151555985">
    <w:abstractNumId w:val="14"/>
  </w:num>
  <w:num w:numId="16" w16cid:durableId="833184610">
    <w:abstractNumId w:val="3"/>
  </w:num>
  <w:num w:numId="17" w16cid:durableId="1007563452">
    <w:abstractNumId w:val="20"/>
  </w:num>
  <w:num w:numId="18" w16cid:durableId="842008813">
    <w:abstractNumId w:val="9"/>
  </w:num>
  <w:num w:numId="19" w16cid:durableId="359747063">
    <w:abstractNumId w:val="17"/>
  </w:num>
  <w:num w:numId="20" w16cid:durableId="1438719479">
    <w:abstractNumId w:val="15"/>
  </w:num>
  <w:num w:numId="21" w16cid:durableId="1870754577">
    <w:abstractNumId w:val="19"/>
  </w:num>
  <w:num w:numId="22" w16cid:durableId="210846082">
    <w:abstractNumId w:val="6"/>
  </w:num>
  <w:num w:numId="23" w16cid:durableId="665135915">
    <w:abstractNumId w:val="13"/>
    <w:lvlOverride w:ilvl="0">
      <w:startOverride w:val="7"/>
    </w:lvlOverride>
    <w:lvlOverride w:ilvl="1">
      <w:startOverride w:val="4"/>
    </w:lvlOverride>
    <w:lvlOverride w:ilvl="2">
      <w:startOverride w:val="1"/>
    </w:lvlOverride>
    <w:lvlOverride w:ilvl="3">
      <w:startOverride w:val="1"/>
    </w:lvlOverride>
  </w:num>
  <w:num w:numId="24" w16cid:durableId="1640959545">
    <w:abstractNumId w:val="13"/>
    <w:lvlOverride w:ilvl="0">
      <w:startOverride w:val="7"/>
    </w:lvlOverride>
    <w:lvlOverride w:ilvl="1">
      <w:startOverride w:val="4"/>
    </w:lvlOverride>
    <w:lvlOverride w:ilvl="2">
      <w:startOverride w:val="1"/>
    </w:lvlOverride>
    <w:lvlOverride w:ilvl="3">
      <w:startOverride w:val="1"/>
    </w:lvlOverride>
  </w:num>
  <w:num w:numId="25" w16cid:durableId="2092005504">
    <w:abstractNumId w:val="13"/>
    <w:lvlOverride w:ilvl="0">
      <w:startOverride w:val="7"/>
    </w:lvlOverride>
    <w:lvlOverride w:ilvl="1">
      <w:startOverride w:val="4"/>
    </w:lvlOverride>
    <w:lvlOverride w:ilvl="2">
      <w:startOverride w:val="1"/>
    </w:lvlOverride>
    <w:lvlOverride w:ilvl="3">
      <w:startOverride w:val="1"/>
    </w:lvlOverride>
  </w:num>
  <w:num w:numId="26" w16cid:durableId="1878395661">
    <w:abstractNumId w:val="0"/>
  </w:num>
  <w:num w:numId="27" w16cid:durableId="1328481923">
    <w:abstractNumId w:val="13"/>
    <w:lvlOverride w:ilvl="0">
      <w:startOverride w:val="4"/>
    </w:lvlOverride>
    <w:lvlOverride w:ilvl="1">
      <w:startOverride w:val="1"/>
    </w:lvlOverride>
  </w:num>
  <w:num w:numId="28" w16cid:durableId="1824202978">
    <w:abstractNumId w:val="13"/>
    <w:lvlOverride w:ilvl="0">
      <w:startOverride w:val="4"/>
    </w:lvlOverride>
    <w:lvlOverride w:ilvl="1">
      <w:startOverride w:val="1"/>
    </w:lvlOverride>
    <w:lvlOverride w:ilvl="2">
      <w:startOverride w:val="1"/>
    </w:lvlOverride>
  </w:num>
  <w:num w:numId="29" w16cid:durableId="1510831485">
    <w:abstractNumId w:val="13"/>
    <w:lvlOverride w:ilvl="0">
      <w:startOverride w:val="4"/>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87A"/>
    <w:rsid w:val="000029AF"/>
    <w:rsid w:val="00005123"/>
    <w:rsid w:val="00006BBB"/>
    <w:rsid w:val="00022397"/>
    <w:rsid w:val="00024C1E"/>
    <w:rsid w:val="00032754"/>
    <w:rsid w:val="00040B8C"/>
    <w:rsid w:val="000470BB"/>
    <w:rsid w:val="000511F7"/>
    <w:rsid w:val="00056C1C"/>
    <w:rsid w:val="00071115"/>
    <w:rsid w:val="0007175B"/>
    <w:rsid w:val="00071E32"/>
    <w:rsid w:val="00085310"/>
    <w:rsid w:val="000877B0"/>
    <w:rsid w:val="00097DA3"/>
    <w:rsid w:val="000A47F8"/>
    <w:rsid w:val="000A6920"/>
    <w:rsid w:val="000D05CE"/>
    <w:rsid w:val="000F00DC"/>
    <w:rsid w:val="000F5CE2"/>
    <w:rsid w:val="00121526"/>
    <w:rsid w:val="0012181A"/>
    <w:rsid w:val="0012798A"/>
    <w:rsid w:val="00133CEB"/>
    <w:rsid w:val="00141A30"/>
    <w:rsid w:val="00152DBF"/>
    <w:rsid w:val="0015750A"/>
    <w:rsid w:val="00157BA4"/>
    <w:rsid w:val="00163391"/>
    <w:rsid w:val="001730FE"/>
    <w:rsid w:val="00196B73"/>
    <w:rsid w:val="001B4233"/>
    <w:rsid w:val="001C0D86"/>
    <w:rsid w:val="001D0404"/>
    <w:rsid w:val="001E3993"/>
    <w:rsid w:val="001F1404"/>
    <w:rsid w:val="001F47D3"/>
    <w:rsid w:val="00202E47"/>
    <w:rsid w:val="00203F66"/>
    <w:rsid w:val="00212401"/>
    <w:rsid w:val="0021725A"/>
    <w:rsid w:val="00230F55"/>
    <w:rsid w:val="00242BBF"/>
    <w:rsid w:val="00255A8C"/>
    <w:rsid w:val="002631A2"/>
    <w:rsid w:val="00274F13"/>
    <w:rsid w:val="00283210"/>
    <w:rsid w:val="00286423"/>
    <w:rsid w:val="002917DB"/>
    <w:rsid w:val="002935FD"/>
    <w:rsid w:val="002A7BFB"/>
    <w:rsid w:val="002B59AB"/>
    <w:rsid w:val="002B6537"/>
    <w:rsid w:val="002B7E63"/>
    <w:rsid w:val="002C3522"/>
    <w:rsid w:val="002D435C"/>
    <w:rsid w:val="002D5DF8"/>
    <w:rsid w:val="002E1856"/>
    <w:rsid w:val="002E3A7B"/>
    <w:rsid w:val="002E7159"/>
    <w:rsid w:val="002E7F66"/>
    <w:rsid w:val="002F2883"/>
    <w:rsid w:val="002F5978"/>
    <w:rsid w:val="002F6845"/>
    <w:rsid w:val="00301DC9"/>
    <w:rsid w:val="00321B94"/>
    <w:rsid w:val="00333488"/>
    <w:rsid w:val="00335714"/>
    <w:rsid w:val="00337818"/>
    <w:rsid w:val="00356C9E"/>
    <w:rsid w:val="00364ACD"/>
    <w:rsid w:val="00375244"/>
    <w:rsid w:val="00381E37"/>
    <w:rsid w:val="003B2A45"/>
    <w:rsid w:val="003B6212"/>
    <w:rsid w:val="003B70C8"/>
    <w:rsid w:val="003C4874"/>
    <w:rsid w:val="003C5AEC"/>
    <w:rsid w:val="003C6177"/>
    <w:rsid w:val="003D7F37"/>
    <w:rsid w:val="003F091F"/>
    <w:rsid w:val="003F0B32"/>
    <w:rsid w:val="003F1A60"/>
    <w:rsid w:val="003F71B4"/>
    <w:rsid w:val="00424F95"/>
    <w:rsid w:val="00432004"/>
    <w:rsid w:val="00433702"/>
    <w:rsid w:val="00434718"/>
    <w:rsid w:val="00434C64"/>
    <w:rsid w:val="004549E5"/>
    <w:rsid w:val="004569EC"/>
    <w:rsid w:val="0045751E"/>
    <w:rsid w:val="0046025B"/>
    <w:rsid w:val="00472037"/>
    <w:rsid w:val="0047277E"/>
    <w:rsid w:val="00493D0E"/>
    <w:rsid w:val="004A2D1D"/>
    <w:rsid w:val="004B378F"/>
    <w:rsid w:val="004B7D21"/>
    <w:rsid w:val="004C1723"/>
    <w:rsid w:val="004E2ACF"/>
    <w:rsid w:val="004F2DEE"/>
    <w:rsid w:val="004F4B4B"/>
    <w:rsid w:val="00514D11"/>
    <w:rsid w:val="00521033"/>
    <w:rsid w:val="005266D6"/>
    <w:rsid w:val="0053510C"/>
    <w:rsid w:val="005426C9"/>
    <w:rsid w:val="00542C25"/>
    <w:rsid w:val="005451BA"/>
    <w:rsid w:val="00556C3F"/>
    <w:rsid w:val="0055714B"/>
    <w:rsid w:val="0056286A"/>
    <w:rsid w:val="00574F10"/>
    <w:rsid w:val="00575E56"/>
    <w:rsid w:val="00585FEA"/>
    <w:rsid w:val="0059700B"/>
    <w:rsid w:val="005A4502"/>
    <w:rsid w:val="005A482B"/>
    <w:rsid w:val="005A5C16"/>
    <w:rsid w:val="005D2F66"/>
    <w:rsid w:val="005D499A"/>
    <w:rsid w:val="005E0972"/>
    <w:rsid w:val="005F59E0"/>
    <w:rsid w:val="00603BCA"/>
    <w:rsid w:val="00607B99"/>
    <w:rsid w:val="00611E06"/>
    <w:rsid w:val="00626ABC"/>
    <w:rsid w:val="00635D61"/>
    <w:rsid w:val="00637B05"/>
    <w:rsid w:val="0064301A"/>
    <w:rsid w:val="0065561F"/>
    <w:rsid w:val="00662AC9"/>
    <w:rsid w:val="00663EF7"/>
    <w:rsid w:val="00685F1B"/>
    <w:rsid w:val="006A5335"/>
    <w:rsid w:val="006A6B64"/>
    <w:rsid w:val="006B15DF"/>
    <w:rsid w:val="006B2CBD"/>
    <w:rsid w:val="006C11DA"/>
    <w:rsid w:val="006C3286"/>
    <w:rsid w:val="006C58DA"/>
    <w:rsid w:val="006D0111"/>
    <w:rsid w:val="006D704A"/>
    <w:rsid w:val="006F291C"/>
    <w:rsid w:val="00730108"/>
    <w:rsid w:val="0073484C"/>
    <w:rsid w:val="00736CF9"/>
    <w:rsid w:val="007406B3"/>
    <w:rsid w:val="0074264C"/>
    <w:rsid w:val="00764F70"/>
    <w:rsid w:val="007812D2"/>
    <w:rsid w:val="00785AE8"/>
    <w:rsid w:val="007A22E0"/>
    <w:rsid w:val="007A28F3"/>
    <w:rsid w:val="007A7E62"/>
    <w:rsid w:val="007D7244"/>
    <w:rsid w:val="007E261B"/>
    <w:rsid w:val="007E63DB"/>
    <w:rsid w:val="007F488C"/>
    <w:rsid w:val="007F63A7"/>
    <w:rsid w:val="007F73F5"/>
    <w:rsid w:val="008072F3"/>
    <w:rsid w:val="00807698"/>
    <w:rsid w:val="00815206"/>
    <w:rsid w:val="00826099"/>
    <w:rsid w:val="00830204"/>
    <w:rsid w:val="00853E92"/>
    <w:rsid w:val="008658FD"/>
    <w:rsid w:val="00866460"/>
    <w:rsid w:val="008718E6"/>
    <w:rsid w:val="00880291"/>
    <w:rsid w:val="00882537"/>
    <w:rsid w:val="008828F5"/>
    <w:rsid w:val="00890616"/>
    <w:rsid w:val="00890831"/>
    <w:rsid w:val="0089581B"/>
    <w:rsid w:val="008A0474"/>
    <w:rsid w:val="008B5F0D"/>
    <w:rsid w:val="008D0841"/>
    <w:rsid w:val="008E13F2"/>
    <w:rsid w:val="008F1DE3"/>
    <w:rsid w:val="009007DF"/>
    <w:rsid w:val="00902972"/>
    <w:rsid w:val="00912338"/>
    <w:rsid w:val="00914BCE"/>
    <w:rsid w:val="00916C13"/>
    <w:rsid w:val="00921AAF"/>
    <w:rsid w:val="00924669"/>
    <w:rsid w:val="0093165E"/>
    <w:rsid w:val="00940844"/>
    <w:rsid w:val="0094638F"/>
    <w:rsid w:val="0095444B"/>
    <w:rsid w:val="00957B02"/>
    <w:rsid w:val="00961F03"/>
    <w:rsid w:val="00966E6F"/>
    <w:rsid w:val="0097235C"/>
    <w:rsid w:val="00972A21"/>
    <w:rsid w:val="00972AC9"/>
    <w:rsid w:val="009918B0"/>
    <w:rsid w:val="009B4591"/>
    <w:rsid w:val="009B787A"/>
    <w:rsid w:val="009C4031"/>
    <w:rsid w:val="009D2BCD"/>
    <w:rsid w:val="009E36A7"/>
    <w:rsid w:val="009E48E6"/>
    <w:rsid w:val="009E5661"/>
    <w:rsid w:val="009F3928"/>
    <w:rsid w:val="009F48B3"/>
    <w:rsid w:val="009F6BE5"/>
    <w:rsid w:val="00A07843"/>
    <w:rsid w:val="00A114F7"/>
    <w:rsid w:val="00A1172B"/>
    <w:rsid w:val="00A14860"/>
    <w:rsid w:val="00A40452"/>
    <w:rsid w:val="00A40ADD"/>
    <w:rsid w:val="00A43E92"/>
    <w:rsid w:val="00A56CE9"/>
    <w:rsid w:val="00A65061"/>
    <w:rsid w:val="00A756D4"/>
    <w:rsid w:val="00A823B8"/>
    <w:rsid w:val="00A840BD"/>
    <w:rsid w:val="00A9084F"/>
    <w:rsid w:val="00A94E53"/>
    <w:rsid w:val="00A96612"/>
    <w:rsid w:val="00AA1A7D"/>
    <w:rsid w:val="00AA2500"/>
    <w:rsid w:val="00AB03A9"/>
    <w:rsid w:val="00AB03CD"/>
    <w:rsid w:val="00AB64ED"/>
    <w:rsid w:val="00AC3F0B"/>
    <w:rsid w:val="00AD0234"/>
    <w:rsid w:val="00AD514A"/>
    <w:rsid w:val="00AE0F01"/>
    <w:rsid w:val="00AE4682"/>
    <w:rsid w:val="00AE5FB3"/>
    <w:rsid w:val="00AF7E23"/>
    <w:rsid w:val="00B107AE"/>
    <w:rsid w:val="00B1737D"/>
    <w:rsid w:val="00B23985"/>
    <w:rsid w:val="00B254F5"/>
    <w:rsid w:val="00B2576C"/>
    <w:rsid w:val="00B31E54"/>
    <w:rsid w:val="00B5240D"/>
    <w:rsid w:val="00B564C1"/>
    <w:rsid w:val="00B717B4"/>
    <w:rsid w:val="00B77B81"/>
    <w:rsid w:val="00B77F44"/>
    <w:rsid w:val="00B8250A"/>
    <w:rsid w:val="00BB2222"/>
    <w:rsid w:val="00BB67BE"/>
    <w:rsid w:val="00BC16CE"/>
    <w:rsid w:val="00BC5DF8"/>
    <w:rsid w:val="00BD3952"/>
    <w:rsid w:val="00BD4CE3"/>
    <w:rsid w:val="00BE449E"/>
    <w:rsid w:val="00BF7B3E"/>
    <w:rsid w:val="00C06B12"/>
    <w:rsid w:val="00C171E1"/>
    <w:rsid w:val="00C2289A"/>
    <w:rsid w:val="00C25FFF"/>
    <w:rsid w:val="00C32D81"/>
    <w:rsid w:val="00C4306B"/>
    <w:rsid w:val="00C43E8E"/>
    <w:rsid w:val="00C43ED8"/>
    <w:rsid w:val="00C50DC5"/>
    <w:rsid w:val="00C5186F"/>
    <w:rsid w:val="00C55D33"/>
    <w:rsid w:val="00C60086"/>
    <w:rsid w:val="00C71D98"/>
    <w:rsid w:val="00C72F86"/>
    <w:rsid w:val="00C742E7"/>
    <w:rsid w:val="00C946E0"/>
    <w:rsid w:val="00C97D0F"/>
    <w:rsid w:val="00CA3B5B"/>
    <w:rsid w:val="00CA7D01"/>
    <w:rsid w:val="00CB2503"/>
    <w:rsid w:val="00CB49E7"/>
    <w:rsid w:val="00CC03B0"/>
    <w:rsid w:val="00CD60B6"/>
    <w:rsid w:val="00CE798D"/>
    <w:rsid w:val="00CF705A"/>
    <w:rsid w:val="00D127E1"/>
    <w:rsid w:val="00D259BD"/>
    <w:rsid w:val="00D3389E"/>
    <w:rsid w:val="00D36DC4"/>
    <w:rsid w:val="00D55AAF"/>
    <w:rsid w:val="00D72BAA"/>
    <w:rsid w:val="00D7538E"/>
    <w:rsid w:val="00D777E8"/>
    <w:rsid w:val="00D83300"/>
    <w:rsid w:val="00D87FB7"/>
    <w:rsid w:val="00DA29FF"/>
    <w:rsid w:val="00DA4821"/>
    <w:rsid w:val="00DB6DB4"/>
    <w:rsid w:val="00DB7845"/>
    <w:rsid w:val="00DC21C7"/>
    <w:rsid w:val="00DC7AEF"/>
    <w:rsid w:val="00DD1201"/>
    <w:rsid w:val="00DD536B"/>
    <w:rsid w:val="00DD561C"/>
    <w:rsid w:val="00DD7923"/>
    <w:rsid w:val="00DE42DA"/>
    <w:rsid w:val="00DE5C56"/>
    <w:rsid w:val="00E06560"/>
    <w:rsid w:val="00E108E3"/>
    <w:rsid w:val="00E23043"/>
    <w:rsid w:val="00E24801"/>
    <w:rsid w:val="00E250DF"/>
    <w:rsid w:val="00E3114D"/>
    <w:rsid w:val="00E370EA"/>
    <w:rsid w:val="00E43A25"/>
    <w:rsid w:val="00E56C4B"/>
    <w:rsid w:val="00E62141"/>
    <w:rsid w:val="00E7077E"/>
    <w:rsid w:val="00E7376F"/>
    <w:rsid w:val="00E903AD"/>
    <w:rsid w:val="00E9417B"/>
    <w:rsid w:val="00EA251E"/>
    <w:rsid w:val="00EA7B3D"/>
    <w:rsid w:val="00EB036E"/>
    <w:rsid w:val="00EB0B0A"/>
    <w:rsid w:val="00EB6861"/>
    <w:rsid w:val="00EC0F05"/>
    <w:rsid w:val="00EC1149"/>
    <w:rsid w:val="00EC6739"/>
    <w:rsid w:val="00ED4D1B"/>
    <w:rsid w:val="00EF2B49"/>
    <w:rsid w:val="00EF631E"/>
    <w:rsid w:val="00F001D2"/>
    <w:rsid w:val="00F01DAD"/>
    <w:rsid w:val="00F05098"/>
    <w:rsid w:val="00F0719A"/>
    <w:rsid w:val="00F104E6"/>
    <w:rsid w:val="00F27DA8"/>
    <w:rsid w:val="00F40659"/>
    <w:rsid w:val="00F46BF0"/>
    <w:rsid w:val="00F54EB9"/>
    <w:rsid w:val="00F569F4"/>
    <w:rsid w:val="00F57B18"/>
    <w:rsid w:val="00F7292F"/>
    <w:rsid w:val="00F72D20"/>
    <w:rsid w:val="00F765D0"/>
    <w:rsid w:val="00F76CEC"/>
    <w:rsid w:val="00F774C6"/>
    <w:rsid w:val="00F84795"/>
    <w:rsid w:val="00F85877"/>
    <w:rsid w:val="00FA0B2F"/>
    <w:rsid w:val="00FA2934"/>
    <w:rsid w:val="00FA2FE1"/>
    <w:rsid w:val="00FB7D49"/>
    <w:rsid w:val="00FC7D13"/>
    <w:rsid w:val="00FD271B"/>
    <w:rsid w:val="00FD7C0B"/>
    <w:rsid w:val="00FE5DB9"/>
    <w:rsid w:val="00FF3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466B"/>
  <w15:chartTrackingRefBased/>
  <w15:docId w15:val="{28BAE2CB-E231-4840-AA1E-2AEAD52F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03CD"/>
    <w:pPr>
      <w:jc w:val="both"/>
    </w:pPr>
    <w:rPr>
      <w:rFonts w:ascii="Times New Roman" w:hAnsi="Times New Roman"/>
      <w:sz w:val="24"/>
    </w:rPr>
  </w:style>
  <w:style w:type="paragraph" w:styleId="Nadpis1">
    <w:name w:val="heading 1"/>
    <w:basedOn w:val="Normln"/>
    <w:next w:val="Normln"/>
    <w:link w:val="Nadpis1Char"/>
    <w:uiPriority w:val="9"/>
    <w:qFormat/>
    <w:rsid w:val="00EB0B0A"/>
    <w:pPr>
      <w:keepNext/>
      <w:keepLines/>
      <w:numPr>
        <w:numId w:val="6"/>
      </w:numPr>
      <w:spacing w:before="240" w:after="80"/>
      <w:ind w:left="432"/>
      <w:outlineLvl w:val="0"/>
    </w:pPr>
    <w:rPr>
      <w:rFonts w:eastAsiaTheme="majorEastAsia" w:cstheme="majorBidi"/>
      <w:b/>
      <w:color w:val="273070"/>
      <w:sz w:val="32"/>
      <w:szCs w:val="32"/>
      <w:lang w:val="en-US"/>
    </w:rPr>
  </w:style>
  <w:style w:type="paragraph" w:styleId="Nadpis2">
    <w:name w:val="heading 2"/>
    <w:basedOn w:val="Normln"/>
    <w:next w:val="Normln"/>
    <w:link w:val="Nadpis2Char"/>
    <w:uiPriority w:val="9"/>
    <w:unhideWhenUsed/>
    <w:qFormat/>
    <w:rsid w:val="00BE449E"/>
    <w:pPr>
      <w:keepNext/>
      <w:keepLines/>
      <w:numPr>
        <w:ilvl w:val="1"/>
        <w:numId w:val="6"/>
      </w:numPr>
      <w:spacing w:before="40" w:after="80"/>
      <w:outlineLvl w:val="1"/>
    </w:pPr>
    <w:rPr>
      <w:rFonts w:eastAsiaTheme="majorEastAsia" w:cstheme="majorBidi"/>
      <w:color w:val="273070"/>
      <w:sz w:val="26"/>
      <w:szCs w:val="26"/>
      <w:lang w:val="en-US"/>
    </w:rPr>
  </w:style>
  <w:style w:type="paragraph" w:styleId="Nadpis3">
    <w:name w:val="heading 3"/>
    <w:basedOn w:val="Normln"/>
    <w:next w:val="Normln"/>
    <w:link w:val="Nadpis3Char"/>
    <w:uiPriority w:val="9"/>
    <w:unhideWhenUsed/>
    <w:qFormat/>
    <w:rsid w:val="004A2D1D"/>
    <w:pPr>
      <w:keepNext/>
      <w:keepLines/>
      <w:numPr>
        <w:ilvl w:val="2"/>
        <w:numId w:val="6"/>
      </w:numPr>
      <w:spacing w:before="40" w:after="0"/>
      <w:outlineLvl w:val="2"/>
    </w:pPr>
    <w:rPr>
      <w:rFonts w:eastAsiaTheme="majorEastAsia" w:cstheme="majorBidi"/>
      <w:color w:val="273070"/>
      <w:szCs w:val="24"/>
    </w:rPr>
  </w:style>
  <w:style w:type="paragraph" w:styleId="Nadpis4">
    <w:name w:val="heading 4"/>
    <w:basedOn w:val="Normln"/>
    <w:next w:val="Normln"/>
    <w:link w:val="Nadpis4Char"/>
    <w:uiPriority w:val="9"/>
    <w:unhideWhenUsed/>
    <w:qFormat/>
    <w:rsid w:val="004A2D1D"/>
    <w:pPr>
      <w:keepNext/>
      <w:keepLines/>
      <w:numPr>
        <w:ilvl w:val="3"/>
        <w:numId w:val="6"/>
      </w:numPr>
      <w:spacing w:before="40" w:after="0"/>
      <w:outlineLvl w:val="3"/>
    </w:pPr>
    <w:rPr>
      <w:rFonts w:eastAsiaTheme="majorEastAsia" w:cstheme="majorBidi"/>
      <w:i/>
      <w:iCs/>
      <w:color w:val="404041"/>
    </w:rPr>
  </w:style>
  <w:style w:type="paragraph" w:styleId="Nadpis5">
    <w:name w:val="heading 5"/>
    <w:basedOn w:val="Normln"/>
    <w:next w:val="Normln"/>
    <w:link w:val="Nadpis5Char"/>
    <w:uiPriority w:val="9"/>
    <w:semiHidden/>
    <w:unhideWhenUsed/>
    <w:qFormat/>
    <w:rsid w:val="004A2D1D"/>
    <w:pPr>
      <w:keepNext/>
      <w:keepLines/>
      <w:numPr>
        <w:ilvl w:val="4"/>
        <w:numId w:val="6"/>
      </w:numPr>
      <w:spacing w:before="40" w:after="0"/>
      <w:outlineLvl w:val="4"/>
    </w:pPr>
    <w:rPr>
      <w:rFonts w:eastAsiaTheme="majorEastAsia" w:cstheme="majorBidi"/>
      <w:color w:val="404041"/>
    </w:rPr>
  </w:style>
  <w:style w:type="paragraph" w:styleId="Nadpis6">
    <w:name w:val="heading 6"/>
    <w:basedOn w:val="Normln"/>
    <w:next w:val="Normln"/>
    <w:link w:val="Nadpis6Char"/>
    <w:uiPriority w:val="9"/>
    <w:semiHidden/>
    <w:unhideWhenUsed/>
    <w:qFormat/>
    <w:rsid w:val="009B787A"/>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B787A"/>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B787A"/>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B787A"/>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0B0A"/>
    <w:rPr>
      <w:rFonts w:ascii="Times New Roman" w:eastAsiaTheme="majorEastAsia" w:hAnsi="Times New Roman" w:cstheme="majorBidi"/>
      <w:b/>
      <w:color w:val="273070"/>
      <w:sz w:val="32"/>
      <w:szCs w:val="32"/>
      <w:lang w:val="en-US"/>
    </w:rPr>
  </w:style>
  <w:style w:type="character" w:customStyle="1" w:styleId="Nadpis2Char">
    <w:name w:val="Nadpis 2 Char"/>
    <w:basedOn w:val="Standardnpsmoodstavce"/>
    <w:link w:val="Nadpis2"/>
    <w:uiPriority w:val="9"/>
    <w:rsid w:val="00BE449E"/>
    <w:rPr>
      <w:rFonts w:ascii="Times New Roman" w:eastAsiaTheme="majorEastAsia" w:hAnsi="Times New Roman" w:cstheme="majorBidi"/>
      <w:color w:val="273070"/>
      <w:sz w:val="26"/>
      <w:szCs w:val="26"/>
      <w:lang w:val="en-US"/>
    </w:rPr>
  </w:style>
  <w:style w:type="character" w:customStyle="1" w:styleId="Nadpis3Char">
    <w:name w:val="Nadpis 3 Char"/>
    <w:basedOn w:val="Standardnpsmoodstavce"/>
    <w:link w:val="Nadpis3"/>
    <w:uiPriority w:val="9"/>
    <w:rsid w:val="004A2D1D"/>
    <w:rPr>
      <w:rFonts w:ascii="Times New Roman" w:eastAsiaTheme="majorEastAsia" w:hAnsi="Times New Roman" w:cstheme="majorBidi"/>
      <w:color w:val="273070"/>
      <w:sz w:val="24"/>
      <w:szCs w:val="24"/>
    </w:rPr>
  </w:style>
  <w:style w:type="character" w:customStyle="1" w:styleId="Nadpis4Char">
    <w:name w:val="Nadpis 4 Char"/>
    <w:basedOn w:val="Standardnpsmoodstavce"/>
    <w:link w:val="Nadpis4"/>
    <w:uiPriority w:val="9"/>
    <w:rsid w:val="004A2D1D"/>
    <w:rPr>
      <w:rFonts w:ascii="Times New Roman" w:eastAsiaTheme="majorEastAsia" w:hAnsi="Times New Roman" w:cstheme="majorBidi"/>
      <w:i/>
      <w:iCs/>
      <w:color w:val="404041"/>
      <w:sz w:val="24"/>
    </w:rPr>
  </w:style>
  <w:style w:type="character" w:customStyle="1" w:styleId="Nadpis5Char">
    <w:name w:val="Nadpis 5 Char"/>
    <w:basedOn w:val="Standardnpsmoodstavce"/>
    <w:link w:val="Nadpis5"/>
    <w:uiPriority w:val="9"/>
    <w:semiHidden/>
    <w:rsid w:val="004A2D1D"/>
    <w:rPr>
      <w:rFonts w:ascii="Times New Roman" w:eastAsiaTheme="majorEastAsia" w:hAnsi="Times New Roman" w:cstheme="majorBidi"/>
      <w:color w:val="404041"/>
      <w:sz w:val="24"/>
    </w:rPr>
  </w:style>
  <w:style w:type="character" w:customStyle="1" w:styleId="Nadpis6Char">
    <w:name w:val="Nadpis 6 Char"/>
    <w:basedOn w:val="Standardnpsmoodstavce"/>
    <w:link w:val="Nadpis6"/>
    <w:uiPriority w:val="9"/>
    <w:semiHidden/>
    <w:rsid w:val="009B787A"/>
    <w:rPr>
      <w:rFonts w:asciiTheme="majorHAnsi" w:eastAsiaTheme="majorEastAsia" w:hAnsiTheme="majorHAnsi" w:cstheme="majorBidi"/>
      <w:color w:val="1F4D78" w:themeColor="accent1" w:themeShade="7F"/>
      <w:sz w:val="24"/>
    </w:rPr>
  </w:style>
  <w:style w:type="character" w:customStyle="1" w:styleId="Nadpis7Char">
    <w:name w:val="Nadpis 7 Char"/>
    <w:basedOn w:val="Standardnpsmoodstavce"/>
    <w:link w:val="Nadpis7"/>
    <w:uiPriority w:val="9"/>
    <w:semiHidden/>
    <w:rsid w:val="009B787A"/>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9B787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B787A"/>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3B2A45"/>
    <w:pPr>
      <w:spacing w:after="0" w:line="240" w:lineRule="auto"/>
      <w:contextualSpacing/>
      <w:jc w:val="center"/>
    </w:pPr>
    <w:rPr>
      <w:rFonts w:eastAsiaTheme="majorEastAsia" w:cstheme="majorBidi"/>
      <w:b/>
      <w:spacing w:val="-10"/>
      <w:kern w:val="28"/>
      <w:sz w:val="48"/>
      <w:szCs w:val="56"/>
    </w:rPr>
  </w:style>
  <w:style w:type="character" w:customStyle="1" w:styleId="NzevChar">
    <w:name w:val="Název Char"/>
    <w:basedOn w:val="Standardnpsmoodstavce"/>
    <w:link w:val="Nzev"/>
    <w:uiPriority w:val="10"/>
    <w:rsid w:val="003B2A45"/>
    <w:rPr>
      <w:rFonts w:ascii="Times New Roman" w:eastAsiaTheme="majorEastAsia" w:hAnsi="Times New Roman" w:cstheme="majorBidi"/>
      <w:b/>
      <w:spacing w:val="-10"/>
      <w:kern w:val="28"/>
      <w:sz w:val="48"/>
      <w:szCs w:val="56"/>
    </w:rPr>
  </w:style>
  <w:style w:type="character" w:customStyle="1" w:styleId="rotkursiv">
    <w:name w:val="rot+kursiv"/>
    <w:basedOn w:val="Standardnpsmoodstavce"/>
    <w:uiPriority w:val="1"/>
    <w:rsid w:val="00F001D2"/>
    <w:rPr>
      <w:i/>
      <w:color w:val="C00000"/>
      <w:lang w:val="en-GB"/>
    </w:rPr>
  </w:style>
  <w:style w:type="paragraph" w:customStyle="1" w:styleId="Headline">
    <w:name w:val="Headline"/>
    <w:rsid w:val="00BE449E"/>
    <w:pPr>
      <w:spacing w:before="240" w:after="120" w:line="240" w:lineRule="auto"/>
    </w:pPr>
    <w:rPr>
      <w:rFonts w:ascii="Arial" w:eastAsia="Arial" w:hAnsi="Arial" w:cs="Arial"/>
      <w:b/>
      <w:color w:val="000000" w:themeColor="text1"/>
      <w:sz w:val="24"/>
      <w:szCs w:val="17"/>
      <w:lang w:val="en-GB"/>
    </w:rPr>
  </w:style>
  <w:style w:type="table" w:styleId="Prosttabulka1">
    <w:name w:val="Plain Table 1"/>
    <w:basedOn w:val="Normlntabulka"/>
    <w:uiPriority w:val="41"/>
    <w:rsid w:val="00BE449E"/>
    <w:pPr>
      <w:spacing w:after="0" w:line="240" w:lineRule="auto"/>
    </w:pPr>
    <w:rPr>
      <w:lang w:val="de-D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E449E"/>
    <w:pPr>
      <w:autoSpaceDE w:val="0"/>
      <w:autoSpaceDN w:val="0"/>
      <w:adjustRightInd w:val="0"/>
      <w:spacing w:after="0" w:line="240" w:lineRule="auto"/>
    </w:pPr>
    <w:rPr>
      <w:rFonts w:ascii="Arial" w:hAnsi="Arial" w:cs="Arial"/>
      <w:color w:val="000000"/>
      <w:sz w:val="24"/>
      <w:szCs w:val="24"/>
      <w:lang w:val="de-DE"/>
    </w:rPr>
  </w:style>
  <w:style w:type="paragraph" w:customStyle="1" w:styleId="TableText">
    <w:name w:val="Table Text"/>
    <w:basedOn w:val="Normln"/>
    <w:qFormat/>
    <w:rsid w:val="00BE449E"/>
    <w:pPr>
      <w:spacing w:before="60" w:after="60" w:line="200" w:lineRule="atLeast"/>
      <w:jc w:val="left"/>
    </w:pPr>
    <w:rPr>
      <w:rFonts w:eastAsia="Times New Roman" w:cs="Times New Roman"/>
      <w:sz w:val="22"/>
      <w:lang w:val="en-GB" w:eastAsia="de-DE"/>
    </w:rPr>
  </w:style>
  <w:style w:type="paragraph" w:styleId="Nadpisobsahu">
    <w:name w:val="TOC Heading"/>
    <w:basedOn w:val="Nadpis1"/>
    <w:next w:val="Normln"/>
    <w:uiPriority w:val="39"/>
    <w:unhideWhenUsed/>
    <w:qFormat/>
    <w:rsid w:val="008E13F2"/>
    <w:pPr>
      <w:numPr>
        <w:numId w:val="0"/>
      </w:numPr>
      <w:spacing w:after="0"/>
      <w:jc w:val="left"/>
      <w:outlineLvl w:val="9"/>
    </w:pPr>
    <w:rPr>
      <w:rFonts w:asciiTheme="majorHAnsi" w:hAnsiTheme="majorHAnsi"/>
      <w:b w:val="0"/>
      <w:color w:val="2E74B5" w:themeColor="accent1" w:themeShade="BF"/>
    </w:rPr>
  </w:style>
  <w:style w:type="paragraph" w:styleId="Obsah1">
    <w:name w:val="toc 1"/>
    <w:basedOn w:val="Normln"/>
    <w:next w:val="Normln"/>
    <w:autoRedefine/>
    <w:uiPriority w:val="39"/>
    <w:unhideWhenUsed/>
    <w:rsid w:val="00D777E8"/>
    <w:pPr>
      <w:tabs>
        <w:tab w:val="left" w:pos="440"/>
        <w:tab w:val="right" w:leader="dot" w:pos="9628"/>
      </w:tabs>
      <w:spacing w:after="100"/>
    </w:pPr>
    <w:rPr>
      <w:noProof/>
      <w:lang w:val="en-GB"/>
    </w:rPr>
  </w:style>
  <w:style w:type="paragraph" w:styleId="Obsah2">
    <w:name w:val="toc 2"/>
    <w:basedOn w:val="Normln"/>
    <w:next w:val="Normln"/>
    <w:autoRedefine/>
    <w:uiPriority w:val="39"/>
    <w:unhideWhenUsed/>
    <w:rsid w:val="008E13F2"/>
    <w:pPr>
      <w:spacing w:after="100"/>
      <w:ind w:left="240"/>
    </w:pPr>
  </w:style>
  <w:style w:type="character" w:styleId="Hypertextovodkaz">
    <w:name w:val="Hyperlink"/>
    <w:basedOn w:val="Standardnpsmoodstavce"/>
    <w:uiPriority w:val="99"/>
    <w:unhideWhenUsed/>
    <w:rsid w:val="008E13F2"/>
    <w:rPr>
      <w:color w:val="0563C1" w:themeColor="hyperlink"/>
      <w:u w:val="single"/>
    </w:rPr>
  </w:style>
  <w:style w:type="paragraph" w:styleId="Obsah3">
    <w:name w:val="toc 3"/>
    <w:basedOn w:val="Normln"/>
    <w:next w:val="Normln"/>
    <w:autoRedefine/>
    <w:uiPriority w:val="39"/>
    <w:unhideWhenUsed/>
    <w:rsid w:val="008E13F2"/>
    <w:pPr>
      <w:spacing w:after="100"/>
      <w:ind w:left="440"/>
      <w:jc w:val="left"/>
    </w:pPr>
    <w:rPr>
      <w:rFonts w:asciiTheme="minorHAnsi" w:eastAsiaTheme="minorEastAsia" w:hAnsiTheme="minorHAnsi" w:cs="Times New Roman"/>
      <w:sz w:val="22"/>
      <w:lang w:val="en-US"/>
    </w:rPr>
  </w:style>
  <w:style w:type="paragraph" w:styleId="Podnadpis">
    <w:name w:val="Subtitle"/>
    <w:basedOn w:val="Normln"/>
    <w:next w:val="Normln"/>
    <w:link w:val="PodnadpisChar"/>
    <w:uiPriority w:val="11"/>
    <w:qFormat/>
    <w:rsid w:val="003B2A45"/>
    <w:pPr>
      <w:numPr>
        <w:ilvl w:val="1"/>
      </w:numPr>
      <w:spacing w:before="240"/>
      <w:jc w:val="center"/>
    </w:pPr>
    <w:rPr>
      <w:rFonts w:eastAsiaTheme="minorEastAsia"/>
      <w:b/>
      <w:color w:val="273070"/>
      <w:spacing w:val="15"/>
      <w:sz w:val="44"/>
    </w:rPr>
  </w:style>
  <w:style w:type="character" w:customStyle="1" w:styleId="PodnadpisChar">
    <w:name w:val="Podnadpis Char"/>
    <w:basedOn w:val="Standardnpsmoodstavce"/>
    <w:link w:val="Podnadpis"/>
    <w:uiPriority w:val="11"/>
    <w:rsid w:val="003B2A45"/>
    <w:rPr>
      <w:rFonts w:ascii="Times New Roman" w:eastAsiaTheme="minorEastAsia" w:hAnsi="Times New Roman"/>
      <w:b/>
      <w:color w:val="273070"/>
      <w:spacing w:val="15"/>
      <w:sz w:val="44"/>
    </w:rPr>
  </w:style>
  <w:style w:type="paragraph" w:customStyle="1" w:styleId="Text1">
    <w:name w:val="Text 1"/>
    <w:basedOn w:val="Normln"/>
    <w:rsid w:val="009007DF"/>
    <w:pPr>
      <w:spacing w:before="120" w:after="120" w:line="240" w:lineRule="auto"/>
      <w:ind w:left="850"/>
    </w:pPr>
    <w:rPr>
      <w:rFonts w:eastAsia="Times New Roman" w:cs="Times New Roman"/>
      <w:szCs w:val="24"/>
      <w:lang w:val="en-GB"/>
    </w:rPr>
  </w:style>
  <w:style w:type="paragraph" w:styleId="Textbubliny">
    <w:name w:val="Balloon Text"/>
    <w:basedOn w:val="Normln"/>
    <w:link w:val="TextbublinyChar"/>
    <w:uiPriority w:val="99"/>
    <w:semiHidden/>
    <w:unhideWhenUsed/>
    <w:rsid w:val="00EB03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036E"/>
    <w:rPr>
      <w:rFonts w:ascii="Segoe UI" w:hAnsi="Segoe UI" w:cs="Segoe UI"/>
      <w:sz w:val="18"/>
      <w:szCs w:val="18"/>
    </w:rPr>
  </w:style>
  <w:style w:type="paragraph" w:styleId="Odstavecseseznamem">
    <w:name w:val="List Paragraph"/>
    <w:aliases w:val="Paragraphe de liste PBLH,Graph &amp; Table tite,List Paragraph in table,Foot note,Bullet Points,Liste Paragraf,Scriptoria bullet points,Normal bullet 2,Bullet List,List Paragraph (numbered (a)),References,WB List Paragraph"/>
    <w:basedOn w:val="Normln"/>
    <w:link w:val="OdstavecseseznamemChar"/>
    <w:uiPriority w:val="34"/>
    <w:qFormat/>
    <w:rsid w:val="00212401"/>
    <w:pPr>
      <w:ind w:left="720"/>
      <w:contextualSpacing/>
    </w:pPr>
  </w:style>
  <w:style w:type="character" w:customStyle="1" w:styleId="OdstavecseseznamemChar">
    <w:name w:val="Odstavec se seznamem Char"/>
    <w:aliases w:val="Paragraphe de liste PBLH Char,Graph &amp; Table tite Char,List Paragraph in table Char,Foot note Char,Bullet Points Char,Liste Paragraf Char,Scriptoria bullet points Char,Normal bullet 2 Char,Bullet List Char,References Char"/>
    <w:link w:val="Odstavecseseznamem"/>
    <w:uiPriority w:val="34"/>
    <w:qFormat/>
    <w:locked/>
    <w:rsid w:val="00212401"/>
    <w:rPr>
      <w:rFonts w:ascii="Times New Roman" w:hAnsi="Times New Roman"/>
      <w:sz w:val="24"/>
    </w:rPr>
  </w:style>
  <w:style w:type="character" w:styleId="Odkaznakoment">
    <w:name w:val="annotation reference"/>
    <w:basedOn w:val="Standardnpsmoodstavce"/>
    <w:uiPriority w:val="99"/>
    <w:semiHidden/>
    <w:unhideWhenUsed/>
    <w:rsid w:val="00EF2B49"/>
    <w:rPr>
      <w:sz w:val="16"/>
      <w:szCs w:val="16"/>
    </w:rPr>
  </w:style>
  <w:style w:type="paragraph" w:styleId="Textkomente">
    <w:name w:val="annotation text"/>
    <w:basedOn w:val="Normln"/>
    <w:link w:val="TextkomenteChar"/>
    <w:uiPriority w:val="99"/>
    <w:unhideWhenUsed/>
    <w:rsid w:val="00EF2B49"/>
    <w:pPr>
      <w:spacing w:line="240" w:lineRule="auto"/>
    </w:pPr>
    <w:rPr>
      <w:sz w:val="20"/>
      <w:szCs w:val="20"/>
    </w:rPr>
  </w:style>
  <w:style w:type="character" w:customStyle="1" w:styleId="TextkomenteChar">
    <w:name w:val="Text komentáře Char"/>
    <w:basedOn w:val="Standardnpsmoodstavce"/>
    <w:link w:val="Textkomente"/>
    <w:uiPriority w:val="99"/>
    <w:rsid w:val="00EF2B49"/>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EF2B49"/>
    <w:rPr>
      <w:b/>
      <w:bCs/>
    </w:rPr>
  </w:style>
  <w:style w:type="character" w:customStyle="1" w:styleId="PedmtkomenteChar">
    <w:name w:val="Předmět komentáře Char"/>
    <w:basedOn w:val="TextkomenteChar"/>
    <w:link w:val="Pedmtkomente"/>
    <w:uiPriority w:val="99"/>
    <w:semiHidden/>
    <w:rsid w:val="00EF2B49"/>
    <w:rPr>
      <w:rFonts w:ascii="Times New Roman" w:hAnsi="Times New Roman"/>
      <w:b/>
      <w:bCs/>
      <w:sz w:val="20"/>
      <w:szCs w:val="20"/>
    </w:rPr>
  </w:style>
  <w:style w:type="paragraph" w:styleId="Zhlav">
    <w:name w:val="header"/>
    <w:basedOn w:val="Normln"/>
    <w:link w:val="ZhlavChar"/>
    <w:uiPriority w:val="99"/>
    <w:unhideWhenUsed/>
    <w:rsid w:val="0056286A"/>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56286A"/>
    <w:rPr>
      <w:rFonts w:ascii="Times New Roman" w:hAnsi="Times New Roman"/>
      <w:sz w:val="24"/>
    </w:rPr>
  </w:style>
  <w:style w:type="paragraph" w:styleId="Zpat">
    <w:name w:val="footer"/>
    <w:basedOn w:val="Normln"/>
    <w:link w:val="ZpatChar"/>
    <w:uiPriority w:val="99"/>
    <w:unhideWhenUsed/>
    <w:rsid w:val="0056286A"/>
    <w:pPr>
      <w:tabs>
        <w:tab w:val="center" w:pos="4513"/>
        <w:tab w:val="right" w:pos="9026"/>
      </w:tabs>
      <w:spacing w:after="0" w:line="240" w:lineRule="auto"/>
    </w:pPr>
  </w:style>
  <w:style w:type="character" w:customStyle="1" w:styleId="ZpatChar">
    <w:name w:val="Zápatí Char"/>
    <w:basedOn w:val="Standardnpsmoodstavce"/>
    <w:link w:val="Zpat"/>
    <w:uiPriority w:val="99"/>
    <w:rsid w:val="0056286A"/>
    <w:rPr>
      <w:rFonts w:ascii="Times New Roman" w:hAnsi="Times New Roman"/>
      <w:sz w:val="24"/>
    </w:rPr>
  </w:style>
  <w:style w:type="character" w:styleId="Znakapoznpodarou">
    <w:name w:val="footnote reference"/>
    <w:basedOn w:val="Standardnpsmoodstavce"/>
    <w:link w:val="Char2"/>
    <w:uiPriority w:val="99"/>
    <w:unhideWhenUsed/>
    <w:qFormat/>
    <w:rsid w:val="0056286A"/>
    <w:rPr>
      <w:vertAlign w:val="superscript"/>
    </w:rPr>
  </w:style>
  <w:style w:type="paragraph" w:customStyle="1" w:styleId="Char2">
    <w:name w:val="Char2"/>
    <w:basedOn w:val="Normln"/>
    <w:link w:val="Znakapoznpodarou"/>
    <w:uiPriority w:val="99"/>
    <w:rsid w:val="0056286A"/>
    <w:pPr>
      <w:spacing w:before="120" w:line="240" w:lineRule="exact"/>
      <w:jc w:val="left"/>
    </w:pPr>
    <w:rPr>
      <w:rFonts w:asciiTheme="minorHAnsi" w:hAnsiTheme="minorHAnsi"/>
      <w:sz w:val="22"/>
      <w:vertAlign w:val="superscript"/>
    </w:rPr>
  </w:style>
  <w:style w:type="paragraph" w:styleId="Textpoznpodarou">
    <w:name w:val="footnote text"/>
    <w:basedOn w:val="Normln"/>
    <w:link w:val="TextpoznpodarouChar"/>
    <w:uiPriority w:val="99"/>
    <w:semiHidden/>
    <w:unhideWhenUsed/>
    <w:rsid w:val="00FA2FE1"/>
    <w:pPr>
      <w:spacing w:after="0" w:line="240" w:lineRule="auto"/>
    </w:pPr>
    <w:rPr>
      <w:kern w:val="2"/>
      <w:sz w:val="20"/>
      <w:szCs w:val="20"/>
      <w:lang w:val="en-GB"/>
      <w14:ligatures w14:val="standardContextual"/>
    </w:rPr>
  </w:style>
  <w:style w:type="character" w:customStyle="1" w:styleId="TextpoznpodarouChar">
    <w:name w:val="Text pozn. pod čarou Char"/>
    <w:basedOn w:val="Standardnpsmoodstavce"/>
    <w:link w:val="Textpoznpodarou"/>
    <w:uiPriority w:val="99"/>
    <w:semiHidden/>
    <w:rsid w:val="00FA2FE1"/>
    <w:rPr>
      <w:rFonts w:ascii="Times New Roman" w:hAnsi="Times New Roman"/>
      <w:kern w:val="2"/>
      <w:sz w:val="20"/>
      <w:szCs w:val="20"/>
      <w:lang w:val="en-GB"/>
      <w14:ligatures w14:val="standardContextual"/>
    </w:rPr>
  </w:style>
  <w:style w:type="paragraph" w:styleId="Revize">
    <w:name w:val="Revision"/>
    <w:hidden/>
    <w:uiPriority w:val="99"/>
    <w:semiHidden/>
    <w:rsid w:val="00DD536B"/>
    <w:pPr>
      <w:spacing w:after="0" w:line="240" w:lineRule="auto"/>
    </w:pPr>
    <w:rPr>
      <w:rFonts w:ascii="Times New Roman" w:hAnsi="Times New Roman"/>
      <w:sz w:val="24"/>
    </w:rPr>
  </w:style>
  <w:style w:type="paragraph" w:customStyle="1" w:styleId="Textnumbering">
    <w:name w:val="Text + numbering"/>
    <w:basedOn w:val="Odstavecseseznamem"/>
    <w:link w:val="TextnumberingChar"/>
    <w:qFormat/>
    <w:rsid w:val="00853E92"/>
    <w:pPr>
      <w:tabs>
        <w:tab w:val="left" w:pos="567"/>
      </w:tabs>
      <w:ind w:left="567" w:hanging="567"/>
    </w:pPr>
  </w:style>
  <w:style w:type="character" w:customStyle="1" w:styleId="TextnumberingChar">
    <w:name w:val="Text + numbering Char"/>
    <w:basedOn w:val="OdstavecseseznamemChar"/>
    <w:link w:val="Textnumbering"/>
    <w:rsid w:val="00853E9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7745">
      <w:bodyDiv w:val="1"/>
      <w:marLeft w:val="0"/>
      <w:marRight w:val="0"/>
      <w:marTop w:val="0"/>
      <w:marBottom w:val="0"/>
      <w:divBdr>
        <w:top w:val="none" w:sz="0" w:space="0" w:color="auto"/>
        <w:left w:val="none" w:sz="0" w:space="0" w:color="auto"/>
        <w:bottom w:val="none" w:sz="0" w:space="0" w:color="auto"/>
        <w:right w:val="none" w:sz="0" w:space="0" w:color="auto"/>
      </w:divBdr>
    </w:div>
    <w:div w:id="140927259">
      <w:bodyDiv w:val="1"/>
      <w:marLeft w:val="0"/>
      <w:marRight w:val="0"/>
      <w:marTop w:val="0"/>
      <w:marBottom w:val="0"/>
      <w:divBdr>
        <w:top w:val="none" w:sz="0" w:space="0" w:color="auto"/>
        <w:left w:val="none" w:sz="0" w:space="0" w:color="auto"/>
        <w:bottom w:val="none" w:sz="0" w:space="0" w:color="auto"/>
        <w:right w:val="none" w:sz="0" w:space="0" w:color="auto"/>
      </w:divBdr>
    </w:div>
    <w:div w:id="156112482">
      <w:bodyDiv w:val="1"/>
      <w:marLeft w:val="0"/>
      <w:marRight w:val="0"/>
      <w:marTop w:val="0"/>
      <w:marBottom w:val="0"/>
      <w:divBdr>
        <w:top w:val="none" w:sz="0" w:space="0" w:color="auto"/>
        <w:left w:val="none" w:sz="0" w:space="0" w:color="auto"/>
        <w:bottom w:val="none" w:sz="0" w:space="0" w:color="auto"/>
        <w:right w:val="none" w:sz="0" w:space="0" w:color="auto"/>
      </w:divBdr>
    </w:div>
    <w:div w:id="395857575">
      <w:bodyDiv w:val="1"/>
      <w:marLeft w:val="0"/>
      <w:marRight w:val="0"/>
      <w:marTop w:val="0"/>
      <w:marBottom w:val="0"/>
      <w:divBdr>
        <w:top w:val="none" w:sz="0" w:space="0" w:color="auto"/>
        <w:left w:val="none" w:sz="0" w:space="0" w:color="auto"/>
        <w:bottom w:val="none" w:sz="0" w:space="0" w:color="auto"/>
        <w:right w:val="none" w:sz="0" w:space="0" w:color="auto"/>
      </w:divBdr>
    </w:div>
    <w:div w:id="571505902">
      <w:bodyDiv w:val="1"/>
      <w:marLeft w:val="0"/>
      <w:marRight w:val="0"/>
      <w:marTop w:val="0"/>
      <w:marBottom w:val="0"/>
      <w:divBdr>
        <w:top w:val="none" w:sz="0" w:space="0" w:color="auto"/>
        <w:left w:val="none" w:sz="0" w:space="0" w:color="auto"/>
        <w:bottom w:val="none" w:sz="0" w:space="0" w:color="auto"/>
        <w:right w:val="none" w:sz="0" w:space="0" w:color="auto"/>
      </w:divBdr>
    </w:div>
    <w:div w:id="1004430114">
      <w:bodyDiv w:val="1"/>
      <w:marLeft w:val="0"/>
      <w:marRight w:val="0"/>
      <w:marTop w:val="0"/>
      <w:marBottom w:val="0"/>
      <w:divBdr>
        <w:top w:val="none" w:sz="0" w:space="0" w:color="auto"/>
        <w:left w:val="none" w:sz="0" w:space="0" w:color="auto"/>
        <w:bottom w:val="none" w:sz="0" w:space="0" w:color="auto"/>
        <w:right w:val="none" w:sz="0" w:space="0" w:color="auto"/>
      </w:divBdr>
    </w:div>
    <w:div w:id="1180240041">
      <w:bodyDiv w:val="1"/>
      <w:marLeft w:val="0"/>
      <w:marRight w:val="0"/>
      <w:marTop w:val="0"/>
      <w:marBottom w:val="0"/>
      <w:divBdr>
        <w:top w:val="none" w:sz="0" w:space="0" w:color="auto"/>
        <w:left w:val="none" w:sz="0" w:space="0" w:color="auto"/>
        <w:bottom w:val="none" w:sz="0" w:space="0" w:color="auto"/>
        <w:right w:val="none" w:sz="0" w:space="0" w:color="auto"/>
      </w:divBdr>
    </w:div>
    <w:div w:id="1263993029">
      <w:bodyDiv w:val="1"/>
      <w:marLeft w:val="0"/>
      <w:marRight w:val="0"/>
      <w:marTop w:val="0"/>
      <w:marBottom w:val="0"/>
      <w:divBdr>
        <w:top w:val="none" w:sz="0" w:space="0" w:color="auto"/>
        <w:left w:val="none" w:sz="0" w:space="0" w:color="auto"/>
        <w:bottom w:val="none" w:sz="0" w:space="0" w:color="auto"/>
        <w:right w:val="none" w:sz="0" w:space="0" w:color="auto"/>
      </w:divBdr>
    </w:div>
    <w:div w:id="1568880774">
      <w:bodyDiv w:val="1"/>
      <w:marLeft w:val="0"/>
      <w:marRight w:val="0"/>
      <w:marTop w:val="0"/>
      <w:marBottom w:val="0"/>
      <w:divBdr>
        <w:top w:val="none" w:sz="0" w:space="0" w:color="auto"/>
        <w:left w:val="none" w:sz="0" w:space="0" w:color="auto"/>
        <w:bottom w:val="none" w:sz="0" w:space="0" w:color="auto"/>
        <w:right w:val="none" w:sz="0" w:space="0" w:color="auto"/>
      </w:divBdr>
    </w:div>
    <w:div w:id="1645891454">
      <w:bodyDiv w:val="1"/>
      <w:marLeft w:val="0"/>
      <w:marRight w:val="0"/>
      <w:marTop w:val="0"/>
      <w:marBottom w:val="0"/>
      <w:divBdr>
        <w:top w:val="none" w:sz="0" w:space="0" w:color="auto"/>
        <w:left w:val="none" w:sz="0" w:space="0" w:color="auto"/>
        <w:bottom w:val="none" w:sz="0" w:space="0" w:color="auto"/>
        <w:right w:val="none" w:sz="0" w:space="0" w:color="auto"/>
      </w:divBdr>
    </w:div>
    <w:div w:id="1657496003">
      <w:bodyDiv w:val="1"/>
      <w:marLeft w:val="0"/>
      <w:marRight w:val="0"/>
      <w:marTop w:val="0"/>
      <w:marBottom w:val="0"/>
      <w:divBdr>
        <w:top w:val="none" w:sz="0" w:space="0" w:color="auto"/>
        <w:left w:val="none" w:sz="0" w:space="0" w:color="auto"/>
        <w:bottom w:val="none" w:sz="0" w:space="0" w:color="auto"/>
        <w:right w:val="none" w:sz="0" w:space="0" w:color="auto"/>
      </w:divBdr>
    </w:div>
    <w:div w:id="1859614847">
      <w:bodyDiv w:val="1"/>
      <w:marLeft w:val="0"/>
      <w:marRight w:val="0"/>
      <w:marTop w:val="0"/>
      <w:marBottom w:val="0"/>
      <w:divBdr>
        <w:top w:val="none" w:sz="0" w:space="0" w:color="auto"/>
        <w:left w:val="none" w:sz="0" w:space="0" w:color="auto"/>
        <w:bottom w:val="none" w:sz="0" w:space="0" w:color="auto"/>
        <w:right w:val="none" w:sz="0" w:space="0" w:color="auto"/>
      </w:divBdr>
    </w:div>
    <w:div w:id="1879009492">
      <w:bodyDiv w:val="1"/>
      <w:marLeft w:val="0"/>
      <w:marRight w:val="0"/>
      <w:marTop w:val="0"/>
      <w:marBottom w:val="0"/>
      <w:divBdr>
        <w:top w:val="none" w:sz="0" w:space="0" w:color="auto"/>
        <w:left w:val="none" w:sz="0" w:space="0" w:color="auto"/>
        <w:bottom w:val="none" w:sz="0" w:space="0" w:color="auto"/>
        <w:right w:val="none" w:sz="0" w:space="0" w:color="auto"/>
      </w:divBdr>
    </w:div>
    <w:div w:id="1985112082">
      <w:bodyDiv w:val="1"/>
      <w:marLeft w:val="0"/>
      <w:marRight w:val="0"/>
      <w:marTop w:val="0"/>
      <w:marBottom w:val="0"/>
      <w:divBdr>
        <w:top w:val="none" w:sz="0" w:space="0" w:color="auto"/>
        <w:left w:val="none" w:sz="0" w:space="0" w:color="auto"/>
        <w:bottom w:val="none" w:sz="0" w:space="0" w:color="auto"/>
        <w:right w:val="none" w:sz="0" w:space="0" w:color="auto"/>
      </w:divBdr>
    </w:div>
    <w:div w:id="202100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8C8B76D0-1275-4722-ADC8-9F353D1C8CB9}">
  <ds:schemaRefs>
    <ds:schemaRef ds:uri="http://schemas.openxmlformats.org/officeDocument/2006/bibliography"/>
  </ds:schemaRefs>
</ds:datastoreItem>
</file>

<file path=customXml/itemProps2.xml><?xml version="1.0" encoding="utf-8"?>
<ds:datastoreItem xmlns:ds="http://schemas.openxmlformats.org/officeDocument/2006/customXml" ds:itemID="{E2629357-A905-4B42-AB7F-CEA95B0D3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3CE9EA-DA2E-4F33-8D22-8B5F5ADFEA35}">
  <ds:schemaRefs>
    <ds:schemaRef ds:uri="http://schemas.microsoft.com/sharepoint/v3/contenttype/forms"/>
  </ds:schemaRefs>
</ds:datastoreItem>
</file>

<file path=customXml/itemProps4.xml><?xml version="1.0" encoding="utf-8"?>
<ds:datastoreItem xmlns:ds="http://schemas.openxmlformats.org/officeDocument/2006/customXml" ds:itemID="{E9C49990-ED6C-4EED-908E-BA10E0504DA0}">
  <ds:schemaRefs>
    <ds:schemaRef ds:uri="http://purl.org/dc/terms/"/>
    <ds:schemaRef ds:uri="f5ebda27-b626-448f-a7d1-d1cf5ad133fa"/>
    <ds:schemaRef ds:uri="http://schemas.microsoft.com/office/2006/metadata/properties"/>
    <ds:schemaRef ds:uri="http://schemas.microsoft.com/office/2006/documentManagement/types"/>
    <ds:schemaRef ds:uri="a843bbba-5665-4b5f-aacc-cdcb1c804839"/>
    <ds:schemaRef ds:uri="4b2e9d09-07c5-42d4-ad0a-92e216c40b99"/>
    <ds:schemaRef ds:uri="http://schemas.openxmlformats.org/package/2006/metadata/core-properties"/>
    <ds:schemaRef ds:uri="http://schemas.microsoft.com/office/infopath/2007/PartnerControls"/>
    <ds:schemaRef ds:uri="http://purl.org/dc/elements/1.1/"/>
    <ds:schemaRef ds:uri="028236e2-f653-4d19-ab67-4d06a9145e0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2812</Words>
  <Characters>16596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Annex I_DoA_Czechia</vt:lpstr>
    </vt:vector>
  </TitlesOfParts>
  <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I_DoA_Czechia</dc:title>
  <dc:subject/>
  <dc:creator>Erikas Jankauskas</dc:creator>
  <cp:keywords/>
  <dc:description/>
  <cp:lastModifiedBy>Pintová Helena</cp:lastModifiedBy>
  <cp:revision>2</cp:revision>
  <dcterms:created xsi:type="dcterms:W3CDTF">2025-11-10T12:05:00Z</dcterms:created>
  <dcterms:modified xsi:type="dcterms:W3CDTF">2025-11-10T12:05:00Z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1561;#Lina Gumbrevičienė;#1554;#Regina Voitkevič;#1383;#Ugnė Rinkevičienė;#1692;#Viltė Daunoravičiūtė;#1382;#Domantas Čepas;#1576;#Inga Griškevičienė;#1633;#Jurgita Šiugždinienė;#641;#Austėja Vilkelytė;#722;#Rūta Grigaliūnienė;#234;#Rasa Suraučienė</vt:lpwstr>
  </property>
  <property fmtid="{D5CDD505-2E9C-101B-9397-08002B2CF9AE}" pid="7" name="DmsCommChanPerm">
    <vt:lpwstr/>
  </property>
  <property fmtid="{D5CDD505-2E9C-101B-9397-08002B2CF9AE}" pid="8" name="DmsPermissionsConfid">
    <vt:bool>false</vt:bool>
  </property>
</Properties>
</file>