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66EF" w14:textId="77777777" w:rsidR="00553DE1" w:rsidRPr="004F5FB0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39D386A2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>Dohoda o umožnění stavby</w:t>
      </w:r>
      <w:r w:rsidR="009E376C">
        <w:rPr>
          <w:rFonts w:ascii="Arial" w:hAnsi="Arial" w:cs="Arial"/>
          <w:sz w:val="22"/>
          <w:szCs w:val="22"/>
        </w:rPr>
        <w:t>/dočasné stavby</w:t>
      </w:r>
    </w:p>
    <w:p w14:paraId="02E0C4CE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03EABF0C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5FAFE948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7A954948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4C2953C7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687FE69C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0DBEEF67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70F2F824" w14:textId="77777777" w:rsidR="00E603D1" w:rsidRDefault="00E86C98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</w:t>
      </w:r>
    </w:p>
    <w:p w14:paraId="34265FFC" w14:textId="77777777" w:rsidR="00553DE1" w:rsidRPr="00B96584" w:rsidRDefault="00B10A60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 </w:t>
      </w:r>
    </w:p>
    <w:p w14:paraId="3F3D1765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25B75728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05976EBB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1D7F9D34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43BEA03E" w14:textId="74D84F92" w:rsidR="00553DE1" w:rsidRPr="00160969" w:rsidRDefault="00E53587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160969">
        <w:rPr>
          <w:rFonts w:ascii="Arial" w:hAnsi="Arial" w:cs="Arial"/>
          <w:b/>
          <w:sz w:val="22"/>
          <w:szCs w:val="22"/>
        </w:rPr>
        <w:t>S</w:t>
      </w:r>
      <w:r w:rsidR="00981A98" w:rsidRPr="00160969">
        <w:rPr>
          <w:rFonts w:ascii="Arial" w:hAnsi="Arial" w:cs="Arial"/>
          <w:b/>
          <w:sz w:val="22"/>
          <w:szCs w:val="22"/>
        </w:rPr>
        <w:t>tavebník</w:t>
      </w:r>
      <w:r w:rsidRPr="00160969">
        <w:rPr>
          <w:rFonts w:ascii="Arial" w:hAnsi="Arial" w:cs="Arial"/>
          <w:b/>
          <w:sz w:val="22"/>
          <w:szCs w:val="22"/>
        </w:rPr>
        <w:t>:</w:t>
      </w:r>
      <w:r w:rsidR="006B0A0B" w:rsidRPr="00160969">
        <w:rPr>
          <w:rFonts w:ascii="Arial" w:hAnsi="Arial" w:cs="Arial"/>
          <w:b/>
          <w:sz w:val="22"/>
          <w:szCs w:val="22"/>
        </w:rPr>
        <w:t xml:space="preserve"> </w:t>
      </w:r>
      <w:r w:rsidR="00FC7421" w:rsidRPr="00160969">
        <w:rPr>
          <w:rFonts w:ascii="Arial" w:hAnsi="Arial" w:cs="Arial"/>
          <w:b/>
          <w:sz w:val="22"/>
          <w:szCs w:val="22"/>
        </w:rPr>
        <w:t>LUCROS SICAV a.s.</w:t>
      </w:r>
      <w:r w:rsidR="00B96584" w:rsidRPr="00160969">
        <w:rPr>
          <w:rFonts w:ascii="Arial" w:hAnsi="Arial" w:cs="Arial"/>
          <w:b/>
          <w:sz w:val="22"/>
          <w:szCs w:val="22"/>
        </w:rPr>
        <w:t xml:space="preserve"> </w:t>
      </w:r>
    </w:p>
    <w:p w14:paraId="75011481" w14:textId="77777777" w:rsidR="00FC7421" w:rsidRPr="00160969" w:rsidRDefault="00553DE1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160969">
        <w:rPr>
          <w:rFonts w:ascii="Arial" w:hAnsi="Arial" w:cs="Arial"/>
          <w:sz w:val="22"/>
          <w:szCs w:val="22"/>
        </w:rPr>
        <w:t>se sídlem:</w:t>
      </w:r>
      <w:r w:rsidR="006B0A0B" w:rsidRPr="00160969">
        <w:rPr>
          <w:rFonts w:ascii="Arial" w:hAnsi="Arial" w:cs="Arial"/>
          <w:sz w:val="22"/>
          <w:szCs w:val="22"/>
        </w:rPr>
        <w:t xml:space="preserve"> </w:t>
      </w:r>
      <w:r w:rsidR="00FC7421" w:rsidRPr="00160969">
        <w:rPr>
          <w:rFonts w:ascii="Arial" w:hAnsi="Arial" w:cs="Arial"/>
          <w:sz w:val="22"/>
          <w:szCs w:val="22"/>
        </w:rPr>
        <w:t>Skorkovská 1310, 198 00 Praha</w:t>
      </w:r>
    </w:p>
    <w:p w14:paraId="61FBA4F6" w14:textId="77777777" w:rsidR="00FC7421" w:rsidRPr="00160969" w:rsidRDefault="00553DE1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160969">
        <w:rPr>
          <w:rFonts w:ascii="Arial" w:hAnsi="Arial" w:cs="Arial"/>
          <w:sz w:val="22"/>
          <w:szCs w:val="22"/>
        </w:rPr>
        <w:t>IČ</w:t>
      </w:r>
      <w:r w:rsidR="00B96584" w:rsidRPr="00160969">
        <w:rPr>
          <w:rFonts w:ascii="Arial" w:hAnsi="Arial" w:cs="Arial"/>
          <w:sz w:val="22"/>
          <w:szCs w:val="22"/>
        </w:rPr>
        <w:t>O</w:t>
      </w:r>
      <w:r w:rsidRPr="00160969">
        <w:rPr>
          <w:rFonts w:ascii="Arial" w:hAnsi="Arial" w:cs="Arial"/>
          <w:sz w:val="22"/>
          <w:szCs w:val="22"/>
        </w:rPr>
        <w:t>:</w:t>
      </w:r>
      <w:r w:rsidR="009B5F03" w:rsidRPr="00160969">
        <w:rPr>
          <w:rFonts w:ascii="Arial" w:hAnsi="Arial" w:cs="Arial"/>
          <w:sz w:val="22"/>
          <w:szCs w:val="22"/>
        </w:rPr>
        <w:t xml:space="preserve"> </w:t>
      </w:r>
      <w:r w:rsidR="00FC7421" w:rsidRPr="00160969">
        <w:rPr>
          <w:rFonts w:ascii="Arial" w:hAnsi="Arial" w:cs="Arial"/>
          <w:sz w:val="22"/>
          <w:szCs w:val="22"/>
        </w:rPr>
        <w:t>28507428</w:t>
      </w:r>
    </w:p>
    <w:p w14:paraId="441953C2" w14:textId="3924A81B" w:rsidR="00553DE1" w:rsidRPr="00160969" w:rsidRDefault="007111D0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160969">
        <w:rPr>
          <w:rFonts w:ascii="Arial" w:hAnsi="Arial" w:cs="Arial"/>
          <w:sz w:val="22"/>
          <w:szCs w:val="22"/>
        </w:rPr>
        <w:t>z</w:t>
      </w:r>
      <w:r w:rsidR="00FC7421" w:rsidRPr="00160969">
        <w:rPr>
          <w:rFonts w:ascii="Arial" w:hAnsi="Arial" w:cs="Arial"/>
          <w:sz w:val="22"/>
          <w:szCs w:val="22"/>
        </w:rPr>
        <w:t>astoupený</w:t>
      </w:r>
      <w:r w:rsidRPr="00160969">
        <w:rPr>
          <w:rFonts w:ascii="Arial" w:hAnsi="Arial" w:cs="Arial"/>
          <w:sz w:val="22"/>
          <w:szCs w:val="22"/>
        </w:rPr>
        <w:t xml:space="preserve"> </w:t>
      </w:r>
      <w:r w:rsidR="00160969" w:rsidRPr="00160969">
        <w:rPr>
          <w:rFonts w:ascii="Arial" w:hAnsi="Arial" w:cs="Arial"/>
          <w:sz w:val="22"/>
          <w:szCs w:val="22"/>
        </w:rPr>
        <w:t>Bc. Tomášem Valou, členem představenstva</w:t>
      </w:r>
    </w:p>
    <w:p w14:paraId="6FEE2434" w14:textId="77777777" w:rsidR="007111D0" w:rsidRPr="008D5BE0" w:rsidRDefault="007111D0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</w:p>
    <w:p w14:paraId="1AAF09F1" w14:textId="77777777" w:rsidR="008B1883" w:rsidRPr="00AB6E1B" w:rsidRDefault="008B1883" w:rsidP="00E603D1">
      <w:pPr>
        <w:spacing w:line="20" w:lineRule="atLeast"/>
        <w:ind w:firstLine="35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</w:t>
      </w:r>
      <w:r w:rsidR="00196760" w:rsidRPr="00AB6E1B">
        <w:rPr>
          <w:rFonts w:ascii="Arial" w:hAnsi="Arial" w:cs="Arial"/>
          <w:i/>
          <w:iCs/>
          <w:sz w:val="22"/>
          <w:szCs w:val="22"/>
        </w:rPr>
        <w:t xml:space="preserve">n </w:t>
      </w:r>
      <w:r w:rsidRPr="00AB6E1B">
        <w:rPr>
          <w:rFonts w:ascii="Arial" w:hAnsi="Arial" w:cs="Arial"/>
          <w:i/>
          <w:iCs/>
          <w:sz w:val="22"/>
          <w:szCs w:val="22"/>
        </w:rPr>
        <w:t>„stavebník“ na straně druhé)</w:t>
      </w:r>
    </w:p>
    <w:p w14:paraId="481D3040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446BC91A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760EC8B4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30368E90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3807F6D1" w14:textId="1F7C3795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9E376C">
        <w:rPr>
          <w:rFonts w:ascii="Arial" w:hAnsi="Arial" w:cs="Arial"/>
          <w:sz w:val="22"/>
          <w:szCs w:val="22"/>
        </w:rPr>
        <w:t>dočasné 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9474DD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6E53F9F4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26A90445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D15A402" w14:textId="5759122F" w:rsidR="00597030" w:rsidRDefault="00666204" w:rsidP="002508EC">
      <w:pPr>
        <w:pStyle w:val="Zkladntext2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  <w:r w:rsidR="00A41D0F">
        <w:rPr>
          <w:rFonts w:ascii="Arial" w:hAnsi="Arial" w:cs="Arial"/>
          <w:b/>
          <w:sz w:val="22"/>
          <w:szCs w:val="22"/>
        </w:rPr>
        <w:t>„</w:t>
      </w:r>
      <w:r w:rsidR="00FC7421">
        <w:rPr>
          <w:rFonts w:ascii="Arial" w:hAnsi="Arial" w:cs="Arial"/>
          <w:b/>
          <w:sz w:val="22"/>
          <w:szCs w:val="22"/>
        </w:rPr>
        <w:t>Bytový komplex Pražákova, Brno – zajištění stavební jámy</w:t>
      </w:r>
      <w:r w:rsidR="007471D8">
        <w:rPr>
          <w:rFonts w:ascii="Arial" w:hAnsi="Arial" w:cs="Arial"/>
          <w:b/>
          <w:sz w:val="22"/>
          <w:szCs w:val="22"/>
        </w:rPr>
        <w:t>“</w:t>
      </w:r>
      <w:r w:rsidR="00685659">
        <w:rPr>
          <w:rFonts w:ascii="Arial" w:hAnsi="Arial" w:cs="Arial"/>
          <w:bCs/>
          <w:sz w:val="22"/>
          <w:szCs w:val="22"/>
        </w:rPr>
        <w:t>.</w:t>
      </w:r>
      <w:r w:rsidR="007471D8">
        <w:rPr>
          <w:rFonts w:ascii="Arial" w:hAnsi="Arial" w:cs="Arial"/>
          <w:bCs/>
          <w:sz w:val="22"/>
          <w:szCs w:val="22"/>
        </w:rPr>
        <w:t xml:space="preserve"> </w:t>
      </w:r>
    </w:p>
    <w:p w14:paraId="0E9EAB7D" w14:textId="003E7004" w:rsidR="00FC7421" w:rsidRPr="0075013E" w:rsidRDefault="00FC7421" w:rsidP="00FC742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Zajištění stavební jámy bude provedeno osazením svislých zápor z ocelových profilů lPE360 v rozteči </w:t>
      </w:r>
      <w:proofErr w:type="gramStart"/>
      <w:r>
        <w:rPr>
          <w:rFonts w:ascii="Arial" w:hAnsi="Arial" w:cs="Arial"/>
          <w:sz w:val="22"/>
          <w:szCs w:val="22"/>
        </w:rPr>
        <w:t>2m</w:t>
      </w:r>
      <w:proofErr w:type="gramEnd"/>
      <w:r>
        <w:rPr>
          <w:rFonts w:ascii="Arial" w:hAnsi="Arial" w:cs="Arial"/>
          <w:sz w:val="22"/>
          <w:szCs w:val="22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</w:rPr>
        <w:t>převázkou</w:t>
      </w:r>
      <w:proofErr w:type="spellEnd"/>
      <w:r>
        <w:rPr>
          <w:rFonts w:ascii="Arial" w:hAnsi="Arial" w:cs="Arial"/>
          <w:sz w:val="22"/>
          <w:szCs w:val="22"/>
        </w:rPr>
        <w:t xml:space="preserve"> z ocel. profilů 2x U300. Tyto konstrukce budou osazeny na pozemcích ve vlastnictví stavebníka. Stab</w:t>
      </w:r>
      <w:r w:rsidRPr="0075013E">
        <w:rPr>
          <w:rFonts w:ascii="Arial" w:hAnsi="Arial" w:cs="Arial"/>
          <w:sz w:val="22"/>
          <w:szCs w:val="22"/>
        </w:rPr>
        <w:t xml:space="preserve">ilita zápor bude zajištěna </w:t>
      </w:r>
      <w:r>
        <w:rPr>
          <w:rFonts w:ascii="Arial" w:hAnsi="Arial" w:cs="Arial"/>
          <w:sz w:val="22"/>
          <w:szCs w:val="22"/>
        </w:rPr>
        <w:t xml:space="preserve">dočasnými </w:t>
      </w:r>
      <w:proofErr w:type="spellStart"/>
      <w:r>
        <w:rPr>
          <w:rFonts w:ascii="Arial" w:hAnsi="Arial" w:cs="Arial"/>
          <w:sz w:val="22"/>
          <w:szCs w:val="22"/>
        </w:rPr>
        <w:t>pramencovými</w:t>
      </w:r>
      <w:proofErr w:type="spellEnd"/>
      <w:r>
        <w:rPr>
          <w:rFonts w:ascii="Arial" w:hAnsi="Arial" w:cs="Arial"/>
          <w:sz w:val="22"/>
          <w:szCs w:val="22"/>
        </w:rPr>
        <w:t xml:space="preserve"> vrtanými kotvami </w:t>
      </w:r>
      <w:r w:rsidR="007111D0">
        <w:rPr>
          <w:rFonts w:ascii="Arial" w:hAnsi="Arial" w:cs="Arial"/>
          <w:sz w:val="22"/>
          <w:szCs w:val="22"/>
        </w:rPr>
        <w:t xml:space="preserve">dl. </w:t>
      </w:r>
      <w:proofErr w:type="gramStart"/>
      <w:r w:rsidR="007111D0">
        <w:rPr>
          <w:rFonts w:ascii="Arial" w:hAnsi="Arial" w:cs="Arial"/>
          <w:sz w:val="22"/>
          <w:szCs w:val="22"/>
        </w:rPr>
        <w:t>14m</w:t>
      </w:r>
      <w:proofErr w:type="gramEnd"/>
      <w:r w:rsidR="007111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osazenými do předem připravených šikmých vrtů</w:t>
      </w:r>
      <w:r w:rsidRPr="0075013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 realizaci stavby budou k</w:t>
      </w:r>
      <w:r w:rsidRPr="0075013E">
        <w:rPr>
          <w:rFonts w:ascii="Arial" w:hAnsi="Arial" w:cs="Arial"/>
          <w:sz w:val="22"/>
          <w:szCs w:val="22"/>
        </w:rPr>
        <w:t>otvy ponechány v</w:t>
      </w:r>
      <w:r>
        <w:rPr>
          <w:rFonts w:ascii="Arial" w:hAnsi="Arial" w:cs="Arial"/>
          <w:sz w:val="22"/>
          <w:szCs w:val="22"/>
        </w:rPr>
        <w:t> </w:t>
      </w:r>
      <w:r w:rsidRPr="0075013E">
        <w:rPr>
          <w:rFonts w:ascii="Arial" w:hAnsi="Arial" w:cs="Arial"/>
          <w:sz w:val="22"/>
          <w:szCs w:val="22"/>
        </w:rPr>
        <w:t>zemi</w:t>
      </w:r>
      <w:r>
        <w:rPr>
          <w:rFonts w:ascii="Arial" w:hAnsi="Arial" w:cs="Arial"/>
          <w:sz w:val="22"/>
          <w:szCs w:val="22"/>
        </w:rPr>
        <w:t>,</w:t>
      </w:r>
      <w:r w:rsidRPr="0075013E">
        <w:rPr>
          <w:rFonts w:ascii="Arial" w:hAnsi="Arial" w:cs="Arial"/>
          <w:sz w:val="22"/>
          <w:szCs w:val="22"/>
        </w:rPr>
        <w:t xml:space="preserve"> kde během několika měsíců dojde k jejich deaktivaci. </w:t>
      </w:r>
    </w:p>
    <w:p w14:paraId="0241AB82" w14:textId="77777777" w:rsidR="00597030" w:rsidRPr="00AB6E1B" w:rsidRDefault="00597030" w:rsidP="00597030">
      <w:pPr>
        <w:pStyle w:val="Zkladntextodsazen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C5D5858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1412F1B4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CF46AE" w14:textId="18B6DCC9" w:rsidR="00A41D0F" w:rsidRPr="00AB6E1B" w:rsidRDefault="002508EC" w:rsidP="00A41D0F">
      <w:pPr>
        <w:pStyle w:val="Zkladntext2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Provedením </w:t>
      </w:r>
      <w:r w:rsidR="007111D0">
        <w:rPr>
          <w:rFonts w:ascii="Arial" w:hAnsi="Arial" w:cs="Arial"/>
          <w:sz w:val="22"/>
          <w:szCs w:val="22"/>
        </w:rPr>
        <w:t>zajištění stavební jámy</w:t>
      </w:r>
      <w:r w:rsidR="003551D8">
        <w:rPr>
          <w:rFonts w:ascii="Arial" w:hAnsi="Arial" w:cs="Arial"/>
          <w:sz w:val="22"/>
          <w:szCs w:val="22"/>
        </w:rPr>
        <w:t xml:space="preserve"> b</w:t>
      </w:r>
      <w:r w:rsidR="00A41D0F">
        <w:rPr>
          <w:rFonts w:ascii="Arial" w:hAnsi="Arial" w:cs="Arial"/>
          <w:sz w:val="22"/>
          <w:szCs w:val="22"/>
        </w:rPr>
        <w:t>ud</w:t>
      </w:r>
      <w:r w:rsidR="00F13409">
        <w:rPr>
          <w:rFonts w:ascii="Arial" w:hAnsi="Arial" w:cs="Arial"/>
          <w:sz w:val="22"/>
          <w:szCs w:val="22"/>
        </w:rPr>
        <w:t>ou</w:t>
      </w:r>
      <w:r w:rsidR="00A41D0F" w:rsidRPr="00AB6E1B">
        <w:rPr>
          <w:rFonts w:ascii="Arial" w:hAnsi="Arial" w:cs="Arial"/>
          <w:sz w:val="22"/>
          <w:szCs w:val="22"/>
        </w:rPr>
        <w:t xml:space="preserve"> </w:t>
      </w:r>
      <w:r w:rsidR="00E53587">
        <w:rPr>
          <w:rFonts w:ascii="Arial" w:hAnsi="Arial" w:cs="Arial"/>
          <w:sz w:val="22"/>
          <w:szCs w:val="22"/>
        </w:rPr>
        <w:t>dočasně dotčeny</w:t>
      </w:r>
      <w:r w:rsidR="00A41D0F" w:rsidRPr="00AB6E1B">
        <w:rPr>
          <w:rFonts w:ascii="Arial" w:hAnsi="Arial" w:cs="Arial"/>
          <w:sz w:val="22"/>
          <w:szCs w:val="22"/>
        </w:rPr>
        <w:t xml:space="preserve"> pozem</w:t>
      </w:r>
      <w:r w:rsidR="00F13409">
        <w:rPr>
          <w:rFonts w:ascii="Arial" w:hAnsi="Arial" w:cs="Arial"/>
          <w:sz w:val="22"/>
          <w:szCs w:val="22"/>
        </w:rPr>
        <w:t>ky</w:t>
      </w:r>
      <w:r w:rsidR="00A41D0F" w:rsidRPr="00AB6E1B">
        <w:rPr>
          <w:rFonts w:ascii="Arial" w:hAnsi="Arial" w:cs="Arial"/>
          <w:sz w:val="22"/>
          <w:szCs w:val="22"/>
        </w:rPr>
        <w:t xml:space="preserve"> ve vlastnictví statutárního </w:t>
      </w:r>
      <w:r w:rsidR="00BB14AA">
        <w:rPr>
          <w:rFonts w:ascii="Arial" w:hAnsi="Arial" w:cs="Arial"/>
          <w:sz w:val="22"/>
          <w:szCs w:val="22"/>
        </w:rPr>
        <w:t>města Brna</w:t>
      </w:r>
      <w:r w:rsidR="00A41D0F" w:rsidRPr="00AB6E1B">
        <w:rPr>
          <w:rFonts w:ascii="Arial" w:hAnsi="Arial" w:cs="Arial"/>
          <w:sz w:val="22"/>
          <w:szCs w:val="22"/>
        </w:rPr>
        <w:t xml:space="preserve"> zapsan</w:t>
      </w:r>
      <w:r w:rsidR="00F13409">
        <w:rPr>
          <w:rFonts w:ascii="Arial" w:hAnsi="Arial" w:cs="Arial"/>
          <w:sz w:val="22"/>
          <w:szCs w:val="22"/>
        </w:rPr>
        <w:t>é</w:t>
      </w:r>
      <w:r w:rsidR="00A41D0F"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="00A41D0F" w:rsidRPr="00AB6E1B">
          <w:rPr>
            <w:rFonts w:ascii="Arial" w:hAnsi="Arial" w:cs="Arial"/>
            <w:sz w:val="22"/>
            <w:szCs w:val="22"/>
          </w:rPr>
          <w:t>10001, a</w:t>
        </w:r>
      </w:smartTag>
      <w:r w:rsidR="00A41D0F" w:rsidRPr="00AB6E1B">
        <w:rPr>
          <w:rFonts w:ascii="Arial" w:hAnsi="Arial" w:cs="Arial"/>
          <w:sz w:val="22"/>
          <w:szCs w:val="22"/>
        </w:rPr>
        <w:t xml:space="preserve"> to: </w:t>
      </w:r>
      <w:proofErr w:type="spellStart"/>
      <w:r w:rsidR="00A41D0F" w:rsidRPr="00AB6E1B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41D0F" w:rsidRPr="00AB6E1B">
        <w:rPr>
          <w:rFonts w:ascii="Arial" w:hAnsi="Arial" w:cs="Arial"/>
          <w:b/>
          <w:bCs/>
          <w:sz w:val="22"/>
          <w:szCs w:val="22"/>
        </w:rPr>
        <w:t xml:space="preserve">. </w:t>
      </w:r>
      <w:r w:rsidR="00FC7421">
        <w:rPr>
          <w:rFonts w:ascii="Arial" w:hAnsi="Arial" w:cs="Arial"/>
          <w:b/>
          <w:bCs/>
          <w:sz w:val="22"/>
          <w:szCs w:val="22"/>
        </w:rPr>
        <w:t>1463/1, 1493, 1496/3</w:t>
      </w:r>
      <w:r w:rsidR="00F13409">
        <w:rPr>
          <w:rFonts w:ascii="Arial" w:hAnsi="Arial" w:cs="Arial"/>
          <w:b/>
          <w:bCs/>
          <w:sz w:val="22"/>
          <w:szCs w:val="22"/>
        </w:rPr>
        <w:t xml:space="preserve"> vše v </w:t>
      </w:r>
      <w:proofErr w:type="spellStart"/>
      <w:r w:rsidR="00A41D0F" w:rsidRPr="00AB6E1B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41D0F" w:rsidRPr="00AB6E1B">
        <w:rPr>
          <w:rFonts w:ascii="Arial" w:hAnsi="Arial" w:cs="Arial"/>
          <w:b/>
          <w:bCs/>
          <w:sz w:val="22"/>
          <w:szCs w:val="22"/>
        </w:rPr>
        <w:t xml:space="preserve">. </w:t>
      </w:r>
      <w:r w:rsidR="00FC7421">
        <w:rPr>
          <w:rFonts w:ascii="Arial" w:hAnsi="Arial" w:cs="Arial"/>
          <w:b/>
          <w:bCs/>
          <w:sz w:val="22"/>
          <w:szCs w:val="22"/>
        </w:rPr>
        <w:t>Horní Heršpice</w:t>
      </w:r>
      <w:r w:rsidR="009450D4">
        <w:rPr>
          <w:rFonts w:ascii="Arial" w:hAnsi="Arial" w:cs="Arial"/>
          <w:b/>
          <w:bCs/>
          <w:sz w:val="22"/>
          <w:szCs w:val="22"/>
        </w:rPr>
        <w:t>.</w:t>
      </w:r>
    </w:p>
    <w:p w14:paraId="6BD75534" w14:textId="77777777" w:rsidR="00D74D33" w:rsidRPr="00AB6E1B" w:rsidRDefault="00D74D33" w:rsidP="00AB6E1B">
      <w:pPr>
        <w:ind w:left="2123"/>
        <w:rPr>
          <w:rFonts w:ascii="Arial" w:hAnsi="Arial" w:cs="Arial"/>
          <w:color w:val="000000"/>
          <w:sz w:val="22"/>
          <w:szCs w:val="22"/>
        </w:rPr>
      </w:pPr>
    </w:p>
    <w:p w14:paraId="3EEC9D7B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16625F9D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6FABB0A" w14:textId="5B55CD84" w:rsidR="00AB659B" w:rsidRDefault="00001EC1" w:rsidP="0053214F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 xml:space="preserve">budou </w:t>
      </w:r>
      <w:r w:rsidR="007111D0">
        <w:rPr>
          <w:rFonts w:ascii="Arial" w:hAnsi="Arial" w:cs="Arial"/>
          <w:sz w:val="22"/>
          <w:szCs w:val="22"/>
        </w:rPr>
        <w:t>d</w:t>
      </w:r>
      <w:r w:rsidR="003551D8">
        <w:rPr>
          <w:rFonts w:ascii="Arial" w:hAnsi="Arial" w:cs="Arial"/>
          <w:sz w:val="22"/>
          <w:szCs w:val="22"/>
        </w:rPr>
        <w:t>otčeny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pozemky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 xml:space="preserve">města Brna </w:t>
      </w:r>
      <w:r w:rsidR="003551D8">
        <w:rPr>
          <w:rFonts w:ascii="Arial" w:hAnsi="Arial" w:cs="Arial"/>
          <w:sz w:val="22"/>
          <w:szCs w:val="22"/>
        </w:rPr>
        <w:t>uvedené</w:t>
      </w:r>
      <w:r w:rsidRPr="00AB6E1B">
        <w:rPr>
          <w:rFonts w:ascii="Arial" w:hAnsi="Arial" w:cs="Arial"/>
          <w:sz w:val="22"/>
          <w:szCs w:val="22"/>
        </w:rPr>
        <w:t xml:space="preserve"> 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</w:p>
    <w:p w14:paraId="06B9E282" w14:textId="7F8666AB" w:rsidR="007111D0" w:rsidRDefault="007111D0" w:rsidP="007111D0">
      <w:pPr>
        <w:pStyle w:val="Zkladntext2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B6E1B">
        <w:rPr>
          <w:rFonts w:ascii="Arial" w:hAnsi="Arial" w:cs="Arial"/>
          <w:sz w:val="22"/>
          <w:szCs w:val="22"/>
        </w:rPr>
        <w:t>Zásah do pozemk</w:t>
      </w:r>
      <w:r>
        <w:rPr>
          <w:rFonts w:ascii="Arial" w:hAnsi="Arial" w:cs="Arial"/>
          <w:sz w:val="22"/>
          <w:szCs w:val="22"/>
        </w:rPr>
        <w:t>ů</w:t>
      </w:r>
      <w:r w:rsidRPr="00AB6E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 musí být prováděn jen se souhlasem a dle podmínek stanovených správc</w:t>
      </w:r>
      <w:r>
        <w:rPr>
          <w:rFonts w:ascii="Arial" w:hAnsi="Arial" w:cs="Arial"/>
          <w:sz w:val="22"/>
          <w:szCs w:val="22"/>
        </w:rPr>
        <w:t>i</w:t>
      </w:r>
      <w:r w:rsidRPr="00AB6E1B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ů</w:t>
      </w:r>
      <w:r w:rsidRPr="00AB6E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kterými jsou </w:t>
      </w:r>
      <w:r w:rsidRPr="00AB6E1B">
        <w:rPr>
          <w:rFonts w:ascii="Arial" w:hAnsi="Arial" w:cs="Arial"/>
          <w:sz w:val="22"/>
          <w:szCs w:val="22"/>
        </w:rPr>
        <w:t>společnost Brněnské komunikace a.s.</w:t>
      </w:r>
      <w:r>
        <w:rPr>
          <w:rFonts w:ascii="Arial" w:hAnsi="Arial" w:cs="Arial"/>
          <w:sz w:val="22"/>
          <w:szCs w:val="22"/>
        </w:rPr>
        <w:t>, resp. dle čl. 22 Statutu města Brna – MČ Brno-jih.</w:t>
      </w:r>
    </w:p>
    <w:p w14:paraId="243355D1" w14:textId="70878907" w:rsidR="007111D0" w:rsidRDefault="007111D0" w:rsidP="007111D0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Stavba bude provedena dle výkresové dokumentace,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 xml:space="preserve">á je součástí dohody jako </w:t>
      </w:r>
      <w:r w:rsidRPr="00AB659B">
        <w:rPr>
          <w:rFonts w:ascii="Arial" w:hAnsi="Arial" w:cs="Arial"/>
          <w:sz w:val="22"/>
          <w:szCs w:val="22"/>
        </w:rPr>
        <w:t>příloh</w:t>
      </w:r>
      <w:r>
        <w:rPr>
          <w:rFonts w:ascii="Arial" w:hAnsi="Arial" w:cs="Arial"/>
          <w:sz w:val="22"/>
          <w:szCs w:val="22"/>
        </w:rPr>
        <w:t>a</w:t>
      </w:r>
      <w:r w:rsidRPr="00AB659B">
        <w:rPr>
          <w:rFonts w:ascii="Arial" w:hAnsi="Arial" w:cs="Arial"/>
          <w:sz w:val="22"/>
          <w:szCs w:val="22"/>
        </w:rPr>
        <w:t xml:space="preserve"> č.1</w:t>
      </w:r>
      <w:r>
        <w:rPr>
          <w:rFonts w:ascii="Arial" w:hAnsi="Arial" w:cs="Arial"/>
          <w:sz w:val="22"/>
          <w:szCs w:val="22"/>
        </w:rPr>
        <w:t xml:space="preserve"> – D.101.2 –</w:t>
      </w:r>
      <w:r w:rsidRPr="00AB65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Zajištění stavební jámy.</w:t>
      </w:r>
    </w:p>
    <w:p w14:paraId="5743F077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lastRenderedPageBreak/>
        <w:t>IV.</w:t>
      </w:r>
    </w:p>
    <w:p w14:paraId="646CF88B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4387DB3D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4DF29ED5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6FC42BE4" w14:textId="77777777" w:rsidR="0089537C" w:rsidRPr="00AB6E1B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53D4B3DA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22048CF0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239F8564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39CD1BA1" w14:textId="77777777" w:rsidR="0089537C" w:rsidRPr="00C37D6A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</w:t>
      </w:r>
      <w:r w:rsidR="00A25E47">
        <w:rPr>
          <w:rFonts w:ascii="Arial" w:hAnsi="Arial" w:cs="Arial"/>
          <w:sz w:val="22"/>
          <w:szCs w:val="22"/>
        </w:rPr>
        <w:t>rozhodnutí o povolení záměru</w:t>
      </w:r>
      <w:r w:rsidRPr="00AB6E1B">
        <w:rPr>
          <w:rFonts w:ascii="Arial" w:hAnsi="Arial" w:cs="Arial"/>
          <w:sz w:val="22"/>
          <w:szCs w:val="22"/>
        </w:rPr>
        <w:t xml:space="preserve">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0CA9C236" w14:textId="77777777" w:rsidR="0089537C" w:rsidRPr="00C37D6A" w:rsidRDefault="00874630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678C5979" w14:textId="77777777" w:rsidR="0089537C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3ECD01FD" w14:textId="77777777" w:rsidR="007111D0" w:rsidRDefault="007111D0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61B206FA" w14:textId="41CBB434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05C28C3A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138A33A9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ECA2C7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634FFE">
        <w:rPr>
          <w:rFonts w:ascii="Arial" w:hAnsi="Arial" w:cs="Arial"/>
          <w:bCs/>
          <w:sz w:val="22"/>
          <w:szCs w:val="22"/>
        </w:rPr>
        <w:t>9/066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634FFE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634FFE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0C2D719B" w14:textId="77777777" w:rsidR="005C24A9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6A063C89" w14:textId="77777777" w:rsidR="007111D0" w:rsidRDefault="007111D0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2896EF41" w14:textId="77777777" w:rsidR="007111D0" w:rsidRPr="00AB6E1B" w:rsidRDefault="007111D0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423392B5" w14:textId="33189352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160969">
        <w:rPr>
          <w:rFonts w:ascii="Arial" w:hAnsi="Arial" w:cs="Arial"/>
          <w:color w:val="000000"/>
          <w:sz w:val="22"/>
          <w:szCs w:val="22"/>
        </w:rPr>
        <w:t xml:space="preserve"> 22.10.2025</w:t>
      </w:r>
      <w:r w:rsidRPr="00AB6E1B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160969">
        <w:rPr>
          <w:rFonts w:ascii="Arial" w:hAnsi="Arial" w:cs="Arial"/>
          <w:color w:val="000000"/>
          <w:sz w:val="22"/>
          <w:szCs w:val="22"/>
        </w:rPr>
        <w:t xml:space="preserve"> 13.10.2025</w:t>
      </w:r>
    </w:p>
    <w:p w14:paraId="2C3CDB34" w14:textId="77777777" w:rsidR="00A3282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0C8FF529" w14:textId="77777777" w:rsidR="007111D0" w:rsidRDefault="007111D0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3F9EC3AE" w14:textId="77777777" w:rsidR="007111D0" w:rsidRDefault="007111D0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157AB168" w14:textId="77777777" w:rsidR="007111D0" w:rsidRDefault="007111D0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67692819" w14:textId="77777777" w:rsidR="007111D0" w:rsidRPr="00AB6E1B" w:rsidRDefault="007111D0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35B22904" w14:textId="77777777" w:rsidR="00A3282B" w:rsidRPr="00160969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2"/>
          <w:szCs w:val="22"/>
        </w:rPr>
      </w:pPr>
      <w:r w:rsidRPr="00160969">
        <w:rPr>
          <w:rFonts w:ascii="Arial" w:hAnsi="Arial" w:cs="Arial"/>
          <w:color w:val="auto"/>
          <w:sz w:val="22"/>
          <w:szCs w:val="22"/>
        </w:rPr>
        <w:t>__________________________</w:t>
      </w:r>
      <w:r w:rsidRPr="00160969">
        <w:rPr>
          <w:rFonts w:ascii="Arial" w:hAnsi="Arial" w:cs="Arial"/>
          <w:color w:val="auto"/>
          <w:sz w:val="22"/>
          <w:szCs w:val="22"/>
        </w:rPr>
        <w:tab/>
        <w:t>__________________________</w:t>
      </w:r>
    </w:p>
    <w:p w14:paraId="0EDC511A" w14:textId="77777777" w:rsidR="00A3282B" w:rsidRPr="00160969" w:rsidRDefault="00AB6E1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2"/>
          <w:szCs w:val="22"/>
        </w:rPr>
      </w:pPr>
      <w:r w:rsidRPr="00160969">
        <w:rPr>
          <w:rFonts w:ascii="Arial" w:hAnsi="Arial" w:cs="Arial"/>
          <w:color w:val="auto"/>
          <w:sz w:val="22"/>
          <w:szCs w:val="22"/>
        </w:rPr>
        <w:t>statutární město Brno</w:t>
      </w:r>
      <w:r w:rsidRPr="00160969">
        <w:rPr>
          <w:rFonts w:ascii="Arial" w:hAnsi="Arial" w:cs="Arial"/>
          <w:color w:val="auto"/>
          <w:sz w:val="22"/>
          <w:szCs w:val="22"/>
        </w:rPr>
        <w:tab/>
        <w:t>stavebník</w:t>
      </w:r>
    </w:p>
    <w:p w14:paraId="35201356" w14:textId="1DE36502" w:rsidR="0013582D" w:rsidRDefault="00E86C98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  <w:r w:rsidR="00160969">
        <w:rPr>
          <w:rFonts w:ascii="Arial" w:hAnsi="Arial" w:cs="Arial"/>
          <w:sz w:val="22"/>
          <w:szCs w:val="22"/>
        </w:rPr>
        <w:tab/>
        <w:t>Bc. Tomáš Vala</w:t>
      </w:r>
    </w:p>
    <w:p w14:paraId="2A928942" w14:textId="32D7E3DB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160969">
        <w:rPr>
          <w:rFonts w:ascii="Arial" w:hAnsi="Arial" w:cs="Arial"/>
          <w:sz w:val="22"/>
          <w:szCs w:val="22"/>
        </w:rPr>
        <w:t>člen představenstva</w:t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2DB3" w14:textId="77777777" w:rsidR="005A4331" w:rsidRDefault="005A4331">
      <w:r>
        <w:separator/>
      </w:r>
    </w:p>
  </w:endnote>
  <w:endnote w:type="continuationSeparator" w:id="0">
    <w:p w14:paraId="0837C775" w14:textId="77777777" w:rsidR="005A4331" w:rsidRDefault="005A4331">
      <w:r>
        <w:continuationSeparator/>
      </w:r>
    </w:p>
  </w:endnote>
  <w:endnote w:type="continuationNotice" w:id="1">
    <w:p w14:paraId="0DABB117" w14:textId="77777777" w:rsidR="005A4331" w:rsidRDefault="005A4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991F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7F16F3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3F23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341ED7D0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B4A7" w14:textId="77777777" w:rsidR="005A4331" w:rsidRDefault="005A4331">
      <w:r>
        <w:separator/>
      </w:r>
    </w:p>
  </w:footnote>
  <w:footnote w:type="continuationSeparator" w:id="0">
    <w:p w14:paraId="690216D4" w14:textId="77777777" w:rsidR="005A4331" w:rsidRDefault="005A4331">
      <w:r>
        <w:continuationSeparator/>
      </w:r>
    </w:p>
  </w:footnote>
  <w:footnote w:type="continuationNotice" w:id="1">
    <w:p w14:paraId="05B1B5F1" w14:textId="77777777" w:rsidR="005A4331" w:rsidRDefault="005A43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ACAC" w14:textId="77777777" w:rsidR="00FB3475" w:rsidRPr="00FB3475" w:rsidRDefault="0001591B" w:rsidP="00FB3475">
    <w:pPr>
      <w:pStyle w:val="Zhlav"/>
      <w:rPr>
        <w:rFonts w:ascii="Arial" w:hAnsi="Arial" w:cs="Arial"/>
        <w:b/>
        <w:bCs/>
        <w:sz w:val="20"/>
        <w:szCs w:val="20"/>
        <w:u w:val="single"/>
      </w:rPr>
    </w:pPr>
    <w:r>
      <w:tab/>
    </w:r>
    <w:r>
      <w:tab/>
    </w:r>
    <w:r w:rsidRPr="00FD1C15">
      <w:rPr>
        <w:rFonts w:ascii="Arial" w:hAnsi="Arial" w:cs="Arial"/>
        <w:b/>
        <w:bCs/>
        <w:sz w:val="20"/>
        <w:szCs w:val="20"/>
      </w:rPr>
      <w:t xml:space="preserve">č.: </w:t>
    </w:r>
    <w:r w:rsidR="00FB3475" w:rsidRPr="00FB3475">
      <w:rPr>
        <w:rFonts w:ascii="Arial" w:hAnsi="Arial" w:cs="Arial"/>
        <w:b/>
        <w:bCs/>
        <w:sz w:val="20"/>
        <w:szCs w:val="20"/>
      </w:rPr>
      <w:t>6325164991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8805852">
    <w:abstractNumId w:val="2"/>
  </w:num>
  <w:num w:numId="2" w16cid:durableId="1246379721">
    <w:abstractNumId w:val="12"/>
  </w:num>
  <w:num w:numId="3" w16cid:durableId="1644310157">
    <w:abstractNumId w:val="11"/>
  </w:num>
  <w:num w:numId="4" w16cid:durableId="430049653">
    <w:abstractNumId w:val="14"/>
  </w:num>
  <w:num w:numId="5" w16cid:durableId="1930578623">
    <w:abstractNumId w:val="6"/>
  </w:num>
  <w:num w:numId="6" w16cid:durableId="1231231032">
    <w:abstractNumId w:val="10"/>
  </w:num>
  <w:num w:numId="7" w16cid:durableId="1602377559">
    <w:abstractNumId w:val="1"/>
  </w:num>
  <w:num w:numId="8" w16cid:durableId="1920402439">
    <w:abstractNumId w:val="5"/>
  </w:num>
  <w:num w:numId="9" w16cid:durableId="600377934">
    <w:abstractNumId w:val="7"/>
  </w:num>
  <w:num w:numId="10" w16cid:durableId="373310032">
    <w:abstractNumId w:val="3"/>
  </w:num>
  <w:num w:numId="11" w16cid:durableId="893005179">
    <w:abstractNumId w:val="8"/>
  </w:num>
  <w:num w:numId="12" w16cid:durableId="2097284834">
    <w:abstractNumId w:val="4"/>
  </w:num>
  <w:num w:numId="13" w16cid:durableId="904028918">
    <w:abstractNumId w:val="15"/>
  </w:num>
  <w:num w:numId="14" w16cid:durableId="983701645">
    <w:abstractNumId w:val="13"/>
  </w:num>
  <w:num w:numId="15" w16cid:durableId="184369397">
    <w:abstractNumId w:val="0"/>
  </w:num>
  <w:num w:numId="16" w16cid:durableId="1126894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32823"/>
    <w:rsid w:val="000516C6"/>
    <w:rsid w:val="0006457D"/>
    <w:rsid w:val="00065CDD"/>
    <w:rsid w:val="000811B0"/>
    <w:rsid w:val="000847A8"/>
    <w:rsid w:val="000A51B5"/>
    <w:rsid w:val="000B04E4"/>
    <w:rsid w:val="000B1D82"/>
    <w:rsid w:val="000C1AFE"/>
    <w:rsid w:val="000E196D"/>
    <w:rsid w:val="0010606A"/>
    <w:rsid w:val="00123047"/>
    <w:rsid w:val="00123B10"/>
    <w:rsid w:val="001258B5"/>
    <w:rsid w:val="0013582D"/>
    <w:rsid w:val="0015241D"/>
    <w:rsid w:val="001536D1"/>
    <w:rsid w:val="00160969"/>
    <w:rsid w:val="00191D09"/>
    <w:rsid w:val="00196760"/>
    <w:rsid w:val="001D22FE"/>
    <w:rsid w:val="001D6B57"/>
    <w:rsid w:val="001E4814"/>
    <w:rsid w:val="001F5124"/>
    <w:rsid w:val="00211000"/>
    <w:rsid w:val="002211F0"/>
    <w:rsid w:val="00230F2D"/>
    <w:rsid w:val="002508EC"/>
    <w:rsid w:val="00274A63"/>
    <w:rsid w:val="0027625F"/>
    <w:rsid w:val="002A1E16"/>
    <w:rsid w:val="002B3A51"/>
    <w:rsid w:val="002B4203"/>
    <w:rsid w:val="002B61A1"/>
    <w:rsid w:val="002B6FD0"/>
    <w:rsid w:val="002B7C35"/>
    <w:rsid w:val="002C1AE9"/>
    <w:rsid w:val="002C3EC8"/>
    <w:rsid w:val="002E3218"/>
    <w:rsid w:val="002F4DD6"/>
    <w:rsid w:val="00301A61"/>
    <w:rsid w:val="00320421"/>
    <w:rsid w:val="00320932"/>
    <w:rsid w:val="0035136D"/>
    <w:rsid w:val="00354972"/>
    <w:rsid w:val="003551D8"/>
    <w:rsid w:val="00373FF6"/>
    <w:rsid w:val="00375CB3"/>
    <w:rsid w:val="003907C4"/>
    <w:rsid w:val="003A6C2D"/>
    <w:rsid w:val="003B3981"/>
    <w:rsid w:val="003B79F8"/>
    <w:rsid w:val="003C3279"/>
    <w:rsid w:val="003C5C42"/>
    <w:rsid w:val="003D47A9"/>
    <w:rsid w:val="003E7CB6"/>
    <w:rsid w:val="003F1670"/>
    <w:rsid w:val="00400004"/>
    <w:rsid w:val="00420649"/>
    <w:rsid w:val="004207E2"/>
    <w:rsid w:val="00435270"/>
    <w:rsid w:val="00435EF6"/>
    <w:rsid w:val="00437D0C"/>
    <w:rsid w:val="00470D6D"/>
    <w:rsid w:val="00475F0A"/>
    <w:rsid w:val="004778E8"/>
    <w:rsid w:val="004A5296"/>
    <w:rsid w:val="004C1F8F"/>
    <w:rsid w:val="004C694F"/>
    <w:rsid w:val="004F6021"/>
    <w:rsid w:val="004F7F7D"/>
    <w:rsid w:val="00512078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A4331"/>
    <w:rsid w:val="005B2C4A"/>
    <w:rsid w:val="005C24A9"/>
    <w:rsid w:val="005C2DCF"/>
    <w:rsid w:val="005C62F7"/>
    <w:rsid w:val="005D7DB1"/>
    <w:rsid w:val="006115D8"/>
    <w:rsid w:val="00621092"/>
    <w:rsid w:val="00634FFE"/>
    <w:rsid w:val="00635BDD"/>
    <w:rsid w:val="00640B87"/>
    <w:rsid w:val="00647C91"/>
    <w:rsid w:val="00650000"/>
    <w:rsid w:val="0065509C"/>
    <w:rsid w:val="0065573D"/>
    <w:rsid w:val="00663915"/>
    <w:rsid w:val="00666204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E5C30"/>
    <w:rsid w:val="006F6A9B"/>
    <w:rsid w:val="007111D0"/>
    <w:rsid w:val="00711721"/>
    <w:rsid w:val="00720939"/>
    <w:rsid w:val="0073516A"/>
    <w:rsid w:val="00736790"/>
    <w:rsid w:val="00744383"/>
    <w:rsid w:val="007471D8"/>
    <w:rsid w:val="0076279A"/>
    <w:rsid w:val="00774ABB"/>
    <w:rsid w:val="00785366"/>
    <w:rsid w:val="00787406"/>
    <w:rsid w:val="00796689"/>
    <w:rsid w:val="007A22F1"/>
    <w:rsid w:val="007A46C6"/>
    <w:rsid w:val="007A5533"/>
    <w:rsid w:val="007A7E0E"/>
    <w:rsid w:val="007B2A7A"/>
    <w:rsid w:val="007D3A70"/>
    <w:rsid w:val="007E0C88"/>
    <w:rsid w:val="007E5AC7"/>
    <w:rsid w:val="007E7373"/>
    <w:rsid w:val="007F1094"/>
    <w:rsid w:val="00826D4B"/>
    <w:rsid w:val="00833DB3"/>
    <w:rsid w:val="00835C81"/>
    <w:rsid w:val="0086616E"/>
    <w:rsid w:val="00872EBD"/>
    <w:rsid w:val="00874630"/>
    <w:rsid w:val="00877BE4"/>
    <w:rsid w:val="0089537C"/>
    <w:rsid w:val="008A270E"/>
    <w:rsid w:val="008A72B4"/>
    <w:rsid w:val="008B1883"/>
    <w:rsid w:val="008B7325"/>
    <w:rsid w:val="008D0CA1"/>
    <w:rsid w:val="008D2290"/>
    <w:rsid w:val="008D4DF8"/>
    <w:rsid w:val="008D5BE0"/>
    <w:rsid w:val="008E5A27"/>
    <w:rsid w:val="008E6224"/>
    <w:rsid w:val="009138DA"/>
    <w:rsid w:val="00916EA5"/>
    <w:rsid w:val="009450D4"/>
    <w:rsid w:val="00945EC5"/>
    <w:rsid w:val="0095689A"/>
    <w:rsid w:val="00966F75"/>
    <w:rsid w:val="00981A98"/>
    <w:rsid w:val="009927E4"/>
    <w:rsid w:val="00993CC2"/>
    <w:rsid w:val="009A7342"/>
    <w:rsid w:val="009B5F03"/>
    <w:rsid w:val="009C5353"/>
    <w:rsid w:val="009E376C"/>
    <w:rsid w:val="009F2E86"/>
    <w:rsid w:val="00A22587"/>
    <w:rsid w:val="00A24B30"/>
    <w:rsid w:val="00A25E47"/>
    <w:rsid w:val="00A3282B"/>
    <w:rsid w:val="00A41D0F"/>
    <w:rsid w:val="00A45AE4"/>
    <w:rsid w:val="00A545C4"/>
    <w:rsid w:val="00A57DC1"/>
    <w:rsid w:val="00A74D17"/>
    <w:rsid w:val="00A767C2"/>
    <w:rsid w:val="00A8567F"/>
    <w:rsid w:val="00A96484"/>
    <w:rsid w:val="00AA4956"/>
    <w:rsid w:val="00AB2AAE"/>
    <w:rsid w:val="00AB659B"/>
    <w:rsid w:val="00AB6E1B"/>
    <w:rsid w:val="00AE4828"/>
    <w:rsid w:val="00AF1012"/>
    <w:rsid w:val="00AF229A"/>
    <w:rsid w:val="00B10A60"/>
    <w:rsid w:val="00B4249E"/>
    <w:rsid w:val="00B83F07"/>
    <w:rsid w:val="00B84424"/>
    <w:rsid w:val="00B95D56"/>
    <w:rsid w:val="00B96296"/>
    <w:rsid w:val="00B96584"/>
    <w:rsid w:val="00BA2782"/>
    <w:rsid w:val="00BB0A25"/>
    <w:rsid w:val="00BB14AA"/>
    <w:rsid w:val="00BC456D"/>
    <w:rsid w:val="00BD24D2"/>
    <w:rsid w:val="00BD4C17"/>
    <w:rsid w:val="00BE198E"/>
    <w:rsid w:val="00C20EE2"/>
    <w:rsid w:val="00C31127"/>
    <w:rsid w:val="00C37D6A"/>
    <w:rsid w:val="00C53484"/>
    <w:rsid w:val="00C57F8B"/>
    <w:rsid w:val="00C62E5E"/>
    <w:rsid w:val="00C71876"/>
    <w:rsid w:val="00C7366A"/>
    <w:rsid w:val="00C84975"/>
    <w:rsid w:val="00CD38EA"/>
    <w:rsid w:val="00CF079B"/>
    <w:rsid w:val="00CF5212"/>
    <w:rsid w:val="00D202C1"/>
    <w:rsid w:val="00D4191F"/>
    <w:rsid w:val="00D50D4E"/>
    <w:rsid w:val="00D53A00"/>
    <w:rsid w:val="00D74D33"/>
    <w:rsid w:val="00D9212F"/>
    <w:rsid w:val="00D94645"/>
    <w:rsid w:val="00D96691"/>
    <w:rsid w:val="00DA725E"/>
    <w:rsid w:val="00DB031F"/>
    <w:rsid w:val="00E006B9"/>
    <w:rsid w:val="00E03B84"/>
    <w:rsid w:val="00E2191B"/>
    <w:rsid w:val="00E3712C"/>
    <w:rsid w:val="00E532FA"/>
    <w:rsid w:val="00E53587"/>
    <w:rsid w:val="00E603D1"/>
    <w:rsid w:val="00E777EB"/>
    <w:rsid w:val="00E86C98"/>
    <w:rsid w:val="00E93F60"/>
    <w:rsid w:val="00E97384"/>
    <w:rsid w:val="00EB3DB7"/>
    <w:rsid w:val="00EC470D"/>
    <w:rsid w:val="00ED25FE"/>
    <w:rsid w:val="00ED328C"/>
    <w:rsid w:val="00EE751F"/>
    <w:rsid w:val="00F0102A"/>
    <w:rsid w:val="00F13409"/>
    <w:rsid w:val="00F235BB"/>
    <w:rsid w:val="00F27B41"/>
    <w:rsid w:val="00F364EE"/>
    <w:rsid w:val="00F521F7"/>
    <w:rsid w:val="00F72235"/>
    <w:rsid w:val="00F7250F"/>
    <w:rsid w:val="00F7563E"/>
    <w:rsid w:val="00F81D13"/>
    <w:rsid w:val="00F837BA"/>
    <w:rsid w:val="00F90D8E"/>
    <w:rsid w:val="00F93D03"/>
    <w:rsid w:val="00FA64E9"/>
    <w:rsid w:val="00FB3475"/>
    <w:rsid w:val="00FB354F"/>
    <w:rsid w:val="00FC7421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E4849E"/>
  <w15:chartTrackingRefBased/>
  <w15:docId w15:val="{44B3ED8A-08C9-462F-9316-262522FB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C387-784F-41D6-B78A-B5E7B8B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dc:description/>
  <cp:lastModifiedBy>Krejčík Libor</cp:lastModifiedBy>
  <cp:revision>7</cp:revision>
  <cp:lastPrinted>2024-01-03T12:28:00Z</cp:lastPrinted>
  <dcterms:created xsi:type="dcterms:W3CDTF">2025-03-04T12:38:00Z</dcterms:created>
  <dcterms:modified xsi:type="dcterms:W3CDTF">2025-11-05T14:19:00Z</dcterms:modified>
</cp:coreProperties>
</file>