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36" w:h="216" w:wrap="none" w:hAnchor="page" w:x="8717" w:y="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2025008658</w:t>
      </w:r>
    </w:p>
    <w:p>
      <w:pPr>
        <w:widowControl w:val="0"/>
        <w:spacing w:line="360" w:lineRule="exact"/>
      </w:pPr>
      <w:r>
        <w:drawing>
          <wp:anchor distT="0" distB="234950" distL="0" distR="0" simplePos="0" relativeHeight="62914690" behindDoc="1" locked="0" layoutInCell="1" allowOverlap="1">
            <wp:simplePos x="0" y="0"/>
            <wp:positionH relativeFrom="page">
              <wp:posOffset>5367020</wp:posOffset>
            </wp:positionH>
            <wp:positionV relativeFrom="margin">
              <wp:posOffset>0</wp:posOffset>
            </wp:positionV>
            <wp:extent cx="1481455" cy="3657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245" w:right="1120" w:bottom="1092" w:left="142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09" w:right="0" w:bottom="127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334385" distL="0" distR="695325" simplePos="0" relativeHeight="12582937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880745</wp:posOffset>
                </wp:positionV>
                <wp:extent cx="941705" cy="7073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25pt;margin-top:69.350000000000009pt;width:74.150000000000006pt;height:55.700000000000003pt;z-index:-125829375;mso-wrap-distance-left:0;mso-wrap-distance-right:54.75pt;mso-wrap-distance-bottom:262.5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Jméno: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Sídlo: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Jednající: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Kontaktní osoba: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106170" distB="635" distL="0" distR="0" simplePos="0" relativeHeight="12582938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1986915</wp:posOffset>
                </wp:positionV>
                <wp:extent cx="1637030" cy="29349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7030" cy="2934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8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8"/>
                                <w:i/>
                                <w:iCs/>
                              </w:rPr>
                              <w:t>„kupující')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3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Bankovní spojení (číslo účtu): (dále jen </w:t>
                            </w:r>
                            <w:r>
                              <w:rPr>
                                <w:rStyle w:val="CharStyle8"/>
                                <w:i/>
                                <w:iCs/>
                              </w:rPr>
                              <w:t>„prodávající')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1.25pt;margin-top:156.45000000000002pt;width:128.90000000000001pt;height:231.09999999999999pt;z-index:-125829373;mso-wrap-distance-left:0;mso-wrap-distance-top:87.10000000000000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Zápis v OR: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Bankovní spojení (číslo účtu):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37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(dále jen </w:t>
                      </w:r>
                      <w:r>
                        <w:rPr>
                          <w:rStyle w:val="CharStyle8"/>
                          <w:i/>
                          <w:iCs/>
                        </w:rPr>
                        <w:t>„kupující')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37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Jméno: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Sídlo: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Jednající: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Kontaktní osoba: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Zápis v OR: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37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 xml:space="preserve">Bankovní spojení (číslo účtu): (dále jen </w:t>
                      </w:r>
                      <w:r>
                        <w:rPr>
                          <w:rStyle w:val="CharStyle8"/>
                          <w:i/>
                          <w:iCs/>
                        </w:rPr>
                        <w:t>„prodávající')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9"/>
          <w:b/>
          <w:bCs/>
        </w:rPr>
        <w:t>RÁMCOVÁ KUPNÍ SMLOUVA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00" w:right="0" w:hanging="1920"/>
        <w:jc w:val="left"/>
      </w:pPr>
      <w:r>
        <w:rPr>
          <w:rStyle w:val="CharStyle8"/>
        </w:rPr>
        <w:t>uzavřená v souladu s ustanovením § 2079 a násl. zákona č. 89/2012 Sb., občanský zákoník, mezi níže uvedenými smluvními stranami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20"/>
        <w:jc w:val="left"/>
      </w:pPr>
      <w:r>
        <w:rPr>
          <w:rStyle w:val="CharStyle8"/>
          <w:b/>
          <w:bCs/>
        </w:rPr>
        <w:t>Zdravotnická záchranná služba Jihomoravského kraje, příspěvková organizace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Kamenice 798/1 d, 625 00 Brno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MUDr. Hana Albrechtová, ředitelka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20"/>
        <w:jc w:val="left"/>
      </w:pPr>
      <w:r>
        <w:rPr>
          <w:rStyle w:val="CharStyle8"/>
          <w:spacing w:val="8"/>
          <w:shd w:val="clear" w:color="auto" w:fill="000000"/>
        </w:rPr>
        <w:t>..</w:t>
      </w:r>
      <w:r>
        <w:rPr>
          <w:rStyle w:val="CharStyle8"/>
          <w:spacing w:val="9"/>
          <w:shd w:val="clear" w:color="auto" w:fill="000000"/>
        </w:rPr>
        <w:t>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2"/>
          <w:shd w:val="clear" w:color="auto" w:fill="000000"/>
        </w:rPr>
        <w:t>............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2"/>
          <w:shd w:val="clear" w:color="auto" w:fill="000000"/>
        </w:rPr>
        <w:t>..</w:t>
      </w:r>
      <w:r>
        <w:rPr>
          <w:rStyle w:val="CharStyle8"/>
          <w:spacing w:val="3"/>
          <w:shd w:val="clear" w:color="auto" w:fill="000000"/>
        </w:rPr>
        <w:t>............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4"/>
          <w:shd w:val="clear" w:color="auto" w:fill="000000"/>
        </w:rPr>
        <w:t>....</w:t>
      </w:r>
      <w:r>
        <w:rPr>
          <w:rStyle w:val="CharStyle8"/>
          <w:spacing w:val="5"/>
          <w:shd w:val="clear" w:color="auto" w:fill="000000"/>
        </w:rPr>
        <w:t>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......</w:t>
      </w:r>
      <w:r>
        <w:rPr>
          <w:rStyle w:val="CharStyle8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8"/>
          <w:spacing w:val="1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8"/>
          <w:shd w:val="clear" w:color="auto" w:fill="000000"/>
          <w:lang w:val="en-US" w:eastAsia="en-US" w:bidi="en-US"/>
        </w:rPr>
        <w:t>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10"/>
          <w:shd w:val="clear" w:color="auto" w:fill="000000"/>
        </w:rPr>
        <w:t>..</w:t>
      </w:r>
      <w:r>
        <w:rPr>
          <w:rStyle w:val="CharStyle8"/>
          <w:spacing w:val="11"/>
          <w:shd w:val="clear" w:color="auto" w:fill="000000"/>
        </w:rPr>
        <w:t>..</w:t>
      </w:r>
      <w:r>
        <w:rPr>
          <w:rStyle w:val="CharStyle8"/>
        </w:rPr>
        <w:t xml:space="preserve"> </w:t>
      </w:r>
      <w:r>
        <w:rPr>
          <w:rStyle w:val="CharStyle8"/>
          <w:shd w:val="clear" w:color="auto" w:fill="000000"/>
        </w:rPr>
        <w:t>​.......​</w:t>
      </w:r>
      <w:r>
        <w:rPr>
          <w:rStyle w:val="CharStyle8"/>
          <w:spacing w:val="6"/>
          <w:shd w:val="clear" w:color="auto" w:fill="000000"/>
        </w:rPr>
        <w:t>...</w:t>
      </w:r>
      <w:r>
        <w:rPr>
          <w:rStyle w:val="CharStyle8"/>
          <w:spacing w:val="7"/>
          <w:shd w:val="clear" w:color="auto" w:fill="000000"/>
        </w:rPr>
        <w:t>...</w:t>
      </w:r>
      <w:r>
        <w:rPr>
          <w:rStyle w:val="CharStyle8"/>
          <w:shd w:val="clear" w:color="auto" w:fill="000000"/>
        </w:rPr>
        <w:t>​......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20"/>
        <w:jc w:val="left"/>
      </w:pPr>
      <w:r>
        <w:rPr>
          <w:rStyle w:val="CharStyle8"/>
          <w:shd w:val="clear" w:color="auto" w:fill="000000"/>
        </w:rPr>
        <w:t>.......​</w:t>
      </w:r>
      <w:r>
        <w:rPr>
          <w:rStyle w:val="CharStyle8"/>
          <w:spacing w:val="3"/>
          <w:shd w:val="clear" w:color="auto" w:fill="000000"/>
        </w:rPr>
        <w:t>......</w:t>
      </w:r>
      <w:r>
        <w:rPr>
          <w:rStyle w:val="CharStyle8"/>
          <w:spacing w:val="4"/>
          <w:shd w:val="clear" w:color="auto" w:fill="000000"/>
        </w:rPr>
        <w:t>......</w:t>
      </w:r>
      <w:r>
        <w:rPr>
          <w:rStyle w:val="CharStyle8"/>
          <w:shd w:val="clear" w:color="auto" w:fill="000000"/>
        </w:rPr>
        <w:t>​...</w:t>
      </w:r>
      <w:r>
        <w:rPr>
          <w:rStyle w:val="CharStyle8"/>
          <w:spacing w:val="1"/>
          <w:shd w:val="clear" w:color="auto" w:fill="000000"/>
        </w:rPr>
        <w:t>.........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5"/>
          <w:shd w:val="clear" w:color="auto" w:fill="000000"/>
        </w:rPr>
        <w:t>.......</w:t>
      </w:r>
      <w:r>
        <w:rPr>
          <w:rStyle w:val="CharStyle8"/>
          <w:spacing w:val="6"/>
          <w:shd w:val="clear" w:color="auto" w:fill="000000"/>
        </w:rPr>
        <w:t>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</w:t>
      </w:r>
      <w:r>
        <w:rPr>
          <w:rStyle w:val="CharStyle8"/>
          <w:spacing w:val="4"/>
          <w:shd w:val="clear" w:color="auto" w:fill="000000"/>
        </w:rPr>
        <w:t>......</w:t>
      </w:r>
      <w:r>
        <w:rPr>
          <w:rStyle w:val="CharStyle8"/>
          <w:u w:val="single"/>
          <w:shd w:val="clear" w:color="auto" w:fill="000000"/>
        </w:rPr>
        <w:t>​...........</w:t>
      </w:r>
      <w:r>
        <w:rPr>
          <w:rStyle w:val="CharStyle8"/>
          <w:spacing w:val="1"/>
          <w:u w:val="single"/>
          <w:shd w:val="clear" w:color="auto" w:fill="000000"/>
        </w:rPr>
        <w:t>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........</w:t>
      </w:r>
      <w:r>
        <w:rPr>
          <w:rStyle w:val="CharStyle8"/>
          <w:spacing w:val="3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8"/>
          <w:shd w:val="clear" w:color="auto" w:fill="000000"/>
          <w:lang w:val="en-US" w:eastAsia="en-US" w:bidi="en-US"/>
        </w:rPr>
        <w:t>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10"/>
          <w:shd w:val="clear" w:color="auto" w:fill="000000"/>
        </w:rPr>
        <w:t>..</w:t>
      </w:r>
      <w:r>
        <w:rPr>
          <w:rStyle w:val="CharStyle8"/>
          <w:spacing w:val="11"/>
          <w:shd w:val="clear" w:color="auto" w:fill="000000"/>
        </w:rPr>
        <w:t>..</w:t>
      </w:r>
      <w:r>
        <w:rPr>
          <w:rStyle w:val="CharStyle8"/>
        </w:rPr>
        <w:t xml:space="preserve"> </w:t>
      </w:r>
      <w:r>
        <w:rPr>
          <w:rStyle w:val="CharStyle8"/>
          <w:shd w:val="clear" w:color="auto" w:fill="000000"/>
        </w:rPr>
        <w:t>​.......​</w:t>
      </w:r>
      <w:r>
        <w:rPr>
          <w:rStyle w:val="CharStyle8"/>
          <w:spacing w:val="6"/>
          <w:shd w:val="clear" w:color="auto" w:fill="000000"/>
        </w:rPr>
        <w:t>...</w:t>
      </w:r>
      <w:r>
        <w:rPr>
          <w:rStyle w:val="CharStyle8"/>
          <w:spacing w:val="7"/>
          <w:shd w:val="clear" w:color="auto" w:fill="000000"/>
        </w:rPr>
        <w:t>...</w:t>
      </w:r>
      <w:r>
        <w:rPr>
          <w:rStyle w:val="CharStyle8"/>
          <w:shd w:val="clear" w:color="auto" w:fill="000000"/>
        </w:rPr>
        <w:t>​......</w:t>
      </w:r>
      <w:r>
        <w:rPr>
          <w:rStyle w:val="CharStyle8"/>
        </w:rPr>
        <w:t xml:space="preserve"> 00346292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CZ00346292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Krajský soud v Brně sp. zn. Pr 1245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840"/>
        <w:jc w:val="left"/>
      </w:pPr>
      <w:r>
        <w:rPr>
          <w:rStyle w:val="CharStyle8"/>
        </w:rPr>
        <w:t>MONETA Money Bank, a.s., č. ú. 117203514/0600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  <w:b/>
          <w:bCs/>
        </w:rPr>
        <w:t>Medsol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Lužná 591/4, 160 00, Praha 6 - Vokovice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Mgr. Michal Baroš, MBA, jednatel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  <w:spacing w:val="3"/>
          <w:shd w:val="clear" w:color="auto" w:fill="000000"/>
        </w:rPr>
        <w:t>.........</w:t>
      </w:r>
      <w:r>
        <w:rPr>
          <w:rStyle w:val="CharStyle8"/>
          <w:spacing w:val="4"/>
          <w:shd w:val="clear" w:color="auto" w:fill="000000"/>
        </w:rPr>
        <w:t>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3"/>
          <w:shd w:val="clear" w:color="auto" w:fill="000000"/>
        </w:rPr>
        <w:t>......</w:t>
      </w:r>
      <w:r>
        <w:rPr>
          <w:rStyle w:val="CharStyle8"/>
          <w:spacing w:val="4"/>
          <w:shd w:val="clear" w:color="auto" w:fill="000000"/>
        </w:rPr>
        <w:t>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6"/>
          <w:shd w:val="clear" w:color="auto" w:fill="000000"/>
        </w:rPr>
        <w:t>.</w:t>
      </w:r>
      <w:r>
        <w:rPr>
          <w:rStyle w:val="CharStyle8"/>
          <w:spacing w:val="7"/>
          <w:shd w:val="clear" w:color="auto" w:fill="000000"/>
        </w:rPr>
        <w:t>.....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840"/>
        <w:jc w:val="left"/>
      </w:pPr>
      <w:r>
        <w:rPr>
          <w:rStyle w:val="CharStyle8"/>
          <w:spacing w:val="1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8"/>
          <w:shd w:val="clear" w:color="auto" w:fill="000000"/>
          <w:lang w:val="en-US" w:eastAsia="en-US" w:bidi="en-US"/>
        </w:rPr>
        <w:t>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8"/>
          <w:shd w:val="clear" w:color="auto" w:fill="000000"/>
        </w:rPr>
        <w:t>...</w:t>
      </w:r>
      <w:r>
        <w:rPr>
          <w:rStyle w:val="CharStyle8"/>
          <w:spacing w:val="9"/>
          <w:shd w:val="clear" w:color="auto" w:fill="000000"/>
        </w:rPr>
        <w:t>..</w:t>
      </w:r>
      <w:r>
        <w:rPr>
          <w:rStyle w:val="CharStyle8"/>
          <w:shd w:val="clear" w:color="auto" w:fill="000000"/>
        </w:rPr>
        <w:t>​....</w:t>
      </w:r>
      <w:r>
        <w:rPr>
          <w:rStyle w:val="CharStyle8"/>
          <w:spacing w:val="1"/>
          <w:shd w:val="clear" w:color="auto" w:fill="000000"/>
        </w:rPr>
        <w:t>.....</w:t>
      </w:r>
      <w:r>
        <w:rPr>
          <w:rStyle w:val="CharStyle8"/>
          <w:shd w:val="clear" w:color="auto" w:fill="000000"/>
        </w:rPr>
        <w:t>​.......​.......​......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242 01 596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CZ242 01 596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zapsán v obchodním rejstříku vedeném Městským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rStyle w:val="CharStyle8"/>
        </w:rPr>
        <w:t>Soudem v Praze, oddíl C, vložka 188143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840"/>
        <w:jc w:val="left"/>
      </w:pPr>
      <w:r>
        <w:rPr>
          <w:rStyle w:val="CharStyle8"/>
        </w:rPr>
        <w:t>ČSOB, a.s., č.ú. 260001288/0300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Prodávající je oprávněn na základě svého vlastnického práva nakládat s tímto zbožím: </w:t>
      </w:r>
      <w:r>
        <w:rPr>
          <w:rStyle w:val="CharStyle8"/>
          <w:b/>
          <w:bCs/>
        </w:rPr>
        <w:t xml:space="preserve">baterie k přístrojům LIFEPAK 15, AED LIFEPAK 1000, LUCAS 2,3. </w:t>
      </w:r>
      <w:r>
        <w:rPr>
          <w:rStyle w:val="CharStyle8"/>
        </w:rPr>
        <w:t>Podrobná specifikace zboží je uvedena v příloze č. 1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Součástí zboží podle článku 1 této smlouvy jsou vždy veškeré písemné doklady, které jsou potřebné k používání zboží.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Dílčí kupní smlouva se přitom považuje za uzavřenou doručením jednotlivé písemné objednávky kupujícího do rukou prodávajícího, a to ve znění, daném objednávkou a touto kupní smlouvou. Objednávky lze přitom podávat i elektronickou formou.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Prodávající se zavazuje plnit svůj závazek k dodání zboží podle čl. 1 této smlouvy vždy nejpozději do </w:t>
      </w:r>
      <w:r>
        <w:rPr>
          <w:rStyle w:val="CharStyle8"/>
          <w:b/>
          <w:bCs/>
        </w:rPr>
        <w:t xml:space="preserve">6 týdnů </w:t>
      </w:r>
      <w:r>
        <w:rPr>
          <w:rStyle w:val="CharStyle8"/>
        </w:rPr>
        <w:t>ode dne účinnosti příslušné dílčí kupní smlouvy, nebude-li v každém jednotlivém případě dohodnuto jinak. Tento závazek se bude považovat za splněný dnem předání a převzetí příslušného zboží formou písemného předávacího protokolu, podepsaného oběma stranami. Místem splnění závazku prodávajícího k dodání zboží je centrální sklad v sídle zadavatele Kamenice 798/1 d, Brno, 625 00.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0" w:line="240" w:lineRule="auto"/>
        <w:ind w:left="400" w:right="0" w:hanging="400"/>
        <w:jc w:val="both"/>
      </w:pPr>
      <w:r>
        <w:rPr>
          <w:rStyle w:val="CharStyle8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Kupující se zavazuje zaplatit prodávajícímu za předmět koupě a prodeje podle čl. 1 této smlouvy kupní cenu ve výši součinu jednotkové ceny a počtu kusů příslušné zbožní jednotky. Jednotkové ceny zboží jsou uvedeny v příloze č. 1 této smlouvy. Součástí cen jsou veškeré náklady prodávajícího na splnění jeho závazku k dodání zboží v místě plnění podle této smlouvy. Výše uvedených cenu se prodávající zavazuje garantovat po dobu dle čl. 23 této smlouvy. Změna ceny je možná pouze v případě zákonně změny sazby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email </w:t>
      </w:r>
      <w:r>
        <w:rPr>
          <w:rStyle w:val="CharStyle8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8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8"/>
          <w:shd w:val="clear" w:color="auto" w:fill="000000"/>
          <w:lang w:val="en-US" w:eastAsia="en-US" w:bidi="en-US"/>
        </w:rPr>
        <w:t>.</w:t>
      </w:r>
      <w:r>
        <w:rPr>
          <w:rStyle w:val="CharStyle8"/>
        </w:rPr>
        <w:t xml:space="preserve">a dále na e- mail uvedený v dílčí objednávce. Na faktuře/daňovém dokladu musí být mimo jiné vždy uvedeno toto číslo veřejné zakázky, ke které se faktura vztahuje: </w:t>
      </w:r>
      <w:r>
        <w:rPr>
          <w:rStyle w:val="CharStyle8"/>
          <w:b/>
          <w:bCs/>
        </w:rPr>
        <w:t xml:space="preserve">P25V00003597. </w:t>
      </w:r>
      <w:r>
        <w:rPr>
          <w:rStyle w:val="CharStyle8"/>
        </w:rPr>
        <w:t>Přílohou faktury bude kopie oboustranně podepsaného předávacího protokolu.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S převodem zboží je podle čl. 1 této smlouvy spojena záruka za jeho jakost v trvání min. 60 měsíců u baterií pro AED LIFEPAK 1000, u ostatních zboží v trvání min. 24 měsíců ode dne splnění závazku prodávajícího k dodání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5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 případ prodlení se splněním závazku k dodání zboží ve lhůtě podle čl. 4 této smlouvy a pro případ jeho prodlení s odstraněním vady ve lhůtě podle čl. 9 této smlouvy se prodávající zavazuje zaplatit kupujícímu smluvní pokutu ve výši 0,1% z ceny příslušné dodávky za každý započatý den tohoto prodlení.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 případ prodlení se splněním jeho závazku k dodání zboží ve lhůtě podle čl. 4 této smlouvy a pro případ jeho prodlení s odstraněním vady ve lhůtě podle čl. 9 této smlouvy o více, než 1 týden, je kupující oprávněn odstoupit od této smlouvy s účinky ex tunc.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20" w:line="240" w:lineRule="auto"/>
        <w:ind w:left="400" w:right="0" w:hanging="400"/>
        <w:jc w:val="both"/>
      </w:pPr>
      <w:r>
        <w:rPr>
          <w:rStyle w:val="CharStyle8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40" w:lineRule="auto"/>
        <w:ind w:left="400" w:right="0" w:hanging="400"/>
        <w:jc w:val="both"/>
      </w:pPr>
      <w:r>
        <w:rPr>
          <w:rStyle w:val="CharStyle8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Prodávající je povinen zajistit dodržování mezinárodních úmluv o lidských právech, sociálních či pracovních právech, zejména úmluv Mezinárodní organizace (ILO).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40" w:lineRule="auto"/>
        <w:ind w:left="400" w:right="0" w:hanging="400"/>
        <w:jc w:val="both"/>
      </w:pPr>
      <w:r>
        <w:rPr>
          <w:rStyle w:val="CharStyle8"/>
        </w:rPr>
        <w:t>Nezajistí-li prodávající dodržování předpisů dle čl. 15 a 16 této smlouvy zaplatí kupujícímu smluvní pokutu ve výši 2.000 Kč za každé zjištěné porušení. Takovou pokutu lze udělit opakovaně, a to až do úplného splnění povinnosti.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Předpokladem uzavření této smlouvy je její písemná forma a dohoda o celém jejím obsahu jak je obsažen v jejích článcích 1 až 26. Kupující přitom předem vylučuje přijetí tohoto návrhu s dodatkem nebo odchylkou ve smyslu § 1740 odst. 3 občanského zákoníku.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v registru smluv (ISRS) včetně uvedení metadat provede kupující.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vplatném znění). Prodávající přitom potvrzuje, že žádné ujednání této smlouvy není součástí obchodního tajemství.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Tato smlouva nabývá platnosti dnem jejího uzavření po jejím podpisu oběma smluvními stranami a účinnosti dnem jejího uveřejnění v Registru smluv, nejdříve však 1. 1. 2026.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 xml:space="preserve">Tato smlouva se uzavírá na dobu určitou, a to do </w:t>
      </w:r>
      <w:r>
        <w:rPr>
          <w:rStyle w:val="CharStyle8"/>
          <w:b/>
          <w:bCs/>
        </w:rPr>
        <w:t>31. 12. 2027.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Obě smluvní strany potvrzují, že si tuto smlouvu přečetly, že souhlasí s celým jejím obsahem, že obsah této smlouvy odpovídá jejich pravé a svobodné vůli, že neodporuje ani veřejnému pořádku a dobrým mravům, a že tuto smlouvu podepisují zcela dobrovolně bez jakéhokoliv nátlaku zvenčí.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8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rStyle w:val="CharStyle8"/>
        </w:rPr>
        <w:t>Nedílnou součástí smlouvy jsou tyto přílohy: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400"/>
        <w:jc w:val="both"/>
      </w:pPr>
      <w:r>
        <w:rPr>
          <w:rStyle w:val="CharStyle8"/>
          <w:b/>
          <w:bCs/>
        </w:rPr>
        <w:t>Příloha č. 1 Seznam zboží, ceník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5060" w:val="left"/>
        </w:tabs>
        <w:bidi w:val="0"/>
        <w:spacing w:before="0" w:line="240" w:lineRule="auto"/>
        <w:ind w:left="32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12700</wp:posOffset>
                </wp:positionV>
                <wp:extent cx="1109345" cy="14922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.799999999999997pt;margin-top:1.pt;width:87.350000000000009pt;height:11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8"/>
        </w:rPr>
        <w:t>V Praze dne</w:t>
        <w:tab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" distB="12065" distL="0" distR="0" simplePos="0" relativeHeight="125829384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50800</wp:posOffset>
                </wp:positionV>
                <wp:extent cx="1207135" cy="5791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11"/>
                              </w:rPr>
                              <w:t>MUDr. Hana</w:t>
                              <w:br/>
                              <w:t>Albrechtová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3.350000000000009pt;margin-top:4.pt;width:95.049999999999997pt;height:45.600000000000001pt;z-index:-125829369;mso-wrap-distance-left:0;mso-wrap-distance-top:4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11"/>
                        </w:rPr>
                        <w:t>MUDr. Hana</w:t>
                        <w:br/>
                        <w:t>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7630" distB="0" distL="0" distR="0" simplePos="0" relativeHeight="125829386" behindDoc="0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87630</wp:posOffset>
                </wp:positionV>
                <wp:extent cx="1212850" cy="5549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Digitálně podepsal MUDr. Hana Albrechtová Datum: 2025.11.07 10:51:54 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70.05000000000001pt;margin-top:6.9000000000000004pt;width:95.5pt;height:43.700000000000003pt;z-index:-125829367;mso-wrap-distance-left:0;mso-wrap-distance-top:6.90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Digitálně podepsal MUDr. Hana Albrechtová Datum: 2025.11.07 10:51:54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1950" distB="90805" distL="0" distR="0" simplePos="0" relativeHeight="125829388" behindDoc="0" locked="0" layoutInCell="1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361950</wp:posOffset>
                </wp:positionV>
                <wp:extent cx="1725295" cy="1892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29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1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....</w:t>
                              <w:tab/>
                              <w:t xml:space="preserve">। _ </w:t>
                            </w:r>
                            <w:r>
                              <w:rPr>
                                <w:rStyle w:val="CharStyle15"/>
                                <w:b/>
                                <w:bCs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 xml:space="preserve"> Digitálně podepsal Míchal Baroš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  <w:sz w:val="22"/>
                                <w:szCs w:val="22"/>
                              </w:rPr>
                              <w:t xml:space="preserve">Michal Baros </w:t>
                            </w:r>
                            <w:r>
                              <w:rPr>
                                <w:rStyle w:val="CharStyle15"/>
                                <w:b/>
                                <w:bCs/>
                              </w:rPr>
                              <w:t>Datum: 2025.10.31 13:33:28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5.65000000000003pt;margin-top:28.5pt;width:135.84999999999999pt;height:14.9pt;z-index:-125829365;mso-wrap-distance-left:0;mso-wrap-distance-top:28.5pt;mso-wrap-distance-right:0;mso-wrap-distance-bottom:7.1500000000000004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b/>
                          <w:bCs/>
                        </w:rPr>
                        <w:t>....</w:t>
                        <w:tab/>
                        <w:t xml:space="preserve">। _ </w:t>
                      </w:r>
                      <w:r>
                        <w:rPr>
                          <w:rStyle w:val="CharStyle15"/>
                          <w:b/>
                          <w:bCs/>
                          <w:vertAlign w:val="subscript"/>
                        </w:rPr>
                        <w:t>v</w:t>
                      </w:r>
                      <w:r>
                        <w:rPr>
                          <w:rStyle w:val="CharStyle15"/>
                          <w:b/>
                          <w:bCs/>
                        </w:rPr>
                        <w:t xml:space="preserve"> Digitálně podepsal Míchal Baroš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  <w:sz w:val="22"/>
                          <w:szCs w:val="22"/>
                        </w:rPr>
                        <w:t xml:space="preserve">Michal Baros </w:t>
                      </w:r>
                      <w:r>
                        <w:rPr>
                          <w:rStyle w:val="CharStyle15"/>
                          <w:b/>
                          <w:bCs/>
                        </w:rPr>
                        <w:t>Datum: 2025.10.31 13:33:28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09" w:right="1560" w:bottom="1274" w:left="146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0" distB="0" distL="0" distR="0" simplePos="0" relativeHeight="125829390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114300</wp:posOffset>
                </wp:positionV>
                <wp:extent cx="1390015" cy="4387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3.799999999999997pt;margin-top:9.pt;width:109.45pt;height:34.550000000000004pt;z-index:-125829363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MUDr. Hana Albrechtová ředitelka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300" distB="0" distL="0" distR="0" simplePos="0" relativeHeight="125829392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114300</wp:posOffset>
                </wp:positionV>
                <wp:extent cx="1377950" cy="43878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Mgr. Michal Baroš, MBA jednatel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32.30000000000001pt;margin-top:9.pt;width:108.5pt;height:34.550000000000004pt;z-index:-125829361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Mgr. Michal Baroš, MBA jednatel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03"/>
        <w:gridCol w:w="1219"/>
        <w:gridCol w:w="3110"/>
        <w:gridCol w:w="1949"/>
        <w:gridCol w:w="1469"/>
        <w:gridCol w:w="1440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•&gt;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Název zboží &gt;: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40"/>
                <w:sz w:val="12"/>
                <w:szCs w:val="12"/>
              </w:rPr>
              <w:t>'</w:t>
            </w:r>
            <w:r>
              <w:rPr>
                <w:rStyle w:val="CharStyle40"/>
                <w:sz w:val="12"/>
                <w:szCs w:val="12"/>
                <w:vertAlign w:val="superscript"/>
              </w:rPr>
              <w:t>í</w:t>
            </w:r>
            <w:r>
              <w:rPr>
                <w:rStyle w:val="CharStyle40"/>
                <w:sz w:val="12"/>
                <w:szCs w:val="12"/>
              </w:rPr>
              <w:t>V V ' KJXW'íW'' ‘V- ■'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Popis,•zbožGspéčífikace •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tabs>
                <w:tab w:pos="514" w:val="left"/>
                <w:tab w:pos="874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š *'</w:t>
              <w:tab/>
              <w:t>• '</w:t>
              <w:tab/>
              <w:t>' '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Označení/název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tabs>
                <w:tab w:pos="1027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40"/>
                <w:sz w:val="15"/>
                <w:szCs w:val="15"/>
              </w:rPr>
              <w:t>jaw -</w:t>
              <w:tab/>
              <w:t>, /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'Jednotková cena V.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^kčibézjĎPŘ' ' 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' Jednotková cena v Kč včetně DPH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LIFEPAK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 xml:space="preserve">Baterie k monitoru Lifepak 15 (dobíječi lithium - iontová baterie </w:t>
            </w:r>
            <w:r>
              <w:rPr>
                <w:rStyle w:val="CharStyle40"/>
                <w:i/>
                <w:iCs/>
                <w:sz w:val="12"/>
                <w:szCs w:val="12"/>
              </w:rPr>
              <w:t>5,7</w:t>
            </w:r>
            <w:r>
              <w:rPr>
                <w:rStyle w:val="CharStyle40"/>
                <w:sz w:val="13"/>
                <w:szCs w:val="13"/>
              </w:rPr>
              <w:t xml:space="preserve"> Ah, 10,8 V), originální příslušenství výrobce Stryker lne.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Dobíječi baterie li-ion 5,7Ah, 10,8 V pro Lifepak 15 Katalog, číslo: 21330-001176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7390,00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8 941,90 Kč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AED LIFEPAK 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jednorázové Li/MnO2 baterie kAED Lifepak 1000, nenabíjející, 12V, 4,5 Ah, 54 Wh. Životnost baterie alespoň 5 let od dodání.</w:t>
            </w:r>
          </w:p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Originální příslušenství výrobce Stryker lne.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pro Lifepak 1000 - jednorázová Katalog, číslo: 11141-000100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9 610,00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11 628,10 Kč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LUCAS 2,3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Baterie k přístrojům LUCAS 2,3, LiPo 3300mAh, 25,9V, originální příslušenství výrobce Stryker lne.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Dobíječi baterie LUCAS 2,3 Katalog, číslo: 11576-000080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20 080,00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40"/>
                <w:sz w:val="13"/>
                <w:szCs w:val="13"/>
              </w:rPr>
              <w:t>24 296,80 Kč</w:t>
            </w:r>
          </w:p>
        </w:tc>
      </w:tr>
    </w:tbl>
    <w:p>
      <w:pPr>
        <w:widowControl w:val="0"/>
        <w:spacing w:after="3499" w:line="1" w:lineRule="exact"/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12725" distL="0" distR="0" simplePos="0" relativeHeight="12582939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0</wp:posOffset>
                </wp:positionV>
                <wp:extent cx="597535" cy="13081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37"/>
                                <w:sz w:val="13"/>
                                <w:szCs w:val="13"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8.5pt;margin-top:0;width:47.050000000000004pt;height:10.300000000000001pt;z-index:-125829359;mso-wrap-distance-left:0;mso-wrap-distance-right:0;mso-wrap-distance-bottom:16.75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37"/>
                          <w:sz w:val="13"/>
                          <w:szCs w:val="13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203200" distL="0" distR="0" simplePos="0" relativeHeight="125829396" behindDoc="0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3175</wp:posOffset>
                </wp:positionV>
                <wp:extent cx="1009015" cy="13716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37"/>
                                <w:sz w:val="13"/>
                                <w:szCs w:val="13"/>
                              </w:rPr>
                              <w:t>SEZNAM ZBOŽÍ, CENÍK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21.2pt;margin-top:0.25pt;width:79.450000000000003pt;height:10.800000000000001pt;z-index:-125829357;mso-wrap-distance-left:0;mso-wrap-distance-top:0.25pt;mso-wrap-distance-right:0;mso-wrap-distance-bottom:16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37"/>
                          <w:sz w:val="13"/>
                          <w:szCs w:val="13"/>
                        </w:rPr>
                        <w:t>SEZNAM ZBOŽÍ,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7"/>
          <w:i/>
          <w:iCs/>
        </w:rPr>
        <w:t>Veřejná zakázka 1B_2025: Baterie LIFEPAK, LUCAS 2026 - 2027</w:t>
      </w:r>
    </w:p>
    <w:sectPr>
      <w:footerReference w:type="default" r:id="rId9"/>
      <w:footerReference w:type="even" r:id="rId10"/>
      <w:footnotePr>
        <w:pos w:val="pageBottom"/>
        <w:numFmt w:val="decimal"/>
        <w:numRestart w:val="continuous"/>
      </w:footnotePr>
      <w:pgSz w:w="11900" w:h="16840"/>
      <w:pgMar w:top="5313" w:right="1388" w:bottom="4554" w:left="922" w:header="4885" w:footer="412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9942195</wp:posOffset>
              </wp:positionV>
              <wp:extent cx="325818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818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18_2025: Baterie LIFEPAK, LUCAS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3.900000000000006pt;margin-top:782.85000000000002pt;width:256.55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18_2025: Baterie LIFEPAK, LUCAS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956945</wp:posOffset>
              </wp:positionH>
              <wp:positionV relativeFrom="page">
                <wp:posOffset>10056495</wp:posOffset>
              </wp:positionV>
              <wp:extent cx="3258185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818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18_2025: Baterie LIFEPAK, LUCAS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350000000000009pt;margin-top:791.85000000000002pt;width:256.55000000000001pt;height:8.40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18_2025: Baterie LIFEPAK, LUCAS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Nadpis #1_"/>
    <w:basedOn w:val="DefaultParagraphFont"/>
    <w:link w:val="Style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9">
    <w:name w:val="Nadpis #2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7">
    <w:name w:val="Základní text (2)_"/>
    <w:basedOn w:val="DefaultParagraphFont"/>
    <w:link w:val="Style36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40">
    <w:name w:val="Jiné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jc w:val="center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auto"/>
      <w:spacing w:line="20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auto"/>
      <w:spacing w:after="1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6">
    <w:name w:val="Základní text (2)"/>
    <w:basedOn w:val="Normal"/>
    <w:link w:val="CharStyle37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39">
    <w:name w:val="Jiné"/>
    <w:basedOn w:val="Normal"/>
    <w:link w:val="CharStyle40"/>
    <w:pPr>
      <w:widowControl w:val="0"/>
      <w:shd w:val="clear" w:color="auto" w:fill="auto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/Relationships>
</file>